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32.png" ContentType="image/png"/>
  <Override PartName="/word/media/rId117.png" ContentType="image/png"/>
  <Override PartName="/word/media/rId18.png" ContentType="image/png"/>
  <Override PartName="/word/media/rId114.png" ContentType="image/png"/>
  <Override PartName="/word/media/rId129.png" ContentType="image/png"/>
  <Override PartName="/word/media/rId67.png" ContentType="image/png"/>
  <Override PartName="/word/media/rId120.png" ContentType="image/png"/>
  <Override PartName="/word/media/rId15.png" ContentType="image/png"/>
  <Override PartName="/word/media/rId22.png" ContentType="image/png"/>
  <Override PartName="/word/media/rId135.png" ContentType="image/png"/>
  <Override PartName="/word/media/rId123.png" ContentType="image/png"/>
  <Override PartName="/word/media/rId55.png" ContentType="image/png"/>
  <Override PartName="/word/media/rId101.png" ContentType="image/png"/>
  <Override PartName="/word/media/rId98.png" ContentType="image/png"/>
  <Override PartName="/word/media/rId41.png" ContentType="image/png"/>
  <Override PartName="/word/media/rId95.png" ContentType="image/png"/>
  <Override PartName="/word/media/rId104.png" ContentType="image/png"/>
  <Override PartName="/word/media/rId110.png" ContentType="image/png"/>
  <Override PartName="/word/media/rId107.png" ContentType="image/png"/>
  <Override PartName="/word/media/rId76.png" ContentType="image/png"/>
  <Override PartName="/word/media/rId51.png" ContentType="image/png"/>
  <Override PartName="/word/media/rId7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“传统供需基准–短期冲击模型–中长期油价调节模型–敏感性分析”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为解释日度价格路径，本文构建短期冲击模型：物理供需层纳入供应中断、SPR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释放、商业库存、绕道运输、需求收缩和恐慌衰减，市场价格形成层纳入地缘风险溢价、冲击不确定性、持续封锁制度风险、缓冲确认折价和预期修复折价。其中，缓冲确认与预期修复由</w:t>
      </w:r>
      <w:r>
        <w:t xml:space="preserve"> </w:t>
      </w:r>
      <w:r>
        <w:rPr>
          <w:rFonts w:hint="eastAsia"/>
        </w:rPr>
        <w:t xml:space="preserve">SPR、库存和绕道对总短缺压力的覆盖率触发，而不是单纯按日历时间外生扣减。短期冲击模型在</w:t>
      </w:r>
      <w:r>
        <w:t xml:space="preserve"> 46 </w:t>
      </w:r>
      <w:r>
        <w:rPr>
          <w:rFonts w:hint="eastAsia"/>
        </w:rPr>
        <w:t xml:space="preserve">个交易日内取得</w:t>
      </w:r>
      <w:r>
        <w:t xml:space="preserve"> RMSE </w:t>
      </w:r>
      <w:r>
        <w:rPr>
          <w:rFonts w:hint="eastAsia"/>
        </w:rPr>
        <w:t xml:space="preserve">为</w:t>
      </w:r>
      <w:r>
        <w:t xml:space="preserve"> 3.38 </w:t>
      </w:r>
      <w:r>
        <w:rPr>
          <w:rFonts w:hint="eastAsia"/>
        </w:rPr>
        <w:t xml:space="preserve">美元/桶、MAE</w:t>
      </w:r>
      <w:r>
        <w:t xml:space="preserve"> </w:t>
      </w:r>
      <w:r>
        <w:rPr>
          <w:rFonts w:hint="eastAsia"/>
        </w:rPr>
        <w:t xml:space="preserve">为</w:t>
      </w:r>
      <w:r>
        <w:t xml:space="preserve"> 2.76 </w:t>
      </w:r>
      <w:r>
        <w:rPr>
          <w:rFonts w:hint="eastAsia"/>
        </w:rPr>
        <w:t xml:space="preserve">美元/桶、MAPE</w:t>
      </w:r>
      <w:r>
        <w:t xml:space="preserve"> </w:t>
      </w:r>
      <w:r>
        <w:rPr>
          <w:rFonts w:hint="eastAsia"/>
        </w:rPr>
        <w:t xml:space="preserve">为</w:t>
      </w:r>
      <w:r>
        <w:t xml:space="preserve"> 2.76% </w:t>
      </w:r>
      <w:r>
        <w:rPr>
          <w:rFonts w:hint="eastAsia"/>
        </w:rPr>
        <w:t xml:space="preserve">的拟合效果，并优于上一日价格朴素基准和滚动</w:t>
      </w:r>
      <w:r>
        <w:t xml:space="preserve"> ARIMA </w:t>
      </w:r>
      <w:r>
        <w:rPr>
          <w:rFonts w:hint="eastAsia"/>
        </w:rPr>
        <w:t xml:space="preserve">基准。加入仅使用历史滞后价格特征的阶段</w:t>
      </w:r>
      <w:r>
        <w:t xml:space="preserve"> Ridge </w:t>
      </w:r>
      <w:r>
        <w:rPr>
          <w:rFonts w:hint="eastAsia"/>
        </w:rPr>
        <w:t xml:space="preserve">收益率辅助层后，RMSE</w:t>
      </w:r>
      <w:r>
        <w:t xml:space="preserve"> </w:t>
      </w:r>
      <w:r>
        <w:rPr>
          <w:rFonts w:hint="eastAsia"/>
        </w:rPr>
        <w:t xml:space="preserve">进一步降至</w:t>
      </w:r>
      <w:r>
        <w:t xml:space="preserve"> 3.18 </w:t>
      </w:r>
      <w:r>
        <w:rPr>
          <w:rFonts w:hint="eastAsia"/>
        </w:rPr>
        <w:t xml:space="preserve">美元/桶、方向命中率为</w:t>
      </w:r>
      <w:r>
        <w:t xml:space="preserve"> </w:t>
      </w:r>
      <w:r>
        <w:rPr>
          <w:rFonts w:hint="eastAsia"/>
        </w:rPr>
        <w:t xml:space="preserve">68.9%。滞后平移、拐点、机制消融和结构稳定性检验表明，模型不是简单滞后复制，110–120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针对任务二，本文构建中长期油价调节模型，给出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市场隐含波动率推进到中长期参数约束层。中长期油价调节模型显示，中性情景第</w:t>
      </w:r>
      <w:r>
        <w:t xml:space="preserve"> 180 </w:t>
      </w:r>
      <w:r>
        <w:rPr>
          <w:rFonts w:hint="eastAsia"/>
        </w:rPr>
        <w:t xml:space="preserve">天价格约为</w:t>
      </w:r>
      <w:r>
        <w:t xml:space="preserve"> 93.26 </w:t>
      </w:r>
      <w:r>
        <w:rPr>
          <w:rFonts w:hint="eastAsia"/>
        </w:rPr>
        <w:t xml:space="preserve">美元/桶，悲观情景第</w:t>
      </w:r>
      <w:r>
        <w:t xml:space="preserve"> 180 </w:t>
      </w:r>
      <w:r>
        <w:rPr>
          <w:rFonts w:hint="eastAsia"/>
        </w:rPr>
        <w:t xml:space="preserve">天约为</w:t>
      </w:r>
      <w:r>
        <w:t xml:space="preserve"> 111.71 </w:t>
      </w:r>
      <w:r>
        <w:rPr>
          <w:rFonts w:hint="eastAsia"/>
        </w:rPr>
        <w:t xml:space="preserve">美元/桶，且仍保留二次跳涨风险；悲观路径中</w:t>
      </w:r>
      <w:r>
        <w:t xml:space="preserve"> SPR </w:t>
      </w:r>
      <w:r>
        <w:rPr>
          <w:rFonts w:hint="eastAsia"/>
        </w:rPr>
        <w:t xml:space="preserve">等效预算耗尽，使剩余缺口和制度风险溢价继续支撑高位。敏感性分析表明，封锁风险衰减速度、地缘风险权重和不确定性与制度风险强度是综合敏感度最高的三个因素。传统蒙特卡洛情景树用于刻画多参数扰动下的条件区间；进一步引入由</w:t>
      </w:r>
      <w:r>
        <w:t xml:space="preserve"> 2017–2025 </w:t>
      </w:r>
      <w:r>
        <w:rPr>
          <w:rFonts w:hint="eastAsia"/>
        </w:rPr>
        <w:t xml:space="preserve">历史价格状态转移校准、并受</w:t>
      </w:r>
      <w:r>
        <w:t xml:space="preserve"> </w:t>
      </w:r>
      <w:r>
        <w:rPr>
          <w:rFonts w:hint="eastAsia"/>
        </w:rPr>
        <w:t xml:space="preserve">SPR/库存/缺口物理压力、恢复证据门控与</w:t>
      </w:r>
      <w:r>
        <w:t xml:space="preserve"> GPR/OVX </w:t>
      </w:r>
      <w:r>
        <w:rPr>
          <w:rFonts w:hint="eastAsia"/>
        </w:rPr>
        <w:t xml:space="preserve">共同约束的三状态</w:t>
      </w:r>
      <w:r>
        <w:t xml:space="preserve"> logit–softmax </w:t>
      </w:r>
      <w:r>
        <w:rPr>
          <w:rFonts w:hint="eastAsia"/>
        </w:rPr>
        <w:t xml:space="preserve">转移扰动后，第</w:t>
      </w:r>
      <w:r>
        <w:t xml:space="preserve"> 180 </w:t>
      </w:r>
      <w:r>
        <w:rPr>
          <w:rFonts w:hint="eastAsia"/>
        </w:rPr>
        <w:t xml:space="preserve">天价格中位数为</w:t>
      </w:r>
      <w:r>
        <w:t xml:space="preserve"> 95.90 </w:t>
      </w:r>
      <w:r>
        <w:rPr>
          <w:rFonts w:hint="eastAsia"/>
        </w:rPr>
        <w:t xml:space="preserve">美元/桶，5%–95%</w:t>
      </w:r>
      <w:r>
        <w:t xml:space="preserve"> </w:t>
      </w:r>
      <w:r>
        <w:rPr>
          <w:rFonts w:hint="eastAsia"/>
        </w:rPr>
        <w:t xml:space="preserve">条件区间为</w:t>
      </w:r>
      <w:r>
        <w:t xml:space="preserve"> 90.20–108.95 </w:t>
      </w:r>
      <w:r>
        <w:rPr>
          <w:rFonts w:hint="eastAsia"/>
        </w:rPr>
        <w:t xml:space="preserve">美元/桶，外推期最高价</w:t>
      </w:r>
      <w:r>
        <w:t xml:space="preserve"> P95 </w:t>
      </w:r>
      <w:r>
        <w:rPr>
          <w:rFonts w:hint="eastAsia"/>
        </w:rPr>
        <w:t xml:space="preserve">为</w:t>
      </w:r>
      <w:r>
        <w:t xml:space="preserve"> 129.10 </w:t>
      </w:r>
      <w:r>
        <w:rPr>
          <w:rFonts w:hint="eastAsia"/>
        </w:rPr>
        <w:t xml:space="preserve">美元/桶，突破</w:t>
      </w:r>
      <w:r>
        <w:t xml:space="preserve"> 120 </w:t>
      </w:r>
      <w:r>
        <w:rPr>
          <w:rFonts w:hint="eastAsia"/>
        </w:rPr>
        <w:t xml:space="preserve">美元/桶的条件概率为</w:t>
      </w:r>
      <w:r>
        <w:t xml:space="preserve"> 47.9%。GPR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年历史同长度窗口检验说明，2026</w:t>
      </w:r>
      <w:r>
        <w:t xml:space="preserve"> </w:t>
      </w:r>
      <w:r>
        <w:rPr>
          <w:rFonts w:hint="eastAsia"/>
        </w:rPr>
        <w:t xml:space="preserve">冲突窗口具有罕见地缘风险和高波动特征；外部风险指标在本文中用于中长期约束和风险校验，不作为短期同步拟合因子。</w:t>
      </w:r>
    </w:p>
    <w:p>
      <w:pPr>
        <w:pStyle w:val="BodyText"/>
      </w:pPr>
      <w:r>
        <w:rPr>
          <w:rFonts w:hint="eastAsia"/>
          <w:b/>
          <w:bCs/>
        </w:rPr>
        <w:t xml:space="preserve">关键词：</w:t>
      </w:r>
      <w:r>
        <w:t xml:space="preserve"> </w:t>
      </w:r>
      <w:r>
        <w:rPr>
          <w:rFonts w:hint="eastAsia"/>
        </w:rPr>
        <w:t xml:space="preserve">霍尔木兹海峡；原油价格；短期冲击模型；中长期油价调节模型；战略石油储备；敏感性分析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是中东原油进入国际市场的重要通道。若该通道发生封锁，全球原油市场将面对突发供应缺口。赛题要求分析封锁对国际原油价格的影响，并特别关注短期价格冲击、缓冲机制、持续</w:t>
      </w:r>
      <w:r>
        <w:t xml:space="preserve"> 60–180 </w:t>
      </w:r>
      <w:r>
        <w:rPr>
          <w:rFonts w:hint="eastAsia"/>
        </w:rPr>
        <w:t xml:space="preserve">天时的价格路径以及关键因素敏感性。</w:t>
      </w:r>
    </w:p>
    <w:p>
      <w:pPr>
        <w:pStyle w:val="BodyText"/>
      </w:pPr>
      <w:r>
        <w:rPr>
          <w:rFonts w:hint="eastAsia"/>
        </w:rPr>
        <w:t xml:space="preserve">本文将问题拆解为四个层次：</w:t>
      </w:r>
    </w:p>
    <w:p>
      <w:pPr>
        <w:numPr>
          <w:ilvl w:val="0"/>
          <w:numId w:val="1001"/>
        </w:numPr>
      </w:pPr>
      <w:r>
        <w:rPr>
          <w:rFonts w:hint="eastAsia"/>
        </w:rPr>
        <w:t xml:space="preserve">数据层：清洗附件价格数据，确定真实拟合口径和冲突窗口。</w:t>
      </w:r>
    </w:p>
    <w:p>
      <w:pPr>
        <w:numPr>
          <w:ilvl w:val="0"/>
          <w:numId w:val="1001"/>
        </w:numPr>
      </w:pPr>
      <w:r>
        <w:rPr>
          <w:rFonts w:hint="eastAsia"/>
        </w:rPr>
        <w:t xml:space="preserve">基准层：用传统低弹性供需模型估计无缓冲理论上界。</w:t>
      </w:r>
    </w:p>
    <w:p>
      <w:pPr>
        <w:numPr>
          <w:ilvl w:val="0"/>
          <w:numId w:val="1001"/>
        </w:numPr>
      </w:pPr>
      <w:r>
        <w:rPr>
          <w:rFonts w:hint="eastAsia"/>
        </w:rPr>
        <w:t xml:space="preserve">短期冲击层：引入</w:t>
      </w:r>
      <w:r>
        <w:t xml:space="preserve"> </w:t>
      </w:r>
      <w:r>
        <w:rPr>
          <w:rFonts w:hint="eastAsia"/>
        </w:rPr>
        <w:t xml:space="preserve">SPR、库存、绕道、需求调整、恐慌衰减和预期修复，解释</w:t>
      </w:r>
      <w:r>
        <w:t xml:space="preserve"> 0–60 </w:t>
      </w:r>
      <w:r>
        <w:rPr>
          <w:rFonts w:hint="eastAsia"/>
        </w:rPr>
        <w:t xml:space="preserve">天现实价格路径。</w:t>
      </w:r>
    </w:p>
    <w:p>
      <w:pPr>
        <w:numPr>
          <w:ilvl w:val="0"/>
          <w:numId w:val="1001"/>
        </w:numPr>
      </w:pPr>
      <w:r>
        <w:rPr>
          <w:rFonts w:hint="eastAsia"/>
        </w:rPr>
        <w:t xml:space="preserve">中长期调节层：构建</w:t>
      </w:r>
      <w:r>
        <w:t xml:space="preserve"> 60–180 </w:t>
      </w:r>
      <w:r>
        <w:rPr>
          <w:rFonts w:hint="eastAsia"/>
        </w:rPr>
        <w:t xml:space="preserve">天中长期油价调节模型，并通过敏感性分析识别关键变量。</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w:t>
            </w:r>
            <w:r>
              <w:rPr>
                <w:rFonts w:hint="eastAsia"/>
              </w:rPr>
              <w:t xml:space="preserve">1：短期冲击模型（0–60</w:t>
            </w:r>
            <w:r>
              <w:t xml:space="preserve"> </w:t>
            </w:r>
            <w:r>
              <w:rPr>
                <w:rFonts w:hint="eastAsia"/>
              </w:rPr>
              <w:t xml:space="preserve">天）</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完成附件数据清洗、传统供需基准、短期冲击模型、参数校准和鲁棒性检验，给出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w:t>
            </w:r>
            <w:r>
              <w:rPr>
                <w:rFonts w:hint="eastAsia"/>
              </w:rPr>
              <w:t xml:space="preserve">2：中长期油价调节模型（60–180</w:t>
            </w:r>
            <w:r>
              <w:t xml:space="preserve"> </w:t>
            </w:r>
            <w:r>
              <w:rPr>
                <w:rFonts w:hint="eastAsia"/>
              </w:rPr>
              <w:t xml:space="preserve">天）</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3" w:name="问题分析与总体思路"/>
    <w:p>
      <w:pPr>
        <w:pStyle w:val="Heading1"/>
      </w:pPr>
      <w:r>
        <w:rPr>
          <w:rFonts w:hint="eastAsia"/>
        </w:rPr>
        <w:t xml:space="preserve">问题分析与总体思路</w:t>
      </w:r>
    </w:p>
    <w:p>
      <w:pPr>
        <w:pStyle w:val="FirstParagraph"/>
      </w:pPr>
      <w:r>
        <w:rPr>
          <w:rFonts w:hint="eastAsia"/>
        </w:rPr>
        <w:t xml:space="preserve">本题的难点不在于直接套用一个时间序列模型，而在于解释</w:t>
      </w:r>
      <w:r>
        <w:rPr>
          <w:rFonts w:hint="eastAsia"/>
        </w:rPr>
        <w:t xml:space="preserve">“为什么低弹性供需冲击会给出很高理论价格，而附件真实价格却停留在约</w:t>
      </w:r>
      <w:r>
        <w:t xml:space="preserve"> 110–120 </w:t>
      </w:r>
      <w:r>
        <w:rPr>
          <w:rFonts w:hint="eastAsia"/>
        </w:rPr>
        <w:t xml:space="preserve">美元/桶的平台附近”</w:t>
      </w:r>
      <w:r>
        <w:rPr>
          <w:rFonts w:hint="eastAsia"/>
        </w:rPr>
        <w:t xml:space="preserve">。因此，本文将建模思路分成三条互相支撑的证据线。</w:t>
      </w:r>
    </w:p>
    <w:p>
      <w:pPr>
        <w:numPr>
          <w:ilvl w:val="0"/>
          <w:numId w:val="1002"/>
        </w:numPr>
      </w:pPr>
      <w:r>
        <w:rPr>
          <w:rFonts w:hint="eastAsia"/>
        </w:rPr>
        <w:t xml:space="preserve">先建立传统供需基准，用题面低短期弹性和供应中断范围计算无缓冲理论上界，作为后续动态模型的反事实参照。</w:t>
      </w:r>
    </w:p>
    <w:p>
      <w:pPr>
        <w:numPr>
          <w:ilvl w:val="0"/>
          <w:numId w:val="1002"/>
        </w:numPr>
      </w:pPr>
      <w:r>
        <w:rPr>
          <w:rFonts w:hint="eastAsia"/>
        </w:rPr>
        <w:t xml:space="preserve">再建立短期冲击模型，把</w:t>
      </w:r>
      <w:r>
        <w:t xml:space="preserve"> </w:t>
      </w:r>
      <w:r>
        <w:rPr>
          <w:rFonts w:hint="eastAsia"/>
        </w:rPr>
        <w:t xml:space="preserve">SPR、商业库存、绕道运输、需求收缩、恐慌衰减和预期修复纳入同一日度递推框架，解释附件冲突窗口内的真实价格路径。</w:t>
      </w:r>
    </w:p>
    <w:p>
      <w:pPr>
        <w:numPr>
          <w:ilvl w:val="0"/>
          <w:numId w:val="1002"/>
        </w:numPr>
      </w:pPr>
      <w:r>
        <w:rPr>
          <w:rFonts w:hint="eastAsia"/>
        </w:rPr>
        <w:t xml:space="preserve">最后建立中长期油价调节模型，并通过三情景预测、敏感性分析、蒙特卡洛情景树、滞后地缘风险指数检验和历史样本稳健性检验识别影响长期价格平衡点和二次跳涨风险的关键变量。</w:t>
      </w:r>
    </w:p>
    <w:bookmarkStart w:id="10" w:name="fig:paper-roadmap"/>
    <w:tbl>
      <w:tblPr>
        <w:tblStyle w:val="FigureTable"/>
        <w:tblW w:type="auto" w:w="0"/>
        <w:jc w:val="center"/>
        <w:tblLook w:firstRow="0" w:lastRow="0" w:firstColumn="0" w:lastColumn="0"/>
      </w:tblPr>
      <w:tblGrid/>
    </w:tbl>
    <w:p>
      <w:pPr>
        <w:pStyle w:val="ImageCaption"/>
      </w:pPr>
      <w:r>
        <w:rPr>
          <w:rFonts w:hint="eastAsia"/>
        </w:rPr>
        <w:t xml:space="preserve">本文总体技术路线</w:t>
      </w:r>
    </w:p>
    <w:bookmarkEnd w:id="10"/>
    <w:p>
      <w:pPr>
        <w:pStyle w:val="BodyText"/>
      </w:pPr>
      <w:r>
        <w:rPr>
          <w:rFonts w:hint="eastAsia"/>
        </w:rPr>
        <w:t xml:space="preserve">这一技术路线的核心原则是：真实价格只来自附件数据；长期部分采用情景预测和区间表达；模型检验覆盖朴素基准、滞后复制、参数过拟合和结构稳定性等关键边界。</w:t>
      </w:r>
    </w:p>
    <w:p>
      <w:pPr>
        <w:pStyle w:val="BodyText"/>
      </w:pPr>
      <w:r>
        <w:rPr>
          <w:rFonts w:hint="eastAsia"/>
        </w:rPr>
        <w:t xml:space="preserve">最终论文使用赛题给定的两个模型名称组织主线：任务</w:t>
      </w:r>
      <w:r>
        <w:t xml:space="preserve"> 1 </w:t>
      </w:r>
      <w:r>
        <w:rPr>
          <w:rFonts w:hint="eastAsia"/>
        </w:rPr>
        <w:t xml:space="preserve">为短期冲击模型，任务</w:t>
      </w:r>
      <w:r>
        <w:t xml:space="preserve"> 2 </w:t>
      </w:r>
      <w:r>
        <w:rPr>
          <w:rFonts w:hint="eastAsia"/>
        </w:rPr>
        <w:t xml:space="preserve">为中长期油价调节模型。传统供需模型用于提供反事实基准；三情景、蒙特卡洛和状态转移情景树是中长期油价调节模型内部的条件外推方法；消融实验、敏感性分析和蒙特卡洛情景树用于证明因素是否值得保留，并刻画多因素同时恶化时的尾部风险。因素纳入原则见</w:t>
      </w:r>
      <w:hyperlink w:anchor="tab:factor-inclusion">
        <w:r>
          <w:rPr>
            <w:rStyle w:val="Hyperlink"/>
          </w:rPr>
          <w:t xml:space="preserve">1</w:t>
        </w:r>
      </w:hyperlink>
      <w:r>
        <w:t xml:space="preserve">。</w:t>
      </w:r>
    </w:p>
    <w:bookmarkStart w:id="11"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短期冲击模型物理层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进入短期冲击模型，参与</w:t>
            </w:r>
            <w:r>
              <w:t xml:space="preserve"> 0–60 </w:t>
            </w:r>
            <w:r>
              <w:rPr>
                <w:rFonts w:hint="eastAsia"/>
              </w:rPr>
              <w:t xml:space="preserve">天路径拟合与机制解释</w:t>
            </w:r>
          </w:p>
        </w:tc>
      </w:tr>
      <w:tr>
        <w:tc>
          <w:tcPr/>
          <w:p>
            <w:pPr>
              <w:pStyle w:val="Compact"/>
              <w:jc w:val="left"/>
            </w:pPr>
            <w:r>
              <w:rPr>
                <w:rFonts w:hint="eastAsia"/>
              </w:rPr>
              <w:t xml:space="preserve">短期冲击模型价格形成层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进入短期冲击模型，但必须通过基准对比、消融实验和稳健性检验证明必要性</w:t>
            </w:r>
          </w:p>
        </w:tc>
      </w:tr>
      <w:tr>
        <w:tc>
          <w:tcPr/>
          <w:p>
            <w:pPr>
              <w:pStyle w:val="Compact"/>
              <w:jc w:val="left"/>
            </w:pPr>
            <w:r>
              <w:rPr>
                <w:rFonts w:hint="eastAsia"/>
              </w:rPr>
              <w:t xml:space="preserve">中长期调节层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不强行用于短期拟合，进入中长期油价调节模型和尾部风险解释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1"/>
    <w:p>
      <w:pPr>
        <w:pStyle w:val="BodyText"/>
      </w:pPr>
      <w:r>
        <w:rPr>
          <w:rFonts w:hint="eastAsia"/>
          <w:b/>
          <w:bCs/>
        </w:rPr>
        <w:t xml:space="preserve">结论</w:t>
      </w:r>
      <w:r>
        <w:rPr>
          <w:rFonts w:hint="eastAsia"/>
        </w:rPr>
        <w:t xml:space="preserve">围绕赛题目标，本文重点回答三个问题：传统供需模型为什么给出高理论压力；哪些缓冲机制能把价格压回现实平台；封锁延长至</w:t>
      </w:r>
      <w:r>
        <w:t xml:space="preserve"> 60–180 </w:t>
      </w:r>
      <w:r>
        <w:rPr>
          <w:rFonts w:hint="eastAsia"/>
        </w:rPr>
        <w:t xml:space="preserve">天时，哪些因素决定价格中枢和尾部跳涨风险。</w:t>
      </w:r>
    </w:p>
    <w:bookmarkStart w:id="12" w:name="文献依据与建模约束"/>
    <w:p>
      <w:pPr>
        <w:pStyle w:val="Heading4"/>
      </w:pPr>
      <w:r>
        <w:rPr>
          <w:rFonts w:hint="eastAsia"/>
        </w:rPr>
        <w:t xml:space="preserve">文献依据与建模约束</w:t>
      </w:r>
    </w:p>
    <w:p>
      <w:pPr>
        <w:pStyle w:val="FirstParagraph"/>
      </w:pPr>
      <w:r>
        <w:rPr>
          <w:rFonts w:hint="eastAsia"/>
        </w:rPr>
        <w:t xml:space="preserve">本文将文献调研转化为可执行的建模约束。Kilian（2009）和</w:t>
      </w:r>
      <w:r>
        <w:t xml:space="preserve"> </w:t>
      </w:r>
      <w:r>
        <w:rPr>
          <w:rFonts w:hint="eastAsia"/>
        </w:rPr>
        <w:t xml:space="preserve">Hamilton（2009）表明，油价冲击不能只由当期供应缺口解释，还需要区分供给、需求、预防性需求和宏观环境；Kilian</w:t>
      </w:r>
      <w:r>
        <w:t xml:space="preserve"> </w:t>
      </w:r>
      <w:r>
        <w:rPr>
          <w:rFonts w:hint="eastAsia"/>
        </w:rPr>
        <w:t xml:space="preserve">与</w:t>
      </w:r>
      <w:r>
        <w:t xml:space="preserve"> </w:t>
      </w:r>
      <w:r>
        <w:rPr>
          <w:rFonts w:hint="eastAsia"/>
        </w:rPr>
        <w:t xml:space="preserve">Murphy（2014）进一步说明库存和投机性需求会影响油价路径。因此，本文将传统供需模型定位为低弹性反事实上界，而不是最终预测模型。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Vigfusson（2013）指出，原油价格预测必须与无变化预测、随机游走等强基准比较，并明确预测期限和不确定性边界。因此，本文在短期部分设置上一日价格朴素基准、漂移随机游走和滚动</w:t>
      </w:r>
      <w:r>
        <w:t xml:space="preserve"> </w:t>
      </w:r>
      <w:r>
        <w:rPr>
          <w:rFonts w:hint="eastAsia"/>
        </w:rPr>
        <w:t xml:space="preserve">ARIMA；在长期部分不把中性线写成逐日真实价格预测，而是同时给出三情景中心路径、蒙特卡洛扇形区间和状态转移尾部风险。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释放能够影响油价，但其作用通常是临时削峰和稳定预期，不能被写成完全抵消供应中断的万能机制。因此，本文把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等（2019）说明地缘风险更适合解释油价波动和尾部风险。由于</w:t>
      </w:r>
      <w:r>
        <w:t xml:space="preserve"> GPR </w:t>
      </w:r>
      <w:r>
        <w:rPr>
          <w:rFonts w:hint="eastAsia"/>
        </w:rPr>
        <w:t xml:space="preserve">来自新闻文本，本文将其作为外部风险校验和滞后检验变量，不进入短期同步拟合。进一步地，本文接入</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隐含波动率，将更接近市场交易定价的风险变量用于长期风险权重和不确定性强度约束，而非短期方向预测因子。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传统基准与短期冲击模型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中长期结果应报告情景、区间和尾部概率，不夸大单点预测</w:t>
            </w:r>
          </w:p>
        </w:tc>
        <w:tc>
          <w:tcPr/>
          <w:p>
            <w:pPr>
              <w:pStyle w:val="Compact"/>
              <w:jc w:val="left"/>
            </w:pPr>
            <w:r>
              <w:rPr>
                <w:rFonts w:hint="eastAsia"/>
              </w:rPr>
              <w:t xml:space="preserve">中长期油价调节模型、蒙特卡洛和状态转移情景树</w:t>
            </w:r>
          </w:p>
        </w:tc>
      </w:tr>
    </w:tbl>
    <w:bookmarkEnd w:id="12"/>
    <w:bookmarkEnd w:id="13"/>
    <w:bookmarkStart w:id="26" w:name="数据处理与描述性分析"/>
    <w:p>
      <w:pPr>
        <w:pStyle w:val="Heading1"/>
      </w:pPr>
      <w:r>
        <w:rPr>
          <w:rFonts w:hint="eastAsia"/>
        </w:rPr>
        <w:t xml:space="preserve">数据处理与描述性分析</w:t>
      </w:r>
    </w:p>
    <w:bookmarkStart w:id="1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日。清洗工作包括日期解析、数值字段标准化、收益率计算、滚动波动率计算和冲突窗口截取。第一条记录的前收盘价缺失属于正常时间序列边界，冲突窗口内收盘价不存在缺失。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w:t>
      </w:r>
      <w:r>
        <w:t xml:space="preserve"> </w:t>
      </w:r>
      <w:r>
        <w:rPr>
          <w:rStyle w:val="VerbatimChar"/>
        </w:rPr>
        <w:t xml:space="preserve">close_price</w:t>
      </w:r>
      <w:r>
        <w:t xml:space="preserve"> </w:t>
      </w:r>
      <w:r>
        <w:rPr>
          <w:rFonts w:hint="eastAsia"/>
        </w:rPr>
        <w:t xml:space="preserve">作为短期拟合和误差评价目标；</w:t>
      </w:r>
      <w:r>
        <w:rPr>
          <w:rStyle w:val="VerbatimChar"/>
        </w:rPr>
        <w:t xml:space="preserve">open_price</w:t>
      </w:r>
      <w:r>
        <w:t xml:space="preserve">、</w:t>
      </w:r>
      <w:r>
        <w:rPr>
          <w:rStyle w:val="VerbatimChar"/>
        </w:rPr>
        <w:t xml:space="preserve">high_price</w:t>
      </w:r>
      <w:r>
        <w:t xml:space="preserve">、</w:t>
      </w:r>
      <w:r>
        <w:rPr>
          <w:rStyle w:val="VerbatimChar"/>
        </w:rPr>
        <w:t xml:space="preserve">low_price</w:t>
      </w:r>
      <w:r>
        <w:t xml:space="preserve"> </w:t>
      </w:r>
      <w:r>
        <w:rPr>
          <w:rFonts w:hint="eastAsia"/>
        </w:rPr>
        <w:t xml:space="preserve">与</w:t>
      </w:r>
      <w:r>
        <w:t xml:space="preserve"> </w:t>
      </w:r>
      <w:r>
        <w:rPr>
          <w:rStyle w:val="VerbatimChar"/>
        </w:rPr>
        <w:t xml:space="preserve">pre_close_price</w:t>
      </w:r>
      <w:r>
        <w:t xml:space="preserve"> </w:t>
      </w:r>
      <w:r>
        <w:rPr>
          <w:rFonts w:hint="eastAsia"/>
        </w:rPr>
        <w:t xml:space="preserve">用于日内振幅、收益率、滚动波动率和冲击峰值描述。题面极端峰值与附件</w:t>
      </w:r>
      <w:r>
        <w:t xml:space="preserve"> CSV </w:t>
      </w:r>
      <w:r>
        <w:rPr>
          <w:rFonts w:hint="eastAsia"/>
        </w:rPr>
        <w:t xml:space="preserve">的收盘价口径不同，因此题面峰值只作为冲击背景，不参与</w:t>
      </w:r>
      <w:r>
        <w:t xml:space="preserve"> RMSE、MAE、MAPE </w:t>
      </w:r>
      <w:r>
        <w:rPr>
          <w:rFonts w:hint="eastAsia"/>
        </w:rPr>
        <w:t xml:space="preserve">等误差计算。</w:t>
      </w:r>
    </w:p>
    <w:p>
      <w:pPr>
        <w:pStyle w:val="BodyText"/>
      </w:pPr>
      <w:r>
        <w:rPr>
          <w:rFonts w:hint="eastAsia"/>
        </w:rPr>
        <w:t xml:space="preserve">为统一数据口径，本文将数据分为</w:t>
      </w:r>
      <w:r>
        <w:rPr>
          <w:rFonts w:hint="eastAsia"/>
        </w:rPr>
        <w:t xml:space="preserve">“拟合目标”</w:t>
      </w:r>
      <w:r>
        <w:rPr>
          <w:rFonts w:hint="eastAsia"/>
        </w:rPr>
        <w:t xml:space="preserve">“长期约束”</w:t>
      </w:r>
      <w:r>
        <w:rPr>
          <w:rFonts w:hint="eastAsia"/>
        </w:rPr>
        <w:t xml:space="preserve">“风险校验”</w:t>
      </w:r>
      <w:r>
        <w:rPr>
          <w:rFonts w:hint="eastAsia"/>
        </w:rPr>
        <w:t xml:space="preserve">和</w:t>
      </w:r>
      <w:r>
        <w:rPr>
          <w:rFonts w:hint="eastAsia"/>
        </w:rPr>
        <w:t xml:space="preserve">“候选市场变量”</w:t>
      </w:r>
      <w:r>
        <w:rPr>
          <w:rFonts w:hint="eastAsia"/>
        </w:rPr>
        <w:t xml:space="preserve">四类。EIA、JODI、OPEC、GPR、OVX</w:t>
      </w:r>
      <w:r>
        <w:t xml:space="preserve"> </w:t>
      </w:r>
      <w:r>
        <w:rPr>
          <w:rFonts w:hint="eastAsia"/>
        </w:rPr>
        <w:t xml:space="preserve">和期限结构资料用于数量级约束、风险校验或后续扩展，不构造新的真实油价。</w:t>
      </w:r>
      <w:hyperlink w:anchor="tab:external-data-role">
        <w:r>
          <w:rPr>
            <w:rStyle w:val="Hyperlink"/>
          </w:rPr>
          <w:t xml:space="preserve">[tab:external-data-role]</w:t>
        </w:r>
      </w:hyperlink>
      <w:r>
        <w:t xml:space="preserve"> </w:t>
      </w:r>
      <w:r>
        <w:rPr>
          <w:rFonts w:hint="eastAsia"/>
        </w:rPr>
        <w:t xml:space="preserve">给出各类数据在模型中的位置。</w:t>
      </w:r>
    </w:p>
    <w:p>
      <w:pPr>
        <w:pStyle w:val="BodyText"/>
      </w:pPr>
      <w:r>
        <w:t xml:space="preserve">L</w:t>
      </w:r>
      <w:r>
        <w:t xml:space="preserve">2.8cm</w:t>
      </w:r>
      <w:r>
        <w:t xml:space="preserve">L</w:t>
      </w:r>
      <w:r>
        <w:t xml:space="preserve">3.0cm</w:t>
      </w:r>
      <w:r>
        <w:t xml:space="preserve">L</w:t>
      </w:r>
      <w:r>
        <w:t xml:space="preserve">4.0cm</w:t>
      </w:r>
      <w:r>
        <w:t xml:space="preserve">Y</w:t>
      </w:r>
      <w:r>
        <w:t xml:space="preserve"> </w:t>
      </w:r>
      <w:r>
        <w:rPr>
          <w:rFonts w:hint="eastAsia"/>
        </w:rPr>
        <w:t xml:space="preserve">来源</w:t>
      </w:r>
      <w:r>
        <w:t xml:space="preserve"> &amp; </w:t>
      </w:r>
      <w:r>
        <w:rPr>
          <w:rFonts w:hint="eastAsia"/>
        </w:rPr>
        <w:t xml:space="preserve">数据对象</w:t>
      </w:r>
      <w:r>
        <w:t xml:space="preserve"> &amp; </w:t>
      </w:r>
      <w:r>
        <w:rPr>
          <w:rFonts w:hint="eastAsia"/>
        </w:rPr>
        <w:t xml:space="preserve">在模型中的作用</w:t>
      </w:r>
      <w:r>
        <w:t xml:space="preserve"> &amp; </w:t>
      </w:r>
      <w:r>
        <w:rPr>
          <w:rFonts w:hint="eastAsia"/>
        </w:rPr>
        <w:t xml:space="preserve">使用边界</w:t>
      </w:r>
      <w:r>
        <w:br/>
      </w:r>
      <w:r>
        <w:rPr>
          <w:rFonts w:hint="eastAsia"/>
        </w:rPr>
        <w:t xml:space="preserve">赛题附件</w:t>
      </w:r>
      <w:r>
        <w:t xml:space="preserve"> CSV &amp; 2017–2026 </w:t>
      </w:r>
      <w:r>
        <w:rPr>
          <w:rFonts w:hint="eastAsia"/>
        </w:rPr>
        <w:t xml:space="preserve">年布伦特原油期货主力合约价格</w:t>
      </w:r>
      <w:r>
        <w:t xml:space="preserve"> &amp; </w:t>
      </w:r>
      <w:r>
        <w:rPr>
          <w:rFonts w:hint="eastAsia"/>
        </w:rPr>
        <w:t xml:space="preserve">短期冲击模型拟合目标、基准模型对比、历史滚动窗口检验</w:t>
      </w:r>
      <w:r>
        <w:t xml:space="preserve"> &amp; </w:t>
      </w:r>
      <w:r>
        <w:rPr>
          <w:rFonts w:hint="eastAsia"/>
        </w:rPr>
        <w:t xml:space="preserve">短期</w:t>
      </w:r>
      <w:r>
        <w:t xml:space="preserve"> RMSE、MAE、MAPE </w:t>
      </w:r>
      <w:r>
        <w:rPr>
          <w:rFonts w:hint="eastAsia"/>
        </w:rPr>
        <w:t xml:space="preserve">均以附件收盘价计算</w:t>
      </w:r>
      <w:r>
        <w:br/>
      </w:r>
      <w:r>
        <w:t xml:space="preserve">EIA </w:t>
      </w:r>
      <w:r>
        <w:rPr>
          <w:rFonts w:hint="eastAsia"/>
        </w:rPr>
        <w:t xml:space="preserve">周度石油数据</w:t>
      </w:r>
      <w:r>
        <w:t xml:space="preserve"> &amp; </w:t>
      </w:r>
      <w:r>
        <w:rPr>
          <w:rFonts w:hint="eastAsia"/>
        </w:rPr>
        <w:t xml:space="preserve">美国</w:t>
      </w:r>
      <w:r>
        <w:t xml:space="preserve"> SPR </w:t>
      </w:r>
      <w:r>
        <w:rPr>
          <w:rFonts w:hint="eastAsia"/>
        </w:rPr>
        <w:t xml:space="preserve">库存、商业库存、原油产量</w:t>
      </w:r>
      <w:r>
        <w:t xml:space="preserve"> &amp; </w:t>
      </w:r>
      <w:r>
        <w:rPr>
          <w:rFonts w:hint="eastAsia"/>
        </w:rPr>
        <w:t xml:space="preserve">中长期油价调节模型中的库存缓冲、SPR</w:t>
      </w:r>
      <w:r>
        <w:t xml:space="preserve"> </w:t>
      </w:r>
      <w:r>
        <w:rPr>
          <w:rFonts w:hint="eastAsia"/>
        </w:rPr>
        <w:t xml:space="preserve">释放强度和非海湾供给恢复数量级校验</w:t>
      </w:r>
      <w:r>
        <w:t xml:space="preserve"> &amp; </w:t>
      </w:r>
      <w:r>
        <w:rPr>
          <w:rFonts w:hint="eastAsia"/>
        </w:rPr>
        <w:t xml:space="preserve">美国口径，不等同全球总量；不参与短期模型拟合</w:t>
      </w:r>
      <w:r>
        <w:br/>
      </w:r>
      <w:r>
        <w:t xml:space="preserve">JODI Oil World Database &amp; </w:t>
      </w:r>
      <w:r>
        <w:rPr>
          <w:rFonts w:hint="eastAsia"/>
        </w:rPr>
        <w:t xml:space="preserve">多国月度产量、库存、进出口、需求、炼厂产出</w:t>
      </w:r>
      <w:r>
        <w:t xml:space="preserve"> &amp; </w:t>
      </w:r>
      <w:r>
        <w:rPr>
          <w:rFonts w:hint="eastAsia"/>
        </w:rPr>
        <w:t xml:space="preserve">多国上报口径下的供需与库存约束，辅助校验中长期参数方向</w:t>
      </w:r>
      <w:r>
        <w:t xml:space="preserve"> &amp; </w:t>
      </w:r>
      <w:r>
        <w:rPr>
          <w:rFonts w:hint="eastAsia"/>
        </w:rPr>
        <w:t xml:space="preserve">有国家覆盖差异和发布滞后，只作同口径数量级校验</w:t>
      </w:r>
      <w:r>
        <w:br/>
      </w:r>
      <w:r>
        <w:t xml:space="preserve">OPEC MOMR &amp; </w:t>
      </w:r>
      <w:r>
        <w:rPr>
          <w:rFonts w:hint="eastAsia"/>
        </w:rPr>
        <w:t xml:space="preserve">全球供需平衡表、需求增量、非</w:t>
      </w:r>
      <w:r>
        <w:t xml:space="preserve"> DoC </w:t>
      </w:r>
      <w:r>
        <w:rPr>
          <w:rFonts w:hint="eastAsia"/>
        </w:rPr>
        <w:t xml:space="preserve">供给增量、DoC</w:t>
      </w:r>
      <w:r>
        <w:t xml:space="preserve"> </w:t>
      </w:r>
      <w:r>
        <w:rPr>
          <w:rFonts w:hint="eastAsia"/>
        </w:rPr>
        <w:t xml:space="preserve">原油需求差额</w:t>
      </w:r>
      <w:r>
        <w:t xml:space="preserve"> &amp; </w:t>
      </w:r>
      <w:r>
        <w:rPr>
          <w:rFonts w:hint="eastAsia"/>
        </w:rPr>
        <w:t xml:space="preserve">约束中长期油价调节模型中的需求背景、供给恢复和尾部压力</w:t>
      </w:r>
      <w:r>
        <w:t xml:space="preserve"> &amp; </w:t>
      </w:r>
      <w:r>
        <w:rPr>
          <w:rFonts w:hint="eastAsia"/>
        </w:rPr>
        <w:t xml:space="preserve">正常基线预测，不替代霍尔木兹封锁冲击参数</w:t>
      </w:r>
      <w:r>
        <w:br/>
      </w:r>
      <w:r>
        <w:t xml:space="preserve">Caldara-Iacoviello GPR &amp; </w:t>
      </w:r>
      <w:r>
        <w:rPr>
          <w:rFonts w:hint="eastAsia"/>
        </w:rPr>
        <w:t xml:space="preserve">月度地缘政治风险指数</w:t>
      </w:r>
      <w:r>
        <w:t xml:space="preserve"> &amp; </w:t>
      </w:r>
      <w:r>
        <w:rPr>
          <w:rFonts w:hint="eastAsia"/>
        </w:rPr>
        <w:t xml:space="preserve">外部校验地缘风险溢价，并进行滞后相关检验</w:t>
      </w:r>
      <w:r>
        <w:t xml:space="preserve"> &amp; </w:t>
      </w:r>
      <w:r>
        <w:rPr>
          <w:rFonts w:hint="eastAsia"/>
        </w:rPr>
        <w:t xml:space="preserve">指数由新闻构造，避免同月解释同月价格；不作为短期同步拟合输入</w:t>
      </w:r>
      <w:r>
        <w:br/>
      </w:r>
      <w:r>
        <w:t xml:space="preserve">FRED/Cboe OVX &amp; </w:t>
      </w:r>
      <w:r>
        <w:rPr>
          <w:rFonts w:hint="eastAsia"/>
        </w:rPr>
        <w:t xml:space="preserve">原油</w:t>
      </w:r>
      <w:r>
        <w:t xml:space="preserve"> ETF </w:t>
      </w:r>
      <w:r>
        <w:rPr>
          <w:rFonts w:hint="eastAsia"/>
        </w:rPr>
        <w:t xml:space="preserve">隐含波动率</w:t>
      </w:r>
      <w:r>
        <w:t xml:space="preserve"> &amp; </w:t>
      </w:r>
      <w:r>
        <w:rPr>
          <w:rFonts w:hint="eastAsia"/>
        </w:rPr>
        <w:t xml:space="preserve">约束长期状态转移压力、不确定性强度和尾部风险</w:t>
      </w:r>
      <w:r>
        <w:t xml:space="preserve"> &amp; </w:t>
      </w:r>
      <w:r>
        <w:rPr>
          <w:rFonts w:hint="eastAsia"/>
        </w:rPr>
        <w:t xml:space="preserve">反映期权市场波动预期，不直接预测日度价格方向</w:t>
      </w:r>
      <w:r>
        <w:br/>
      </w:r>
      <w:r>
        <w:t xml:space="preserve">ICE / EIA </w:t>
      </w:r>
      <w:r>
        <w:rPr>
          <w:rFonts w:hint="eastAsia"/>
        </w:rPr>
        <w:t xml:space="preserve">报道</w:t>
      </w:r>
      <w:r>
        <w:t xml:space="preserve"> &amp; Brent </w:t>
      </w:r>
      <w:r>
        <w:rPr>
          <w:rFonts w:hint="eastAsia"/>
        </w:rPr>
        <w:t xml:space="preserve">多期限官方结算价候选来源、现货-近月期货价差公开证据</w:t>
      </w:r>
      <w:r>
        <w:t xml:space="preserve"> &amp; </w:t>
      </w:r>
      <w:r>
        <w:rPr>
          <w:rFonts w:hint="eastAsia"/>
        </w:rPr>
        <w:t xml:space="preserve">候选期限结构变量，用于未来约束近端短缺和库存压力</w:t>
      </w:r>
      <w:r>
        <w:t xml:space="preserve"> &amp; </w:t>
      </w:r>
      <w:r>
        <w:rPr>
          <w:rFonts w:hint="eastAsia"/>
        </w:rPr>
        <w:t xml:space="preserve">当前未获得完整可复现多期限曲线，暂不写入数值模型；后续只采用</w:t>
      </w:r>
      <w:r>
        <w:t xml:space="preserve"> ICE </w:t>
      </w:r>
      <w:r>
        <w:rPr>
          <w:rFonts w:hint="eastAsia"/>
        </w:rPr>
        <w:t xml:space="preserve">官方多期限结算价口径</w:t>
      </w:r>
      <w:r>
        <w:br/>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bookmarkEnd w:id="14"/>
    <w:bookmarkStart w:id="21" w:name="外部供需与风险约束"/>
    <w:p>
      <w:pPr>
        <w:pStyle w:val="Heading2"/>
      </w:pPr>
      <w:r>
        <w:rPr>
          <w:rFonts w:hint="eastAsia"/>
        </w:rPr>
        <w:t xml:space="preserve">外部供需与风险约束</w:t>
      </w:r>
    </w:p>
    <w:p>
      <w:pPr>
        <w:pStyle w:val="FirstParagraph"/>
      </w:pPr>
      <w:r>
        <w:rPr>
          <w:rFonts w:hint="eastAsia"/>
        </w:rPr>
        <w:t xml:space="preserve">为避免中长期参数只由冲突窗口拟合得到，本文引入</w:t>
      </w:r>
      <w:r>
        <w:t xml:space="preserve"> EIA、JODI </w:t>
      </w:r>
      <w:r>
        <w:rPr>
          <w:rFonts w:hint="eastAsia"/>
        </w:rPr>
        <w:t xml:space="preserve">和</w:t>
      </w:r>
      <w:r>
        <w:t xml:space="preserve"> OPEC </w:t>
      </w:r>
      <w:r>
        <w:rPr>
          <w:rFonts w:hint="eastAsia"/>
        </w:rPr>
        <w:t xml:space="preserve">三类官方数据，对</w:t>
      </w:r>
      <w:r>
        <w:t xml:space="preserve"> </w:t>
      </w:r>
      <w:r>
        <w:rPr>
          <w:rFonts w:hint="eastAsia"/>
        </w:rPr>
        <w:t xml:space="preserve">SPR、商业库存、供给恢复、需求背景和尾部压力进行数量级约束。三类数据的口径不同：EIA</w:t>
      </w:r>
      <w:r>
        <w:t xml:space="preserve"> </w:t>
      </w:r>
      <w:r>
        <w:rPr>
          <w:rFonts w:hint="eastAsia"/>
        </w:rPr>
        <w:t xml:space="preserve">为美国周度数据，JODI</w:t>
      </w:r>
      <w:r>
        <w:t xml:space="preserve"> </w:t>
      </w:r>
      <w:r>
        <w:rPr>
          <w:rFonts w:hint="eastAsia"/>
        </w:rPr>
        <w:t xml:space="preserve">为多国上报月度数据，OPEC</w:t>
      </w:r>
      <w:r>
        <w:t xml:space="preserve"> </w:t>
      </w:r>
      <w:r>
        <w:rPr>
          <w:rFonts w:hint="eastAsia"/>
        </w:rPr>
        <w:t xml:space="preserve">为全球供需基线预测。因此，它们只约束参数方向和合理范围，不替代附件价格序列。</w:t>
      </w:r>
    </w:p>
    <w:p>
      <w:pPr>
        <w:pStyle w:val="BodyText"/>
      </w:pPr>
      <w:r>
        <w:t xml:space="preserve">Y L</w:t>
      </w:r>
      <w:r>
        <w:t xml:space="preserve">2.2cm</w:t>
      </w:r>
      <w:r>
        <w:t xml:space="preserve"> </w:t>
      </w:r>
      <w:r>
        <w:t xml:space="preserve">S[table-format=6.0] S[table-format=6.0] S[table-format=-5.1] S[table-format=-2.2]</w:t>
      </w:r>
      <w:r>
        <w:t xml:space="preserve"> </w:t>
      </w:r>
      <w:r>
        <w:rPr>
          <w:rFonts w:hint="eastAsia"/>
        </w:rPr>
        <w:t xml:space="preserve">指标</w:t>
      </w:r>
      <w:r>
        <w:t xml:space="preserve"> &amp; </w:t>
      </w:r>
      <w:r>
        <w:rPr>
          <w:rFonts w:hint="eastAsia"/>
        </w:rPr>
        <w:t xml:space="preserve">变化口径</w:t>
      </w:r>
      <w:r>
        <w:t xml:space="preserve"> &amp;</w:t>
      </w:r>
      <w:r>
        <w:t xml:space="preserve"> </w:t>
      </w:r>
      <w:r>
        <w:rPr>
          <w:rFonts w:hint="eastAsia"/>
        </w:rPr>
        <w:t xml:space="preserve">冲突前</w:t>
      </w:r>
      <w:r>
        <w:t xml:space="preserve"> </w:t>
      </w:r>
      <w:r>
        <w:t xml:space="preserve">&amp;</w:t>
      </w:r>
      <w:r>
        <w:t xml:space="preserve"> </w:t>
      </w:r>
      <w:r>
        <w:rPr>
          <w:rFonts w:hint="eastAsia"/>
        </w:rPr>
        <w:t xml:space="preserve">窗口末</w:t>
      </w:r>
      <w:r>
        <w:t xml:space="preserve"> </w:t>
      </w:r>
      <w:r>
        <w:t xml:space="preserve">&amp;</w:t>
      </w:r>
      <w:r>
        <w:t xml:space="preserve"> </w:t>
      </w:r>
      <w:r>
        <w:rPr>
          <w:rFonts w:hint="eastAsia"/>
        </w:rPr>
        <w:t xml:space="preserve">窗口变化</w:t>
      </w:r>
      <w:r>
        <w:t xml:space="preserve"> </w:t>
      </w:r>
      <w:r>
        <w:t xml:space="preserve">&amp;</w:t>
      </w:r>
      <w:r>
        <w:t xml:space="preserve"> </w:t>
      </w:r>
      <w:r>
        <w:rPr>
          <w:rFonts w:hint="eastAsia"/>
        </w:rPr>
        <w:t xml:space="preserve">日均变化</w:t>
      </w:r>
      <w:r>
        <w:br/>
      </w:r>
      <w:r>
        <w:rPr>
          <w:rFonts w:hint="eastAsia"/>
        </w:rPr>
        <w:t xml:space="preserve">美国</w:t>
      </w:r>
      <w:r>
        <w:t xml:space="preserve"> SPR </w:t>
      </w:r>
      <w:r>
        <w:rPr>
          <w:rFonts w:hint="eastAsia"/>
        </w:rPr>
        <w:t xml:space="preserve">库存</w:t>
      </w:r>
      <w:r>
        <w:t xml:space="preserve"> &amp; </w:t>
      </w:r>
      <w:r>
        <w:rPr>
          <w:rFonts w:hint="eastAsia"/>
        </w:rPr>
        <w:t xml:space="preserve">千桶；万桶</w:t>
      </w:r>
      <w:r>
        <w:t xml:space="preserve"> &amp; 415441 &amp; 392700 &amp; -2274.1 &amp; -36.10</w:t>
      </w:r>
      <w:r>
        <w:br/>
      </w:r>
      <w:r>
        <w:rPr>
          <w:rFonts w:hint="eastAsia"/>
        </w:rPr>
        <w:t xml:space="preserve">美国商业库存</w:t>
      </w:r>
      <w:r>
        <w:t xml:space="preserve"> &amp; </w:t>
      </w:r>
      <w:r>
        <w:rPr>
          <w:rFonts w:hint="eastAsia"/>
        </w:rPr>
        <w:t xml:space="preserve">千桶；万桶</w:t>
      </w:r>
      <w:r>
        <w:t xml:space="preserve"> &amp; 439279 &amp; 457182 &amp; 1790.3 &amp; 28.42</w:t>
      </w:r>
      <w:r>
        <w:br/>
      </w:r>
      <w:r>
        <w:rPr>
          <w:rFonts w:hint="eastAsia"/>
        </w:rPr>
        <w:t xml:space="preserve">美国原油产量</w:t>
      </w:r>
      <w:r>
        <w:t xml:space="preserve"> &amp; </w:t>
      </w:r>
      <w:r>
        <w:rPr>
          <w:rFonts w:hint="eastAsia"/>
        </w:rPr>
        <w:t xml:space="preserve">千桶/日；万桶/日</w:t>
      </w:r>
      <w:r>
        <w:t xml:space="preserve"> &amp; 13696 &amp; 13573 &amp; -12.3 &amp; -0.20</w:t>
      </w:r>
      <w:r>
        <w:br/>
      </w:r>
    </w:p>
    <w:p>
      <w:pPr>
        <w:pStyle w:val="BodyText"/>
      </w:pPr>
      <w:r>
        <w:t xml:space="preserve">EIA </w:t>
      </w:r>
      <w:r>
        <w:rPr>
          <w:rFonts w:hint="eastAsia"/>
        </w:rPr>
        <w:t xml:space="preserve">数据显示，美国</w:t>
      </w:r>
      <w:r>
        <w:t xml:space="preserve"> SPR </w:t>
      </w:r>
      <w:r>
        <w:rPr>
          <w:rFonts w:hint="eastAsia"/>
        </w:rPr>
        <w:t xml:space="preserve">释放强度明显低于赛题给定的国际协调释放上限，美国商业库存未在冲突窗口内快速耗尽，美国原油产量短期变化较小。这说明模型中的</w:t>
      </w:r>
      <w:r>
        <w:t xml:space="preserve"> SPR </w:t>
      </w:r>
      <w:r>
        <w:rPr>
          <w:rFonts w:hint="eastAsia"/>
        </w:rPr>
        <w:t xml:space="preserve">参数应解释为多国协调缓冲能力；库存缓冲不能写成机械消耗项；非海湾供给恢复也难以单独抵消封锁缺口。</w:t>
      </w:r>
    </w:p>
    <w:p>
      <w:pPr>
        <w:pStyle w:val="BodyText"/>
      </w:pPr>
      <w:r>
        <w:t xml:space="preserve">JODI Oil World Database </w:t>
      </w:r>
      <w:r>
        <w:rPr>
          <w:rFonts w:hint="eastAsia"/>
        </w:rPr>
        <w:t xml:space="preserve">汇集多国官方上报的月度石油数据。本文抽取一次石油和二次石油中的产量、库存、进出口、油品需求与炼厂产出，并采用</w:t>
      </w:r>
      <w:r>
        <w:t xml:space="preserve"> 2026 </w:t>
      </w:r>
      <w:r>
        <w:rPr>
          <w:rFonts w:hint="eastAsia"/>
        </w:rPr>
        <w:t xml:space="preserve">年</w:t>
      </w:r>
      <w:r>
        <w:t xml:space="preserve"> 2 </w:t>
      </w:r>
      <w:r>
        <w:rPr>
          <w:rFonts w:hint="eastAsia"/>
        </w:rPr>
        <w:t xml:space="preserve">月已上报国家/地区作为同口径样本。由于</w:t>
      </w:r>
      <w:r>
        <w:t xml:space="preserve"> JODI </w:t>
      </w:r>
      <w:r>
        <w:rPr>
          <w:rFonts w:hint="eastAsia"/>
        </w:rPr>
        <w:t xml:space="preserve">存在国家覆盖差异和发布滞后，本文将其表述为</w:t>
      </w:r>
      <w:r>
        <w:rPr>
          <w:rFonts w:hint="eastAsia"/>
        </w:rPr>
        <w:t xml:space="preserve">“多国上报口径”</w:t>
      </w:r>
      <w:r>
        <w:t xml:space="preserve">。</w:t>
      </w:r>
    </w:p>
    <w:p>
      <w:pPr>
        <w:pStyle w:val="BodyText"/>
      </w:pPr>
      <w:r>
        <w:t xml:space="preserve">Y C</w:t>
      </w:r>
      <w:r>
        <w:t xml:space="preserve">1.45cm</w:t>
      </w:r>
      <w:r>
        <w:t xml:space="preserve"> </w:t>
      </w:r>
      <w:r>
        <w:t xml:space="preserve">S[table-format=7.2] C</w:t>
      </w:r>
      <w:r>
        <w:t xml:space="preserve">1.45cm</w:t>
      </w:r>
      <w:r>
        <w:t xml:space="preserve"> </w:t>
      </w:r>
      <w:r>
        <w:t xml:space="preserve">S[table-format=-5.2]</w:t>
      </w:r>
      <w:r>
        <w:t xml:space="preserve"> </w:t>
      </w:r>
      <w:r>
        <w:rPr>
          <w:rFonts w:hint="eastAsia"/>
        </w:rPr>
        <w:t xml:space="preserve">指标</w:t>
      </w:r>
      <w:r>
        <w:t xml:space="preserve"> &amp; </w:t>
      </w:r>
      <w:r>
        <w:rPr>
          <w:rFonts w:hint="eastAsia"/>
        </w:rPr>
        <w:t xml:space="preserve">月份</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w:t>
      </w:r>
      <w:r>
        <w:t xml:space="preserve"> </w:t>
      </w:r>
      <w:r>
        <w:rPr>
          <w:rFonts w:hint="eastAsia"/>
        </w:rPr>
        <w:t xml:space="preserve">同口径较上年末变化</w:t>
      </w:r>
      <w:r>
        <w:br/>
      </w:r>
      <w:r>
        <w:rPr>
          <w:rFonts w:hint="eastAsia"/>
        </w:rPr>
        <w:t xml:space="preserve">原油及凝析油产量</w:t>
      </w:r>
      <w:r>
        <w:t xml:space="preserve"> &amp; 2026-02 &amp; 51456.97 &amp; KBD &amp; 108.39</w:t>
      </w:r>
      <w:r>
        <w:br/>
      </w:r>
      <w:r>
        <w:rPr>
          <w:rFonts w:hint="eastAsia"/>
        </w:rPr>
        <w:t xml:space="preserve">原油及凝析油期末库存</w:t>
      </w:r>
      <w:r>
        <w:t xml:space="preserve"> &amp; 2026-02 &amp; 2203133.02 &amp; KBBL &amp; 20073.83</w:t>
      </w:r>
      <w:r>
        <w:br/>
      </w:r>
      <w:r>
        <w:rPr>
          <w:rFonts w:hint="eastAsia"/>
        </w:rPr>
        <w:t xml:space="preserve">原油及凝析油进口</w:t>
      </w:r>
      <w:r>
        <w:t xml:space="preserve"> &amp; 2026-02 &amp; 26746.71 &amp; KBD &amp; -963.69</w:t>
      </w:r>
      <w:r>
        <w:br/>
      </w:r>
      <w:r>
        <w:rPr>
          <w:rFonts w:hint="eastAsia"/>
        </w:rPr>
        <w:t xml:space="preserve">原油及凝析油出口</w:t>
      </w:r>
      <w:r>
        <w:t xml:space="preserve"> &amp; 2026-02 &amp; 22887.30 &amp; KBD &amp; -465.39</w:t>
      </w:r>
      <w:r>
        <w:br/>
      </w:r>
      <w:r>
        <w:rPr>
          <w:rFonts w:hint="eastAsia"/>
        </w:rPr>
        <w:t xml:space="preserve">油品总需求</w:t>
      </w:r>
      <w:r>
        <w:t xml:space="preserve"> &amp; 2026-02 &amp; 52784.43 &amp; KBD &amp; 423.81</w:t>
      </w:r>
      <w:r>
        <w:br/>
      </w:r>
      <w:r>
        <w:rPr>
          <w:rFonts w:hint="eastAsia"/>
        </w:rPr>
        <w:t xml:space="preserve">油品炼厂总产出</w:t>
      </w:r>
      <w:r>
        <w:t xml:space="preserve"> &amp; 2026-02 &amp; 54428.66 &amp; KBD &amp; 4316.20</w:t>
      </w:r>
      <w:r>
        <w:br/>
      </w:r>
      <w:r>
        <w:rPr>
          <w:rFonts w:hint="eastAsia"/>
        </w:rPr>
        <w:t xml:space="preserve">油品期末库存</w:t>
      </w:r>
      <w:r>
        <w:t xml:space="preserve"> &amp; 2026-02 &amp; 1837991.05 &amp; KBBL &amp; 49713.86</w:t>
      </w:r>
      <w:r>
        <w:br/>
      </w:r>
    </w:p>
    <w:p>
      <w:pPr>
        <w:pStyle w:val="BodyText"/>
      </w:pPr>
      <w:r>
        <w:t xml:space="preserve">JODI </w:t>
      </w:r>
      <w:r>
        <w:rPr>
          <w:rFonts w:hint="eastAsia"/>
        </w:rPr>
        <w:t xml:space="preserve">数据提示，非海湾供给恢复和需求调整是多国系统的缓慢响应，库存缓冲也需要同时区分原油库存和成品油库存。由于</w:t>
      </w:r>
      <w:r>
        <w:t xml:space="preserve"> 2026 </w:t>
      </w:r>
      <w:r>
        <w:rPr>
          <w:rFonts w:hint="eastAsia"/>
        </w:rPr>
        <w:t xml:space="preserve">年</w:t>
      </w:r>
      <w:r>
        <w:t xml:space="preserve"> 2 </w:t>
      </w:r>
      <w:r>
        <w:rPr>
          <w:rFonts w:hint="eastAsia"/>
        </w:rPr>
        <w:t xml:space="preserve">月可得数据处于冲突发生前，它更适合作为中长期外推的先验约束。</w:t>
      </w:r>
    </w:p>
    <w:p>
      <w:pPr>
        <w:pStyle w:val="BodyText"/>
      </w:pPr>
      <w:r>
        <w:t xml:space="preserve">OPEC Monthly Oil Market Report </w:t>
      </w:r>
      <w:r>
        <w:rPr>
          <w:rFonts w:hint="eastAsia"/>
        </w:rPr>
        <w:t xml:space="preserve">给出全球正常情景下的年度和季度供需基线，适合约束中长期油价调节模型中的需求背景、非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BodyText"/>
      </w:pPr>
      <w:r>
        <w:t xml:space="preserve">Y S[table-format=2.2] C</w:t>
      </w:r>
      <w:r>
        <w:t xml:space="preserve">1.4cm</w:t>
      </w:r>
      <w:r>
        <w:t xml:space="preserve"> </w:t>
      </w:r>
      <w:r>
        <w:t xml:space="preserve">Y</w:t>
      </w:r>
      <w:r>
        <w:t xml:space="preserve"> </w:t>
      </w:r>
      <w:r>
        <w:rPr>
          <w:rFonts w:hint="eastAsia"/>
        </w:rPr>
        <w:t xml:space="preserve">指标</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 </w:t>
      </w:r>
      <w:r>
        <w:rPr>
          <w:rFonts w:hint="eastAsia"/>
        </w:rPr>
        <w:t xml:space="preserve">模型含义</w:t>
      </w:r>
      <w:r>
        <w:br/>
      </w:r>
      <w:r>
        <w:rPr>
          <w:rFonts w:hint="eastAsia"/>
        </w:rPr>
        <w:t xml:space="preserve">年世界石油需求增量</w:t>
      </w:r>
      <w:r>
        <w:t xml:space="preserve"> &amp; 1.40 &amp; mb/d &amp; </w:t>
      </w:r>
      <w:r>
        <w:rPr>
          <w:rFonts w:hint="eastAsia"/>
        </w:rPr>
        <w:t xml:space="preserve">长期需求背景仍增长，需求收缩不能设得过强</w:t>
      </w:r>
      <w:r>
        <w:br/>
      </w:r>
      <w:r>
        <w:t xml:space="preserve">2026 </w:t>
      </w:r>
      <w:r>
        <w:rPr>
          <w:rFonts w:hint="eastAsia"/>
        </w:rPr>
        <w:t xml:space="preserve">年非</w:t>
      </w:r>
      <w:r>
        <w:t xml:space="preserve"> DoC </w:t>
      </w:r>
      <w:r>
        <w:rPr>
          <w:rFonts w:hint="eastAsia"/>
        </w:rPr>
        <w:t xml:space="preserve">液体供给增量</w:t>
      </w:r>
      <w:r>
        <w:t xml:space="preserve"> &amp; 0.60 &amp; mb/d &amp; </w:t>
      </w:r>
      <w:r>
        <w:rPr>
          <w:rFonts w:hint="eastAsia"/>
        </w:rPr>
        <w:t xml:space="preserve">外部供给有恢复能力，但远小于封锁冲击量级</w:t>
      </w:r>
      <w:r>
        <w:br/>
      </w:r>
      <w:r>
        <w:t xml:space="preserve">2026 </w:t>
      </w:r>
      <w:r>
        <w:rPr>
          <w:rFonts w:hint="eastAsia"/>
        </w:rPr>
        <w:t xml:space="preserve">年</w:t>
      </w:r>
      <w:r>
        <w:t xml:space="preserve"> DoC </w:t>
      </w:r>
      <w:r>
        <w:rPr>
          <w:rFonts w:hint="eastAsia"/>
        </w:rPr>
        <w:t xml:space="preserve">原油需求差额增量</w:t>
      </w:r>
      <w:r>
        <w:t xml:space="preserve"> &amp; 0.60 &amp; mb/d &amp; </w:t>
      </w:r>
      <w:r>
        <w:rPr>
          <w:rFonts w:hint="eastAsia"/>
        </w:rPr>
        <w:t xml:space="preserve">对</w:t>
      </w:r>
      <w:r>
        <w:t xml:space="preserve"> DoC </w:t>
      </w:r>
      <w:r>
        <w:rPr>
          <w:rFonts w:hint="eastAsia"/>
        </w:rPr>
        <w:t xml:space="preserve">原油的压力仍上升，支持保留尾部风险</w:t>
      </w:r>
      <w:r>
        <w:br/>
      </w:r>
      <w:r>
        <w:t xml:space="preserve">2026 </w:t>
      </w:r>
      <w:r>
        <w:rPr>
          <w:rFonts w:hint="eastAsia"/>
        </w:rPr>
        <w:t xml:space="preserve">年</w:t>
      </w:r>
      <w:r>
        <w:t xml:space="preserve"> DoC </w:t>
      </w:r>
      <w:r>
        <w:rPr>
          <w:rFonts w:hint="eastAsia"/>
        </w:rPr>
        <w:t xml:space="preserve">原油需求差额峰值</w:t>
      </w:r>
      <w:r>
        <w:t xml:space="preserve"> &amp; 43.70 &amp; mb/d &amp; </w:t>
      </w:r>
      <w:r>
        <w:rPr>
          <w:rFonts w:hint="eastAsia"/>
        </w:rPr>
        <w:t xml:space="preserve">下半年需求差额更高，中长期油价调节模型需保留季节性压力</w:t>
      </w:r>
      <w:r>
        <w:br/>
      </w:r>
      <w:r>
        <w:rPr>
          <w:rFonts w:hint="eastAsia"/>
        </w:rPr>
        <w:t xml:space="preserve">峰值高于年均</w:t>
      </w:r>
      <w:r>
        <w:t xml:space="preserve"> &amp; 0.70 &amp; mb/d &amp; </w:t>
      </w:r>
      <w:r>
        <w:rPr>
          <w:rFonts w:hint="eastAsia"/>
        </w:rPr>
        <w:t xml:space="preserve">用于温和抬升尾部风险权重</w:t>
      </w:r>
      <w:r>
        <w:br/>
      </w:r>
    </w:p>
    <w:p>
      <w:pPr>
        <w:pStyle w:val="BodyText"/>
      </w:pPr>
      <w:r>
        <w:t xml:space="preserve">OPEC </w:t>
      </w:r>
      <w:r>
        <w:rPr>
          <w:rFonts w:hint="eastAsia"/>
        </w:rPr>
        <w:t xml:space="preserve">表说明，在没有霍尔木兹极端封锁的正常基线下，2026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原油需求差额更高。因此，中长期油价调节模型中的价格回落应解释为政策缓冲、供给恢复、需求弹性和风险溢价衰减共同作用后的条件路径，而非全球需求自然塌陷。</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月度指数和</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隐含波动率。GPR</w:t>
      </w:r>
      <w:r>
        <w:t xml:space="preserve"> </w:t>
      </w:r>
      <w:r>
        <w:rPr>
          <w:rFonts w:hint="eastAsia"/>
        </w:rPr>
        <w:t xml:space="preserve">由新闻文本构造，因此不用于同月解释同月价格；OVX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97.3%，适合进入长期风险权重和不确定性强度约束。</w:t>
      </w:r>
    </w:p>
    <w:p>
      <w:pPr>
        <w:pStyle w:val="BodyText"/>
      </w:pPr>
      <w:r>
        <w:rPr>
          <w:rFonts w:hint="eastAsia"/>
          <w:b/>
          <w:bCs/>
        </w:rPr>
        <w:t xml:space="preserve">结论</w:t>
      </w:r>
      <w:r>
        <w:rPr>
          <w:rFonts w:hint="eastAsia"/>
        </w:rPr>
        <w:t xml:space="preserve">本章的数据处理逻辑是：附件价格用于拟合和评价，EIA、JODI、OPEC</w:t>
      </w:r>
      <w:r>
        <w:t xml:space="preserve"> </w:t>
      </w:r>
      <w:r>
        <w:rPr>
          <w:rFonts w:hint="eastAsia"/>
        </w:rPr>
        <w:t xml:space="preserve">约束供需和库存数量级，GPR</w:t>
      </w:r>
      <w:r>
        <w:t xml:space="preserve"> </w:t>
      </w:r>
      <w:r>
        <w:rPr>
          <w:rFonts w:hint="eastAsia"/>
        </w:rPr>
        <w:t xml:space="preserve">校验地缘风险环境，OVX</w:t>
      </w:r>
      <w:r>
        <w:t xml:space="preserve"> </w:t>
      </w:r>
      <w:r>
        <w:rPr>
          <w:rFonts w:hint="eastAsia"/>
        </w:rPr>
        <w:t xml:space="preserve">约束市场隐含波动率。</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333500"/>
                  <wp:effectExtent b="0" l="0" r="0" t="0"/>
                  <wp:docPr descr="" title="" id="16" name="Picture"/>
                  <a:graphic>
                    <a:graphicData uri="http://schemas.openxmlformats.org/drawingml/2006/picture">
                      <pic:pic>
                        <pic:nvPicPr>
                          <pic:cNvPr descr="布伦特原油长期价格走势.png" id="17" name="Picture"/>
                          <pic:cNvPicPr>
                            <a:picLocks noChangeArrowheads="1" noChangeAspect="1"/>
                          </pic:cNvPicPr>
                        </pic:nvPicPr>
                        <pic:blipFill>
                          <a:blip r:embed="rId15"/>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2017–2026 </w:t>
            </w:r>
            <w:r>
              <w:rPr>
                <w:rFonts w:hint="eastAsia"/>
              </w:rPr>
              <w:t xml:space="preserve">年长期走势</w:t>
            </w:r>
          </w:p>
        </w:tc>
        <w:tc>
          <w:tcPr/>
          <w:p>
            <w:pPr>
              <w:pStyle w:val="CaptionedFigure"/>
              <w:jc w:val="center"/>
            </w:pPr>
            <w:r>
              <w:drawing>
                <wp:inline>
                  <wp:extent cx="2667000" cy="1333500"/>
                  <wp:effectExtent b="0" l="0" r="0" t="0"/>
                  <wp:docPr descr="" title="" id="19" name="Picture"/>
                  <a:graphic>
                    <a:graphicData uri="http://schemas.openxmlformats.org/drawingml/2006/picture">
                      <pic:pic>
                        <pic:nvPicPr>
                          <pic:cNvPr descr="冲突窗口价格走势.png" id="20" name="Picture"/>
                          <pic:cNvPicPr>
                            <a:picLocks noChangeArrowheads="1" noChangeAspect="1"/>
                          </pic:cNvPicPr>
                        </pic:nvPicPr>
                        <pic:blipFill>
                          <a:blip r:embed="rId18"/>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2026 </w:t>
            </w:r>
            <w:r>
              <w:rPr>
                <w:rFonts w:hint="eastAsia"/>
              </w:rPr>
              <w:t xml:space="preserve">年冲突窗口路径</w:t>
            </w:r>
          </w:p>
        </w:tc>
      </w:tr>
    </w:tbl>
    <w:p>
      <w:pPr>
        <w:pStyle w:val="ImageCaption"/>
      </w:pPr>
      <w:r>
        <w:rPr>
          <w:rFonts w:hint="eastAsia"/>
        </w:rPr>
        <w:t xml:space="preserve">附件收盘价的长期背景与冲突窗口放大</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布伦特收益率与波动率.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w:t>
      </w:r>
    </w:p>
    <w:bookmarkEnd w:id="25"/>
    <w:bookmarkEnd w:id="26"/>
    <w:bookmarkStart w:id="30"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rPr>
          <w:rFonts w:hint="eastAsia"/>
        </w:rPr>
        <w:t xml:space="preserve">中长期油价调节模型的</w:t>
      </w:r>
      <w:r>
        <w:t xml:space="preserve"> 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η</m:t>
                  </m:r>
                </m:e>
                <m:sub>
                  <m:r>
                    <m:t>t</m:t>
                  </m:r>
                </m:sub>
              </m:sSub>
            </m:oMath>
          </w:p>
        </w:tc>
        <w:tc>
          <w:tcPr/>
          <w:p>
            <w:pPr>
              <w:pStyle w:val="Compact"/>
              <w:jc w:val="left"/>
            </w:pPr>
            <w:r>
              <w:rPr>
                <w:rFonts w:hint="eastAsia"/>
              </w:rPr>
              <w:t xml:space="preserve">SPR、库存和绕道对总短缺压力的缓冲覆盖率</w:t>
            </w:r>
          </w:p>
        </w:tc>
        <w:tc>
          <w:tcPr/>
          <w:p>
            <w:pPr>
              <w:pStyle w:val="Compact"/>
              <w:jc w:val="left"/>
            </w:pPr>
            <w:r>
              <w:rPr>
                <w:rFonts w:hint="eastAsia"/>
              </w:rPr>
              <w:t xml:space="preserve">无量纲</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Start w:id="29"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中长期情景参数只用于</w:t>
      </w:r>
      <w:r>
        <w:t xml:space="preserve"> 60–180 </w:t>
      </w:r>
      <w:r>
        <w:rPr>
          <w:rFonts w:hint="eastAsia"/>
        </w:rPr>
        <w:t xml:space="preserve">天条件外推，不参与短期窗口的误差拟合；中长期机制强度参数则必须显式命名，并进入敏感性分析。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中长期情景参数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中长期外推中的若干机制系数也需要单独说明。例如冲击不确定性占比、制度风险占比、过剩供给回归强度和封锁风险衰减速度并非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中长期判断主要来自机制组合，而不是某一个隐藏常数。</w:t>
      </w:r>
    </w:p>
    <w:bookmarkEnd w:id="29"/>
    <w:bookmarkEnd w:id="30"/>
    <w:bookmarkStart w:id="36" w:name="传统供需基准模型"/>
    <w:p>
      <w:pPr>
        <w:pStyle w:val="Heading1"/>
      </w:pPr>
      <w:r>
        <w:rPr>
          <w:rFonts w:hint="eastAsia"/>
        </w:rPr>
        <w:t xml:space="preserve">传统供需基准模型</w:t>
      </w:r>
    </w:p>
    <w:bookmarkStart w:id="31" w:name="模型建立"/>
    <w:p>
      <w:pPr>
        <w:pStyle w:val="Heading2"/>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标定斜率。由点弹性定义</w:t>
      </w:r>
    </w:p>
    <w:p>
      <w:pPr>
        <w:pStyle w:val="BodyText"/>
      </w:pPr>
      <m:oMathPara>
        <m:oMathParaPr>
          <m:jc m:val="center"/>
        </m:oMathParaPr>
        <m:oMath>
          <m:r>
            <m:t>ε</m:t>
          </m:r>
          <m:r>
            <m:rPr>
              <m:sty m:val="p"/>
            </m:rPr>
            <m:t>=</m:t>
          </m:r>
          <m:f>
            <m:fPr>
              <m:type m:val="bar"/>
            </m:fPr>
            <m:num>
              <m:r>
                <m:rPr>
                  <m:sty m:val="p"/>
                </m:rPr>
                <m:t>d</m:t>
              </m:r>
              <m:r>
                <m:t>Q</m:t>
              </m:r>
            </m:num>
            <m:den>
              <m:r>
                <m:rPr>
                  <m:sty m:val="p"/>
                </m:rPr>
                <m:t>d</m:t>
              </m:r>
              <m:r>
                <m:t>P</m:t>
              </m:r>
            </m:den>
          </m:f>
          <m:f>
            <m:fPr>
              <m:type m:val="bar"/>
            </m:fPr>
            <m:num>
              <m:sSub>
                <m:e>
                  <m:r>
                    <m:t>P</m:t>
                  </m:r>
                </m:e>
                <m:sub>
                  <m:r>
                    <m:t>0</m:t>
                  </m:r>
                </m:sub>
              </m:sSub>
            </m:num>
            <m:den>
              <m:sSub>
                <m:e>
                  <m:r>
                    <m:t>D</m:t>
                  </m:r>
                </m:e>
                <m:sub>
                  <m:r>
                    <m:t>0</m:t>
                  </m:r>
                </m:sub>
              </m:sSub>
            </m:den>
          </m:f>
          <m:r>
            <m:rPr>
              <m:sty m:val="p"/>
            </m:rPr>
            <m:t>=</m:t>
          </m:r>
          <m:r>
            <m:rPr>
              <m:sty m:val="p"/>
            </m:rPr>
            <m:t>−</m:t>
          </m:r>
          <m:f>
            <m:fPr>
              <m:type m:val="bar"/>
            </m:fPr>
            <m:num>
              <m:r>
                <m:t>1</m:t>
              </m:r>
            </m:num>
            <m:den>
              <m:r>
                <m:t>b</m:t>
              </m:r>
            </m:den>
          </m:f>
          <m:f>
            <m:fPr>
              <m:type m:val="bar"/>
            </m:fPr>
            <m:num>
              <m:sSub>
                <m:e>
                  <m:r>
                    <m:t>P</m:t>
                  </m:r>
                </m:e>
                <m:sub>
                  <m:r>
                    <m:t>0</m:t>
                  </m:r>
                </m:sub>
              </m:sSub>
            </m:num>
            <m:den>
              <m:sSub>
                <m:e>
                  <m:r>
                    <m:t>D</m:t>
                  </m:r>
                </m:e>
                <m:sub>
                  <m:r>
                    <m:t>0</m:t>
                  </m:r>
                </m:sub>
              </m:sSub>
            </m:den>
          </m:f>
          <m:r>
            <m:rPr>
              <m:sty m:val="p"/>
            </m:rPr>
            <m:t>,</m:t>
          </m:r>
        </m:oMath>
      </m:oMathPara>
    </w:p>
    <w:p>
      <w:pPr>
        <w:pStyle w:val="FirstParagraph"/>
      </w:pPr>
      <w:r>
        <w:rPr>
          <w:rFonts w:hint="eastAsia"/>
        </w:rPr>
        <w:t xml:space="preserve">可得</w:t>
      </w:r>
      <w:r>
        <w:t xml:space="preserve"> </w:t>
      </w:r>
      <m:oMath>
        <m:r>
          <m:t>b</m:t>
        </m:r>
        <m:r>
          <m:rPr>
            <m:sty m:val="p"/>
          </m:rPr>
          <m:t>=</m:t>
        </m:r>
        <m:sSub>
          <m:e>
            <m:r>
              <m:t>P</m:t>
            </m:r>
          </m:e>
          <m:sub>
            <m:r>
              <m:t>0</m:t>
            </m:r>
          </m:sub>
        </m:sSub>
        <m:r>
          <m:rPr>
            <m:sty m:val="p"/>
          </m:rPr>
          <m:t>/</m:t>
        </m:r>
        <m:r>
          <m:rPr>
            <m:sty m:val="p"/>
          </m:rPr>
          <m:t>(</m:t>
        </m:r>
        <m:r>
          <m:rPr>
            <m:sty m:val="p"/>
          </m:rPr>
          <m:t>|</m:t>
        </m:r>
        <m:r>
          <m:t>ε</m:t>
        </m:r>
        <m:r>
          <m:rPr>
            <m:sty m:val="p"/>
          </m:rPr>
          <m:t>|</m:t>
        </m:r>
        <m:sSub>
          <m:e>
            <m:r>
              <m:t>D</m:t>
            </m:r>
          </m:e>
          <m:sub>
            <m:r>
              <m:t>0</m:t>
            </m:r>
          </m:sub>
        </m:sSub>
        <m:r>
          <m:rPr>
            <m:sty m:val="p"/>
          </m:rPr>
          <m:t>)</m:t>
        </m:r>
      </m:oMath>
      <w:r>
        <w:rPr>
          <w:rFonts w:hint="eastAsia"/>
        </w:rPr>
        <w:t xml:space="preserve">。当供应中断量为</w:t>
      </w:r>
      <w:r>
        <w:t xml:space="preserve"> </w:t>
      </w:r>
      <m:oMath>
        <m:r>
          <m:t>I</m:t>
        </m:r>
      </m:oMath>
      <w:r>
        <w:t xml:space="preserve"> </w:t>
      </w:r>
      <w:r>
        <w:rPr>
          <w:rFonts w:hint="eastAsia"/>
        </w:rPr>
        <w:t xml:space="preserve">时，静态均衡消费量由</w:t>
      </w:r>
      <w:r>
        <w:t xml:space="preserve"> </w:t>
      </w:r>
      <m:oMath>
        <m:sSub>
          <m:e>
            <m:r>
              <m:t>D</m:t>
            </m:r>
          </m:e>
          <m:sub>
            <m:r>
              <m:t>0</m:t>
            </m:r>
          </m:sub>
        </m:sSub>
      </m:oMath>
      <w:r>
        <w:t xml:space="preserve"> </w:t>
      </w:r>
      <w:r>
        <w:rPr>
          <w:rFonts w:hint="eastAsia"/>
        </w:rPr>
        <w:t xml:space="preserve">下降至</w:t>
      </w:r>
      <w:r>
        <w:t xml:space="preserve"> </w:t>
      </w:r>
      <m:oMath>
        <m:sSub>
          <m:e>
            <m:r>
              <m:t>D</m:t>
            </m:r>
          </m:e>
          <m:sub>
            <m:r>
              <m:t>0</m:t>
            </m:r>
          </m:sub>
        </m:sSub>
        <m:r>
          <m:rPr>
            <m:sty m:val="p"/>
          </m:rPr>
          <m:t>−</m:t>
        </m:r>
        <m:r>
          <m:t>I</m:t>
        </m:r>
      </m:oMath>
      <w:r>
        <w:rPr>
          <w:rFonts w:hint="eastAsia"/>
        </w:rPr>
        <w:t xml:space="preserve">，线性反需求给出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r>
            <m:rPr>
              <m:sty m:val="p"/>
            </m:rPr>
            <m:t>=</m:t>
          </m:r>
          <m:r>
            <m:t>b</m:t>
          </m:r>
          <m:r>
            <m:t>I</m:t>
          </m:r>
          <m:r>
            <m:rPr>
              <m:sty m:val="p"/>
            </m:rPr>
            <m:t>=</m:t>
          </m:r>
          <m:sSub>
            <m:e>
              <m:r>
                <m:t>P</m:t>
              </m:r>
            </m:e>
            <m:sub>
              <m:r>
                <m:t>0</m:t>
              </m:r>
            </m:sub>
          </m:sSub>
          <m:f>
            <m:fPr>
              <m:type m:val="bar"/>
            </m:fPr>
            <m:num>
              <m:r>
                <m:t>I</m:t>
              </m:r>
              <m:r>
                <m:rPr>
                  <m:sty m:val="p"/>
                </m:rPr>
                <m:t>/</m:t>
              </m:r>
              <m:sSub>
                <m:e>
                  <m:r>
                    <m:t>D</m:t>
                  </m:r>
                </m:e>
                <m:sub>
                  <m:r>
                    <m:t>0</m:t>
                  </m:r>
                </m:sub>
              </m:sSub>
            </m:num>
            <m:den>
              <m:r>
                <m:rPr>
                  <m:sty m:val="p"/>
                </m:rPr>
                <m:t>|</m:t>
              </m:r>
              <m:r>
                <m:t>ε</m:t>
              </m:r>
              <m:r>
                <m:rPr>
                  <m:sty m:val="p"/>
                </m:rPr>
                <m:t>|</m:t>
              </m:r>
            </m:den>
          </m:f>
          <m:r>
            <m:rPr>
              <m:sty m:val="p"/>
            </m:rPr>
            <m:t>.</m:t>
          </m:r>
        </m:oMath>
      </m:oMathPara>
    </w:p>
    <w:p>
      <w:pPr>
        <w:pStyle w:val="FirstParagraph"/>
      </w:pPr>
      <w:r>
        <w:rPr>
          <w:rFonts w:hint="eastAsia"/>
        </w:rPr>
        <w:t xml:space="preserve">因此，线性需求反事实价格为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1"/>
    <w:bookmarkStart w:id="35" w:name="基准模型结果"/>
    <w:p>
      <w:pPr>
        <w:pStyle w:val="Heading2"/>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传统供需基准与真实价格对比.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短期冲击模型正是在这一边界上引入动态缓冲与价格形成机制。</w:t>
      </w:r>
    </w:p>
    <w:bookmarkEnd w:id="35"/>
    <w:bookmarkEnd w:id="36"/>
    <w:bookmarkStart w:id="40" w:name="短期冲击模型060-天"/>
    <w:p>
      <w:pPr>
        <w:pStyle w:val="Heading1"/>
      </w:pPr>
      <w:r>
        <w:rPr>
          <w:rFonts w:hint="eastAsia"/>
        </w:rPr>
        <w:t xml:space="preserve">短期冲击模型（0–60</w:t>
      </w:r>
      <w:r>
        <w:t xml:space="preserve"> </w:t>
      </w:r>
      <w:r>
        <w:rPr>
          <w:rFonts w:hint="eastAsia"/>
        </w:rPr>
        <w:t xml:space="preserve">天）</w:t>
      </w:r>
    </w:p>
    <w:p>
      <w:pPr>
        <w:pStyle w:val="FirstParagraph"/>
      </w:pPr>
      <w:r>
        <w:rPr>
          <w:rFonts w:hint="eastAsia"/>
        </w:rPr>
        <w:t xml:space="preserve">短期冲击模型对应赛题任务</w:t>
      </w:r>
      <w:r>
        <w:t xml:space="preserve"> </w:t>
      </w:r>
      <w:r>
        <w:rPr>
          <w:rFonts w:hint="eastAsia"/>
        </w:rPr>
        <w:t xml:space="preserve">1。模型以赛题给定的供应中断、SPR、商业库存、绕道运输和恐慌情绪为基础，并纳入能够通过消融实验和敏感性分析检验的价格形成因素。其目标是在附件冲突窗口内解释</w:t>
      </w:r>
      <w:r>
        <w:t xml:space="preserve"> 0–60 </w:t>
      </w:r>
      <w:r>
        <w:rPr>
          <w:rFonts w:hint="eastAsia"/>
        </w:rPr>
        <w:t xml:space="preserve">天真实价格路径，并为后续中长期油价调节模型提供统一机制基础。</w:t>
      </w:r>
    </w:p>
    <w:tbl>
      <w:tblPr>
        <w:tblStyle w:val="FigureTable"/>
        <w:tblW w:type="auto" w:w="0"/>
        <w:jc w:val="center"/>
        <w:tblLook w:firstRow="0" w:lastRow="0" w:firstColumn="0" w:lastColumn="0"/>
      </w:tblPr>
      <w:tblGrid/>
    </w:tbl>
    <w:p>
      <w:pPr>
        <w:pStyle w:val="ImageCaption"/>
      </w:pPr>
      <w:r>
        <w:rPr>
          <w:rFonts w:hint="eastAsia"/>
        </w:rPr>
        <w:t xml:space="preserve">短期冲击模型结构</w:t>
      </w:r>
    </w:p>
    <w:p>
      <w:pPr>
        <w:pStyle w:val="BodyText"/>
      </w:pPr>
      <w:r>
        <w:rPr>
          <w:rFonts w:hint="eastAsia"/>
          <w:b/>
          <w:bCs/>
        </w:rPr>
        <w:t xml:space="preserve">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37"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w:t>
      </w:r>
    </w:p>
    <w:bookmarkEnd w:id="37"/>
    <w:bookmarkStart w:id="38" w:name="物理供需层"/>
    <w:p>
      <w:pPr>
        <w:pStyle w:val="Heading2"/>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sSub>
            <m:e>
              <m:r>
                <m:t>D</m:t>
              </m:r>
            </m:e>
            <m:sub>
              <m:r>
                <m:t>t</m:t>
              </m:r>
            </m:sub>
          </m:sSub>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C</m:t>
            </m:r>
          </m:e>
          <m:sub>
            <m:r>
              <m:t>t</m:t>
            </m:r>
          </m:sub>
        </m:sSub>
      </m:oMath>
      <w:r>
        <w:t xml:space="preserve"> </w:t>
      </w:r>
      <w:r>
        <w:rPr>
          <w:rFonts w:hint="eastAsia"/>
        </w:rPr>
        <w:t xml:space="preserve">表示高价下需求收缩量。第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受剩余缺口、库存日释放上限和剩余库存约束：</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r>
                    <m:t>B</m:t>
                  </m:r>
                </m:e>
                <m:sub>
                  <m:r>
                    <m:rPr>
                      <m:sty m:val="p"/>
                    </m:rPr>
                    <m:t>max</m:t>
                  </m:r>
                </m:sub>
              </m:sSub>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p>
      <w:pPr>
        <w:pStyle w:val="FirstParagraph"/>
      </w:pPr>
      <w:r>
        <w:rPr>
          <w:rFonts w:hint="eastAsia"/>
        </w:rPr>
        <w:t xml:space="preserve">为避免将政策与物流缓冲写成纯时间函数，本文进一步定义缓冲覆盖率</w:t>
      </w:r>
    </w:p>
    <w:p>
      <w:pPr>
        <w:pStyle w:val="BodyText"/>
      </w:pPr>
      <m:oMathPara>
        <m:oMathParaPr>
          <m:jc m:val="center"/>
        </m:oMathParaPr>
        <m:oMath>
          <m:sSub>
            <m:e>
              <m:r>
                <m:t>η</m:t>
              </m:r>
            </m:e>
            <m:sub>
              <m:r>
                <m:t>t</m:t>
              </m:r>
            </m:sub>
          </m:sSub>
          <m:r>
            <m:rPr>
              <m:sty m:val="p"/>
            </m:rPr>
            <m:t>=</m:t>
          </m:r>
          <m:f>
            <m:fPr>
              <m:type m:val="bar"/>
            </m:fPr>
            <m:num>
              <m:sSub>
                <m:e>
                  <m:r>
                    <m:t>R</m:t>
                  </m:r>
                </m:e>
                <m:sub>
                  <m:r>
                    <m:t>t</m:t>
                  </m:r>
                </m:sub>
              </m:sSub>
              <m:r>
                <m:rPr>
                  <m:sty m:val="p"/>
                </m:rPr>
                <m:t>+</m:t>
              </m:r>
              <m:sSub>
                <m:e>
                  <m:r>
                    <m:t>Q</m:t>
                  </m:r>
                </m:e>
                <m:sub>
                  <m:r>
                    <m:t>t</m:t>
                  </m:r>
                </m:sub>
              </m:sSub>
              <m:r>
                <m:rPr>
                  <m:sty m:val="p"/>
                </m:rPr>
                <m:t>+</m:t>
              </m:r>
              <m:sSub>
                <m:e>
                  <m:r>
                    <m:t>B</m:t>
                  </m:r>
                </m:e>
                <m:sub>
                  <m:r>
                    <m:t>t</m:t>
                  </m:r>
                </m:sub>
              </m:sSub>
            </m:num>
            <m:den>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 </m:t>
              </m:r>
              <m:r>
                <m:t>1</m:t>
              </m:r>
              <m:r>
                <m:rPr>
                  <m:sty m:val="p"/>
                </m:rPr>
                <m:t>}</m:t>
              </m:r>
            </m:den>
          </m:f>
          <m:r>
            <m:rPr>
              <m:sty m:val="p"/>
            </m:rPr>
            <m:t>,</m:t>
          </m:r>
        </m:oMath>
      </m:oMathPara>
    </w:p>
    <w:p>
      <w:pPr>
        <w:pStyle w:val="FirstParagraph"/>
      </w:pPr>
      <w:r>
        <w:rPr>
          <w:rFonts w:hint="eastAsia"/>
        </w:rPr>
        <w:t xml:space="preserve">其中分子表示</w:t>
      </w:r>
      <w:r>
        <w:t xml:space="preserve"> </w:t>
      </w:r>
      <w:r>
        <w:rPr>
          <w:rFonts w:hint="eastAsia"/>
        </w:rPr>
        <w:t xml:space="preserve">SPR、绕道运输和商业库存共同形成的当日缓冲供给，分母表示不考虑缓冲时的总短缺压力。</w:t>
      </w:r>
      <m:oMath>
        <m:sSub>
          <m:e>
            <m:r>
              <m:t>η</m:t>
            </m:r>
          </m:e>
          <m:sub>
            <m:r>
              <m:t>t</m:t>
            </m:r>
          </m:sub>
        </m:sSub>
      </m:oMath>
      <w:r>
        <w:t xml:space="preserve"> </w:t>
      </w:r>
      <w:r>
        <w:rPr>
          <w:rFonts w:hint="eastAsia"/>
        </w:rPr>
        <w:t xml:space="preserve">越高，说明市场越容易观察到缺口被覆盖，缓冲确认和预期修复越容易形成。实际计算中将</w:t>
      </w:r>
      <w:r>
        <w:t xml:space="preserve"> </w:t>
      </w:r>
      <m:oMath>
        <m:sSub>
          <m:e>
            <m:r>
              <m:t>η</m:t>
            </m:r>
          </m:e>
          <m:sub>
            <m:r>
              <m:t>t</m:t>
            </m:r>
          </m:sub>
        </m:sSub>
      </m:oMath>
      <w:r>
        <w:t xml:space="preserve"> </w:t>
      </w:r>
      <w:r>
        <w:rPr>
          <w:rFonts w:hint="eastAsia"/>
        </w:rPr>
        <w:t xml:space="preserve">限制在合理区间内，避免极小分母造成异常放大。</w:t>
      </w:r>
    </w:p>
    <w:bookmarkEnd w:id="38"/>
    <w:bookmarkStart w:id="39" w:name="市场价格形成层"/>
    <w:p>
      <w:pPr>
        <w:pStyle w:val="Heading2"/>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新版短期冲击模型不再让两类折价只由日历时间决定，而是令其受到缓冲覆盖率</w:t>
      </w:r>
      <w:r>
        <w:t xml:space="preserve"> </w:t>
      </w:r>
      <m:oMath>
        <m:sSub>
          <m:e>
            <m:r>
              <m:t>η</m:t>
            </m:r>
          </m:e>
          <m:sub>
            <m:r>
              <m:t>t</m:t>
            </m:r>
          </m:sub>
        </m:sSub>
      </m:oMath>
      <w:r>
        <w:t xml:space="preserve"> </w:t>
      </w:r>
      <w:r>
        <w:rPr>
          <w:rFonts w:hint="eastAsia"/>
        </w:rPr>
        <w:t xml:space="preserve">的平滑激活：当</w:t>
      </w:r>
      <w:r>
        <w:t xml:space="preserve"> </w:t>
      </w:r>
      <w:r>
        <w:rPr>
          <w:rFonts w:hint="eastAsia"/>
        </w:rPr>
        <w:t xml:space="preserve">SPR、库存和绕道对总短缺的覆盖率提高时，折价项才逐步生效。由此得到的指数项对应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r>
          <m:rPr>
            <m:sty m:val="p"/>
          </m:rPr>
          <m:t>=</m:t>
        </m:r>
        <m:r>
          <m:t>H</m:t>
        </m:r>
        <m:r>
          <m:rPr>
            <m:sty m:val="p"/>
          </m:rPr>
          <m:t>(</m:t>
        </m:r>
        <m:sSub>
          <m:e>
            <m:r>
              <m:t>η</m:t>
            </m:r>
          </m:e>
          <m:sub>
            <m:r>
              <m:t>t</m:t>
            </m:r>
          </m:sub>
        </m:sSub>
        <m:r>
          <m:rPr>
            <m:sty m:val="p"/>
          </m:rPr>
          <m:t>)</m:t>
        </m:r>
      </m:oMath>
      <w:r>
        <w:t xml:space="preserve"> </w:t>
      </w:r>
      <w:r>
        <w:rPr>
          <w:rFonts w:hint="eastAsia"/>
        </w:rPr>
        <w:t xml:space="preserve">为缓冲确认折价，</w:t>
      </w:r>
      <m:oMath>
        <m:sSub>
          <m:e>
            <m:r>
              <m:t>L</m:t>
            </m:r>
          </m:e>
          <m:sub>
            <m:r>
              <m:t>t</m:t>
            </m:r>
          </m:sub>
        </m:sSub>
        <m:r>
          <m:rPr>
            <m:sty m:val="p"/>
          </m:rPr>
          <m:t>=</m:t>
        </m:r>
        <m:r>
          <m:t>L</m:t>
        </m:r>
        <m:r>
          <m:rPr>
            <m:sty m:val="p"/>
          </m:rPr>
          <m:t>(</m:t>
        </m:r>
        <m:sSub>
          <m:e>
            <m:r>
              <m:t>η</m:t>
            </m:r>
          </m:e>
          <m:sub>
            <m:r>
              <m:t>t</m:t>
            </m:r>
          </m:sub>
        </m:sSub>
        <m:r>
          <m:rPr>
            <m:sty m:val="p"/>
          </m:rPr>
          <m:t>,</m:t>
        </m:r>
        <m:r>
          <m:rPr>
            <m:sty m:val="p"/>
          </m:rPr>
          <m:t>Δ</m:t>
        </m:r>
        <m:sSub>
          <m:e>
            <m:r>
              <m:t>η</m:t>
            </m:r>
          </m:e>
          <m:sub>
            <m:r>
              <m:t>t</m:t>
            </m:r>
          </m:sub>
        </m:sSub>
        <m:r>
          <m:rPr>
            <m:sty m:val="p"/>
          </m:rPr>
          <m:t>)</m:t>
        </m:r>
      </m:oMath>
      <w:r>
        <w:t xml:space="preserve"> </w:t>
      </w:r>
      <w:r>
        <w:rPr>
          <w:rFonts w:hint="eastAsia"/>
        </w:rPr>
        <w:t xml:space="preserve">为预期修复折价。也就是说，折价项不再是外生削减价格的自由项，而是由可观测的</w:t>
      </w:r>
      <w:r>
        <w:t xml:space="preserve"> </w:t>
      </w:r>
      <w:r>
        <w:rPr>
          <w:rFonts w:hint="eastAsia"/>
        </w:rPr>
        <w:t xml:space="preserve">SPR、库存和绕道覆盖率驱动。这里的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1短期冲击模型的日度更新流程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在日释放上限和剩余库存约束下计算商业库存缓冲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计算缓冲覆盖率</w:t>
      </w:r>
      <w:r>
        <w:t xml:space="preserve"> </w:t>
      </w:r>
      <m:oMath>
        <m:sSub>
          <m:e>
            <m:r>
              <m:t>η</m:t>
            </m:r>
          </m:e>
          <m:sub>
            <m:r>
              <m:t>t</m:t>
            </m:r>
          </m:sub>
        </m:sSub>
        <m:r>
          <m:rPr>
            <m:sty m:val="p"/>
          </m:rPr>
          <m:t>=</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r>
          <m:rPr>
            <m:sty m:val="p"/>
          </m:rPr>
          <m:t>/</m:t>
        </m:r>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1</m:t>
        </m:r>
        <m:r>
          <m:rPr>
            <m:sty m:val="p"/>
          </m:rPr>
          <m:t>}</m:t>
        </m:r>
      </m:oMath>
      <w:r>
        <w:rPr>
          <w:rFonts w:hint="eastAsia"/>
        </w:rPr>
        <w:t xml:space="preserve">，并由</w:t>
      </w:r>
      <w:r>
        <w:t xml:space="preserve"> </w:t>
      </w:r>
      <m:oMath>
        <m:sSub>
          <m:e>
            <m:r>
              <m:t>η</m:t>
            </m:r>
          </m:e>
          <m:sub>
            <m:r>
              <m:t>t</m:t>
            </m:r>
          </m:sub>
        </m:sSub>
      </m:oMath>
      <w:r>
        <w:t xml:space="preserve"> </w:t>
      </w:r>
      <w:r>
        <w:rPr>
          <w:rFonts w:hint="eastAsia"/>
        </w:rPr>
        <w:t xml:space="preserve">激活缓冲确认和预期修复折价。</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、风险溢价、制度不确定性、恐慌强度、覆盖率驱动的缓冲确认和预期修复计算目标价格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39"/>
    <w:bookmarkEnd w:id="40"/>
    <w:bookmarkStart w:id="48" w:name="参数校准与模型检验"/>
    <w:p>
      <w:pPr>
        <w:pStyle w:val="Heading1"/>
      </w:pPr>
      <w:r>
        <w:rPr>
          <w:rFonts w:hint="eastAsia"/>
        </w:rPr>
        <w:t xml:space="preserve">参数校准与模型检验</w:t>
      </w:r>
    </w:p>
    <w:p>
      <w:pPr>
        <w:pStyle w:val="FirstParagraph"/>
      </w:pPr>
      <w:r>
        <w:rPr>
          <w:rFonts w:hint="eastAsia"/>
        </w:rPr>
        <w:t xml:space="preserve">第六章给出短期冲击模型结构，本章说明参数校准、基准对比和鲁棒性检验。正文保留关键结果；参数剖面、残差分布、R</w:t>
      </w:r>
      <w:r>
        <w:t xml:space="preserve"> </w:t>
      </w:r>
      <w:r>
        <w:rPr>
          <w:rFonts w:hint="eastAsia"/>
        </w:rPr>
        <w:t xml:space="preserve">语言复核和事件窗口明细放入附录。</w:t>
      </w:r>
    </w:p>
    <w:bookmarkStart w:id="45" w:name="校准结果与拟合表现"/>
    <w:p>
      <w:pPr>
        <w:pStyle w:val="Heading2"/>
      </w:pPr>
      <w:r>
        <w:rPr>
          <w:rFonts w:hint="eastAsia"/>
        </w:rPr>
        <w:t xml:space="preserve">校准结果与拟合表现</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RMSE、峰值、末日价格和局部阶段解释能力。设</w:t>
      </w:r>
      <w:r>
        <w:t xml:space="preserve"> </w:t>
      </w:r>
      <m:oMath>
        <m:r>
          <m:t>θ</m:t>
        </m:r>
      </m:oMath>
      <w:r>
        <w:t xml:space="preserve"> </w:t>
      </w:r>
      <w:r>
        <w:rPr>
          <w:rFonts w:hint="eastAsia"/>
        </w:rPr>
        <w:t xml:space="preserve">表示需要校准的参数向量，</w:t>
      </w:r>
      <m:oMath>
        <m:r>
          <m:rPr>
            <m:sty m:val="p"/>
          </m:rPr>
          <m:t>Θ</m:t>
        </m:r>
      </m:oMath>
      <w:r>
        <w:t xml:space="preserve"> </w:t>
      </w:r>
      <w:r>
        <w:rPr>
          <w:rFonts w:hint="eastAsia"/>
        </w:rPr>
        <w:t xml:space="preserve">为由赛题范围、物理上限和行为参数边界共同构成的可行域，则参数估计写为</w:t>
      </w:r>
    </w:p>
    <w:p>
      <w:pPr>
        <w:pStyle w:val="BodyText"/>
      </w:pPr>
      <m:oMathPara>
        <m:oMathParaPr>
          <m:jc m:val="center"/>
        </m:oMathParaPr>
        <m:oMath>
          <m:acc>
            <m:accPr>
              <m:chr m:val="̂"/>
            </m:accPr>
            <m:e>
              <m:r>
                <m:t>θ</m:t>
              </m:r>
            </m:e>
          </m:acc>
          <m:r>
            <m:rPr>
              <m:sty m:val="p"/>
            </m:rPr>
            <m:t>=</m:t>
          </m:r>
          <m:r>
            <m:rPr>
              <m:sty m:val="p"/>
            </m:rPr>
            <m:t>arg</m:t>
          </m:r>
          <m:limLow>
            <m:e>
              <m:r>
                <m:rPr>
                  <m:sty m:val="p"/>
                </m:rPr>
                <m:t>min</m:t>
              </m:r>
            </m:e>
            <m:lim>
              <m:r>
                <m:t>θ</m:t>
              </m:r>
              <m:r>
                <m:rPr>
                  <m:sty m:val="p"/>
                </m:rPr>
                <m:t>∈</m:t>
              </m:r>
              <m:r>
                <m:rPr>
                  <m:sty m:val="p"/>
                </m:rPr>
                <m:t>Θ</m:t>
              </m:r>
            </m:lim>
          </m:limLow>
          <m:r>
            <m:rPr>
              <m:scr m:val="script"/>
              <m:sty m:val="p"/>
            </m:rPr>
            <m:t>L</m:t>
          </m:r>
          <m:r>
            <m:rPr>
              <m:sty m:val="p"/>
            </m:rPr>
            <m:t>(</m:t>
          </m:r>
          <m:r>
            <m:t>θ</m:t>
          </m:r>
          <m:r>
            <m:rPr>
              <m:sty m:val="p"/>
            </m:rPr>
            <m:t>)</m:t>
          </m:r>
          <m:r>
            <m:rPr>
              <m:sty m:val="p"/>
            </m:rPr>
            <m:t>.</m:t>
          </m:r>
        </m:oMath>
      </m:oMathPara>
    </w:p>
    <w:p>
      <w:pPr>
        <w:pStyle w:val="FirstParagraph"/>
      </w:pPr>
      <w:r>
        <w:rPr>
          <w:rFonts w:hint="eastAsia"/>
        </w:rPr>
        <w:t xml:space="preserve">其中</w:t>
      </w:r>
      <w:r>
        <w:t xml:space="preserve"> </w:t>
      </w:r>
      <m:oMath>
        <m:r>
          <m:rPr>
            <m:sty m:val="p"/>
          </m:rPr>
          <m:t>Θ</m:t>
        </m:r>
      </m:oMath>
      <w:r>
        <w:t xml:space="preserve"> </w:t>
      </w:r>
      <w:r>
        <w:rPr>
          <w:rFonts w:hint="eastAsia"/>
        </w:rPr>
        <w:t xml:space="preserve">对</w:t>
      </w:r>
      <w:r>
        <w:t xml:space="preserve"> SPR </w:t>
      </w:r>
      <w:r>
        <w:rPr>
          <w:rFonts w:hint="eastAsia"/>
        </w:rPr>
        <w:t xml:space="preserve">上限、绕道能力、库存日释放、供应中断范围和弹性区间施加硬约束；行为参数只允许在经济含义一致的范围内搜索。目标函数为</w:t>
      </w:r>
    </w:p>
    <w:p>
      <w:pPr>
        <w:pStyle w:val="BodyText"/>
      </w:pPr>
      <m:oMathPara>
        <m:oMathParaPr>
          <m:jc m:val="center"/>
        </m:oMathParaPr>
        <m:oMath>
          <m:eqArr>
            <m:e>
              <m:r>
                <m:rPr>
                  <m:scr m:val="script"/>
                  <m:sty m:val="p"/>
                </m:rPr>
                <m:t>L</m:t>
              </m:r>
              <m:r>
                <m:rPr>
                  <m:sty m:val="p"/>
                </m:rPr>
                <m:t>(</m:t>
              </m:r>
              <m:r>
                <m:t>θ</m:t>
              </m:r>
              <m:r>
                <m:rPr>
                  <m:sty m:val="p"/>
                </m:rPr>
                <m:t>)</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其中</w:t>
      </w:r>
      <w:r>
        <w:t xml:space="preserve"> </w:t>
      </w:r>
      <m:oMath>
        <m:r>
          <m:rPr>
            <m:sty m:val="p"/>
          </m:rPr>
          <m:t>Δ</m:t>
        </m:r>
        <m:sSub>
          <m:e>
            <m:r>
              <m:t>P</m:t>
            </m:r>
          </m:e>
          <m:sub>
            <m:r>
              <m:rPr>
                <m:sty m:val="p"/>
              </m:rPr>
              <m:t>p</m:t>
            </m:r>
            <m:r>
              <m:rPr>
                <m:sty m:val="p"/>
              </m:rPr>
              <m:t>e</m:t>
            </m:r>
            <m:r>
              <m:rPr>
                <m:sty m:val="p"/>
              </m:rPr>
              <m:t>a</m:t>
            </m:r>
            <m:r>
              <m:rPr>
                <m:sty m:val="p"/>
              </m:rPr>
              <m:t>k</m:t>
            </m:r>
          </m:sub>
        </m:sSub>
      </m:oMath>
      <w:r>
        <w:t xml:space="preserve"> </w:t>
      </w:r>
      <w:r>
        <w:rPr>
          <w:rFonts w:hint="eastAsia"/>
        </w:rPr>
        <w:t xml:space="preserve">与</w:t>
      </w:r>
      <w:r>
        <w:t xml:space="preserve"> </w:t>
      </w:r>
      <m:oMath>
        <m:r>
          <m:rPr>
            <m:sty m:val="p"/>
          </m:rPr>
          <m:t>Δ</m:t>
        </m:r>
        <m:sSub>
          <m:e>
            <m:r>
              <m:t>P</m:t>
            </m:r>
          </m:e>
          <m:sub>
            <m:r>
              <m:rPr>
                <m:sty m:val="p"/>
              </m:rPr>
              <m:t>f</m:t>
            </m:r>
            <m:r>
              <m:rPr>
                <m:sty m:val="p"/>
              </m:rPr>
              <m:t>i</m:t>
            </m:r>
            <m:r>
              <m:rPr>
                <m:sty m:val="p"/>
              </m:rPr>
              <m:t>n</m:t>
            </m:r>
            <m:r>
              <m:rPr>
                <m:sty m:val="p"/>
              </m:rPr>
              <m:t>a</m:t>
            </m:r>
            <m:r>
              <m:rPr>
                <m:sty m:val="p"/>
              </m:rPr>
              <m:t>l</m:t>
            </m:r>
          </m:sub>
        </m:sSub>
      </m:oMath>
      <w:r>
        <w:t xml:space="preserve"> </w:t>
      </w:r>
      <w:r>
        <w:rPr>
          <w:rFonts w:hint="eastAsia"/>
        </w:rPr>
        <w:t xml:space="preserve">分别为峰值和期末价格偏差；分段</w:t>
      </w:r>
      <w:r>
        <w:t xml:space="preserve"> RMSE </w:t>
      </w:r>
      <w:r>
        <w:rPr>
          <w:rFonts w:hint="eastAsia"/>
        </w:rPr>
        <w:t xml:space="preserve">约束前期冲击、高位平台和后期再定价。校准采用固定种子随机搜索、差分进化精修和局部扰动复核，均在既有模型结构内完成。</w:t>
      </w:r>
    </w:p>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1493 &amp; SPR </w:t>
      </w:r>
      <w:r>
        <w:rPr>
          <w:rFonts w:hint="eastAsia"/>
        </w:rPr>
        <w:t xml:space="preserve">释放上限</w:t>
      </w:r>
      <w:r>
        <w:t xml:space="preserve"> &amp; 670</w:t>
      </w:r>
      <w:r>
        <w:br/>
      </w:r>
      <w:r>
        <w:t xml:space="preserve">SPR </w:t>
      </w:r>
      <w:r>
        <w:rPr>
          <w:rFonts w:hint="eastAsia"/>
        </w:rPr>
        <w:t xml:space="preserve">启动延迟</w:t>
      </w:r>
      <w:r>
        <w:t xml:space="preserve"> &amp; 3 &amp; </w:t>
      </w:r>
      <w:r>
        <w:rPr>
          <w:rFonts w:hint="eastAsia"/>
        </w:rPr>
        <w:t xml:space="preserve">绕道启动日</w:t>
      </w:r>
      <w:r>
        <w:t xml:space="preserve"> &amp; 8</w:t>
      </w:r>
      <w:r>
        <w:br/>
      </w:r>
      <w:r>
        <w:rPr>
          <w:rFonts w:hint="eastAsia"/>
        </w:rPr>
        <w:t xml:space="preserve">绕道能力上限</w:t>
      </w:r>
      <w:r>
        <w:t xml:space="preserve"> &amp; 237 &amp; </w:t>
      </w:r>
      <w:r>
        <w:rPr>
          <w:rFonts w:hint="eastAsia"/>
        </w:rPr>
        <w:t xml:space="preserve">长期需求弹性</w:t>
      </w:r>
      <w:r>
        <w:t xml:space="preserve"> &amp; -0.25</w:t>
      </w:r>
      <w:r>
        <w:br/>
      </w:r>
      <w:r>
        <w:rPr>
          <w:rFonts w:hint="eastAsia"/>
        </w:rPr>
        <w:t xml:space="preserve">恐慌初始强度</w:t>
      </w:r>
      <w:r>
        <w:t xml:space="preserve"> &amp; 0.12 &amp; </w:t>
      </w:r>
      <w:r>
        <w:rPr>
          <w:rFonts w:hint="eastAsia"/>
        </w:rPr>
        <w:t xml:space="preserve">恐慌衰减速度</w:t>
      </w:r>
      <w:r>
        <w:t xml:space="preserve"> &amp; 0.11</w:t>
      </w:r>
      <w:r>
        <w:br/>
      </w:r>
      <w:r>
        <w:rPr>
          <w:rFonts w:hint="eastAsia"/>
        </w:rPr>
        <w:t xml:space="preserve">库存日缓冲上限</w:t>
      </w:r>
      <w:r>
        <w:t xml:space="preserve"> &amp; 250 &amp; </w:t>
      </w:r>
      <w:r>
        <w:rPr>
          <w:rFonts w:hint="eastAsia"/>
        </w:rPr>
        <w:t xml:space="preserve">价格传导系数</w:t>
      </w:r>
      <w:r>
        <w:t xml:space="preserve"> </w:t>
      </w:r>
      <m:oMath>
        <m:r>
          <m:t>ϕ</m:t>
        </m:r>
      </m:oMath>
      <w:r>
        <w:t xml:space="preserve"> </w:t>
      </w:r>
      <w:r>
        <w:t xml:space="preserve">&amp; 0.028</w:t>
      </w:r>
      <w:r>
        <w:br/>
      </w:r>
      <w:r>
        <w:rPr>
          <w:rFonts w:hint="eastAsia"/>
        </w:rPr>
        <w:t xml:space="preserve">调整速度</w:t>
      </w:r>
      <w:r>
        <w:t xml:space="preserve"> </w:t>
      </w:r>
      <m:oMath>
        <m:r>
          <m:t>v</m:t>
        </m:r>
      </m:oMath>
      <w:r>
        <w:t xml:space="preserve"> </w:t>
      </w:r>
      <w:r>
        <w:t xml:space="preserve">&amp; 0.344 &amp; </w:t>
      </w:r>
      <w:r>
        <w:rPr>
          <w:rFonts w:hint="eastAsia"/>
        </w:rPr>
        <w:t xml:space="preserve">风险权重</w:t>
      </w:r>
      <w:r>
        <w:t xml:space="preserve"> </w:t>
      </w:r>
      <m:oMath>
        <m:r>
          <m:t>β</m:t>
        </m:r>
      </m:oMath>
      <w:r>
        <w:t xml:space="preserve"> </w:t>
      </w:r>
      <w:r>
        <w:t xml:space="preserve">&amp; 2.462</w:t>
      </w:r>
      <w:r>
        <w:br/>
      </w:r>
      <w:r>
        <w:rPr>
          <w:rFonts w:hint="eastAsia"/>
        </w:rPr>
        <w:t xml:space="preserve">不确定性/制度风险强度</w:t>
      </w:r>
      <w:r>
        <w:t xml:space="preserve"> &amp; 0.247 &amp; </w:t>
      </w:r>
      <w:r>
        <w:rPr>
          <w:rFonts w:hint="eastAsia"/>
        </w:rPr>
        <w:t xml:space="preserve">库存响应系数</w:t>
      </w:r>
      <w:r>
        <w:t xml:space="preserve"> &amp; 0.666</w:t>
      </w:r>
      <w:r>
        <w:br/>
      </w:r>
      <w:r>
        <w:rPr>
          <w:rFonts w:hint="eastAsia"/>
        </w:rPr>
        <w:t xml:space="preserve">缓冲确认强度</w:t>
      </w:r>
      <w:r>
        <w:t xml:space="preserve"> &amp; 0.220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表中参数分为两类：供应中断量、SPR</w:t>
      </w:r>
      <w:r>
        <w:t xml:space="preserve"> </w:t>
      </w:r>
      <w:r>
        <w:rPr>
          <w:rFonts w:hint="eastAsia"/>
        </w:rPr>
        <w:t xml:space="preserve">上限、绕道能力、库存缓冲和需求弹性受题面范围约束；风险权重、价格调整速度、缓冲确认和预期修复强度由冲突窗口校准。供应中断量</w:t>
      </w:r>
      <w:r>
        <w:t xml:space="preserve"> 1493 </w:t>
      </w:r>
      <w:r>
        <w:rPr>
          <w:rFonts w:hint="eastAsia"/>
        </w:rPr>
        <w:t xml:space="preserve">万桶/日是中心情景值，长期情景和蒙特卡洛抽样继续覆盖</w:t>
      </w:r>
      <w:r>
        <w:t xml:space="preserve"> 1400–1800 </w:t>
      </w:r>
      <w:r>
        <w:rPr>
          <w:rFonts w:hint="eastAsia"/>
        </w:rPr>
        <w:t xml:space="preserve">万桶/日。</w:t>
      </w:r>
    </w:p>
    <w:p>
      <w:pPr>
        <w:pStyle w:val="BodyText"/>
      </w:pPr>
      <w:r>
        <w:rPr>
          <w:rFonts w:hint="eastAsia"/>
        </w:rPr>
        <w:t xml:space="preserve">短期冲击模型在冲突窗口内取得</w:t>
      </w:r>
      <w:r>
        <w:t xml:space="preserve"> RMSE 3.38 </w:t>
      </w:r>
      <w:r>
        <w:rPr>
          <w:rFonts w:hint="eastAsia"/>
        </w:rPr>
        <w:t xml:space="preserve">美元/桶、MAE</w:t>
      </w:r>
      <w:r>
        <w:t xml:space="preserve"> 2.76 </w:t>
      </w:r>
      <w:r>
        <w:rPr>
          <w:rFonts w:hint="eastAsia"/>
        </w:rPr>
        <w:t xml:space="preserve">美元/桶。模拟峰值为</w:t>
      </w:r>
      <w:r>
        <w:t xml:space="preserve"> 110.32 </w:t>
      </w:r>
      <w:r>
        <w:rPr>
          <w:rFonts w:hint="eastAsia"/>
        </w:rPr>
        <w:t xml:space="preserve">美元/桶，实际最高收盘价为</w:t>
      </w:r>
      <w:r>
        <w:t xml:space="preserve"> 114.06 </w:t>
      </w:r>
      <w:r>
        <w:rPr>
          <w:rFonts w:hint="eastAsia"/>
        </w:rPr>
        <w:t xml:space="preserve">美元/桶；期末模拟价格为</w:t>
      </w:r>
      <w:r>
        <w:t xml:space="preserve"> 110.32 </w:t>
      </w:r>
      <w:r>
        <w:rPr>
          <w:rFonts w:hint="eastAsia"/>
        </w:rPr>
        <w:t xml:space="preserve">美元/桶，实际为</w:t>
      </w:r>
      <w:r>
        <w:t xml:space="preserve"> 110.31 </w:t>
      </w:r>
      <w:r>
        <w:rPr>
          <w:rFonts w:hint="eastAsia"/>
        </w:rPr>
        <w:t xml:space="preserve">美元/桶。对高位平台和中期回落窗口加入低自由度</w:t>
      </w:r>
      <w:r>
        <w:t xml:space="preserve"> Ridge </w:t>
      </w:r>
      <w:r>
        <w:rPr>
          <w:rFonts w:hint="eastAsia"/>
        </w:rPr>
        <w:t xml:space="preserve">收益率修正后，增强路径的</w:t>
      </w:r>
      <w:r>
        <w:t xml:space="preserve"> RMSE </w:t>
      </w:r>
      <w:r>
        <w:rPr>
          <w:rFonts w:hint="eastAsia"/>
        </w:rPr>
        <w:t xml:space="preserve">降至</w:t>
      </w:r>
      <w:r>
        <w:t xml:space="preserve"> 3.18 </w:t>
      </w:r>
      <w:r>
        <w:rPr>
          <w:rFonts w:hint="eastAsia"/>
        </w:rPr>
        <w:t xml:space="preserve">美元/桶，MAE</w:t>
      </w:r>
      <w:r>
        <w:t xml:space="preserve"> </w:t>
      </w:r>
      <w:r>
        <w:rPr>
          <w:rFonts w:hint="eastAsia"/>
        </w:rPr>
        <w:t xml:space="preserve">降至</w:t>
      </w:r>
      <w:r>
        <w:t xml:space="preserve"> 2.69 </w:t>
      </w:r>
      <w:r>
        <w:rPr>
          <w:rFonts w:hint="eastAsia"/>
        </w:rPr>
        <w:t xml:space="preserve">美元/桶，MAPE</w:t>
      </w:r>
      <w:r>
        <w:t xml:space="preserve"> </w:t>
      </w:r>
      <w:r>
        <w:rPr>
          <w:rFonts w:hint="eastAsia"/>
        </w:rPr>
        <w:t xml:space="preserve">为</w:t>
      </w:r>
      <w:r>
        <w:t xml:space="preserve"> </w:t>
      </w:r>
      <w:r>
        <w:rPr>
          <w:rFonts w:hint="eastAsia"/>
        </w:rPr>
        <w:t xml:space="preserve">2.69%，方向命中率为</w:t>
      </w:r>
      <w:r>
        <w:t xml:space="preserve"> 68.9%。</w:t>
      </w:r>
    </w:p>
    <w:p>
      <w:pPr>
        <w:pStyle w:val="BodyText"/>
      </w:pPr>
      <w:r>
        <w:rPr>
          <w:rFonts w:hint="eastAsia"/>
          <w:b/>
          <w:bCs/>
        </w:rPr>
        <w:t xml:space="preserve">结论</w:t>
      </w:r>
      <w:r>
        <w:rPr>
          <w:rFonts w:hint="eastAsia"/>
        </w:rPr>
        <w:t xml:space="preserve">短期模型解释前期冲击、中期平台和后期再定价；阶段</w:t>
      </w:r>
      <w:r>
        <w:t xml:space="preserve"> Ridge </w:t>
      </w:r>
      <w:r>
        <w:rPr>
          <w:rFonts w:hint="eastAsia"/>
        </w:rPr>
        <w:t xml:space="preserve">增强只修正日度震荡，不替代机制递推。</w:t>
      </w:r>
    </w:p>
    <w:bookmarkStart w:id="44" w:name="fig:short-term-fit"/>
    <w:p>
      <w:pPr>
        <w:pStyle w:val="CaptionedFigure"/>
      </w:pPr>
      <w:r>
        <w:drawing>
          <wp:inline>
            <wp:extent cx="4907280" cy="2587474"/>
            <wp:effectExtent b="0" l="0" r="0" t="0"/>
            <wp:docPr descr="" title="" id="42" name="Picture"/>
            <a:graphic>
              <a:graphicData uri="http://schemas.openxmlformats.org/drawingml/2006/picture">
                <pic:pic>
                  <pic:nvPicPr>
                    <pic:cNvPr descr="短期模型拟合效果.png" id="43" name="Picture"/>
                    <pic:cNvPicPr>
                      <a:picLocks noChangeArrowheads="1" noChangeAspect="1"/>
                    </pic:cNvPicPr>
                  </pic:nvPicPr>
                  <pic:blipFill>
                    <a:blip r:embed="rId4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短期冲击模型拟合效果</w:t>
      </w:r>
    </w:p>
    <w:bookmarkEnd w:id="44"/>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3.38 &amp; 2.76 &amp; 7.24</w:t>
      </w:r>
      <w:r>
        <w:br/>
      </w:r>
      <w:r>
        <w:rPr>
          <w:rFonts w:hint="eastAsia"/>
        </w:rPr>
        <w:t xml:space="preserve">前期冲击</w:t>
      </w:r>
      <w:r>
        <w:t xml:space="preserve"> &amp; 11 &amp; 3.17 &amp; 2.73 &amp; 5.79</w:t>
      </w:r>
      <w:r>
        <w:br/>
      </w:r>
      <w:r>
        <w:rPr>
          <w:rFonts w:hint="eastAsia"/>
        </w:rPr>
        <w:t xml:space="preserve">中期平台</w:t>
      </w:r>
      <w:r>
        <w:t xml:space="preserve"> &amp; 14 &amp; 4.21 &amp; 3.52 &amp; 7.24</w:t>
      </w:r>
      <w:r>
        <w:br/>
      </w:r>
      <w:r>
        <w:rPr>
          <w:rFonts w:hint="eastAsia"/>
        </w:rPr>
        <w:t xml:space="preserve">后期再定价</w:t>
      </w:r>
      <w:r>
        <w:t xml:space="preserve"> &amp; 21 &amp; 2.82 &amp; 2.27 &amp; 5.37</w:t>
      </w:r>
      <w:r>
        <w:br/>
      </w:r>
      <w:r>
        <w:rPr>
          <w:rFonts w:hint="eastAsia"/>
        </w:rPr>
        <w:t xml:space="preserve">高价平台</w:t>
      </w:r>
      <w:r>
        <w:t xml:space="preserve"> &amp; 4 &amp; 2.70 &amp; 2.19 &amp; 3.93</w:t>
      </w:r>
      <w:r>
        <w:br/>
      </w:r>
      <w:r>
        <w:rPr>
          <w:rFonts w:hint="eastAsia"/>
        </w:rPr>
        <w:t xml:space="preserve">低价回落</w:t>
      </w:r>
      <w:r>
        <w:t xml:space="preserve"> &amp; 21 &amp; 3.20 &amp; 2.76 &amp; 5.79</w:t>
      </w:r>
      <w:r>
        <w:br/>
      </w:r>
    </w:p>
    <w:bookmarkEnd w:id="45"/>
    <w:bookmarkStart w:id="46" w:name="基准模型对比"/>
    <w:p>
      <w:pPr>
        <w:pStyle w:val="Heading2"/>
      </w:pPr>
      <w:r>
        <w:rPr>
          <w:rFonts w:hint="eastAsia"/>
        </w:rPr>
        <w:t xml:space="preserve">基准模型对比</w:t>
      </w:r>
    </w:p>
    <w:p>
      <w:pPr>
        <w:pStyle w:val="FirstParagraph"/>
      </w:pPr>
      <w:r>
        <w:rPr>
          <w:rFonts w:hint="eastAsia"/>
        </w:rPr>
        <w:t xml:space="preserve">上一日价格是金融时间序列的基本基准。本文同时使用滚动</w:t>
      </w:r>
      <w:r>
        <w:t xml:space="preserve"> ARIMA(1,1,0) </w:t>
      </w:r>
      <w:r>
        <w:rPr>
          <w:rFonts w:hint="eastAsia"/>
        </w:rPr>
        <w:t xml:space="preserve">作对照，所有基准在预测第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日及以前信息。三日均值和漂移随机游走已在程序中复核，结论一致。</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3.38 &amp; 2.76 &amp; 2.76 &amp; 66.7</w:t>
      </w:r>
      <w:r>
        <w:br/>
      </w:r>
      <w:r>
        <w:rPr>
          <w:rFonts w:hint="eastAsia"/>
          <w:b/>
          <w:bCs/>
        </w:rPr>
        <w:t xml:space="preserve">短期冲击模型增强路径</w:t>
      </w:r>
      <w:r>
        <w:t xml:space="preserve"> </w:t>
      </w:r>
      <w:r>
        <w:t xml:space="preserve">&amp;</w:t>
      </w:r>
      <w:r>
        <w:t xml:space="preserve"> </w:t>
      </w:r>
      <w:r>
        <w:rPr>
          <w:b/>
          <w:bCs/>
        </w:rPr>
        <w:t xml:space="preserve">3.18</w:t>
      </w:r>
      <w:r>
        <w:t xml:space="preserve"> </w:t>
      </w:r>
      <w:r>
        <w:t xml:space="preserve">&amp;</w:t>
      </w:r>
      <w:r>
        <w:t xml:space="preserve"> </w:t>
      </w:r>
      <w:r>
        <w:rPr>
          <w:b/>
          <w:bCs/>
        </w:rPr>
        <w:t xml:space="preserve">2.69</w:t>
      </w:r>
      <w:r>
        <w:t xml:space="preserve"> </w:t>
      </w:r>
      <w:r>
        <w:t xml:space="preserve">&amp;</w:t>
      </w:r>
      <w:r>
        <w:t xml:space="preserve"> </w:t>
      </w:r>
      <w:r>
        <w:rPr>
          <w:b/>
          <w:bCs/>
        </w:rPr>
        <w:t xml:space="preserve">2.69</w:t>
      </w:r>
      <w:r>
        <w:t xml:space="preserve"> </w:t>
      </w:r>
      <w:r>
        <w:t xml:space="preserve">&amp;</w:t>
      </w:r>
      <w:r>
        <w:t xml:space="preserve"> </w:t>
      </w:r>
      <w:r>
        <w:rPr>
          <w:b/>
          <w:bCs/>
        </w:rPr>
        <w:t xml:space="preserve">68.9</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与方向命中率以百分比计。短期冲击模型增强路径指</w:t>
      </w:r>
      <w:r>
        <w:rPr>
          <w:rFonts w:hint="eastAsia"/>
        </w:rPr>
        <w:t xml:space="preserve">“短期冲击模型</w:t>
      </w:r>
      <w:r>
        <w:t xml:space="preserve"> + </w:t>
      </w:r>
      <w:r>
        <w:rPr>
          <w:rFonts w:hint="eastAsia"/>
        </w:rPr>
        <w:t xml:space="preserve">阶段</w:t>
      </w:r>
      <w:r>
        <w:t xml:space="preserve"> Ridge </w:t>
      </w:r>
      <w:r>
        <w:rPr>
          <w:rFonts w:hint="eastAsia"/>
        </w:rPr>
        <w:t xml:space="preserve">修正”</w:t>
      </w:r>
      <w:r>
        <w:rPr>
          <w:rFonts w:hint="eastAsia"/>
        </w:rPr>
        <w:t xml:space="preserve">，只在残差薄弱窗口启用收益率修正，其他事件段保持机制路径不变。</w:t>
      </w:r>
    </w:p>
    <w:p>
      <w:pPr>
        <w:pStyle w:val="BodyText"/>
      </w:pPr>
      <w:hyperlink w:anchor="fig:short-term-fit">
        <w:r>
          <w:rPr>
            <w:rStyle w:val="Hyperlink"/>
          </w:rPr>
          <w:t xml:space="preserve">3</w:t>
        </w:r>
      </w:hyperlink>
      <w:r>
        <w:t xml:space="preserve"> </w:t>
      </w:r>
      <w:r>
        <w:rPr>
          <w:rFonts w:hint="eastAsia"/>
        </w:rPr>
        <w:t xml:space="preserve">给出短期拟合路径。将模型曲线整体平移</w:t>
      </w:r>
      <w:r>
        <w:t xml:space="preserve"> 1–5 </w:t>
      </w:r>
      <w:r>
        <w:rPr>
          <w:rFonts w:hint="eastAsia"/>
        </w:rPr>
        <w:t xml:space="preserve">天后重新计算</w:t>
      </w:r>
      <w:r>
        <w:t xml:space="preserve"> </w:t>
      </w:r>
      <w:r>
        <w:rPr>
          <w:rFonts w:hint="eastAsia"/>
        </w:rPr>
        <w:t xml:space="preserve">RMSE，原始位置最低，为</w:t>
      </w:r>
      <w:r>
        <w:t xml:space="preserve"> </w:t>
      </w:r>
      <w:r>
        <w:rPr>
          <w:rFonts w:hint="eastAsia"/>
        </w:rPr>
        <w:t xml:space="preserve">3.38；向左平移</w:t>
      </w:r>
      <w:r>
        <w:t xml:space="preserve"> 1 </w:t>
      </w:r>
      <w:r>
        <w:rPr>
          <w:rFonts w:hint="eastAsia"/>
        </w:rPr>
        <w:t xml:space="preserve">天升至</w:t>
      </w:r>
      <w:r>
        <w:t xml:space="preserve"> </w:t>
      </w:r>
      <w:r>
        <w:rPr>
          <w:rFonts w:hint="eastAsia"/>
        </w:rPr>
        <w:t xml:space="preserve">3.90，向左平移</w:t>
      </w:r>
      <w:r>
        <w:t xml:space="preserve"> 2 </w:t>
      </w:r>
      <w:r>
        <w:rPr>
          <w:rFonts w:hint="eastAsia"/>
        </w:rPr>
        <w:t xml:space="preserve">天升至</w:t>
      </w:r>
      <w:r>
        <w:t xml:space="preserve"> </w:t>
      </w:r>
      <w:r>
        <w:rPr>
          <w:rFonts w:hint="eastAsia"/>
        </w:rPr>
        <w:t xml:space="preserve">4.71，说明曲线不存在明显滞后复制。剔除首日后的可比较样本中，短期冲击模型</w:t>
      </w:r>
      <w:r>
        <w:t xml:space="preserve"> RMSE </w:t>
      </w:r>
      <w:r>
        <w:rPr>
          <w:rFonts w:hint="eastAsia"/>
        </w:rPr>
        <w:t xml:space="preserve">为</w:t>
      </w:r>
      <w:r>
        <w:t xml:space="preserve"> </w:t>
      </w:r>
      <w:r>
        <w:rPr>
          <w:rFonts w:hint="eastAsia"/>
        </w:rPr>
        <w:t xml:space="preserve">3.42，朴素上一日基准为</w:t>
      </w:r>
      <w:r>
        <w:t xml:space="preserve"> </w:t>
      </w:r>
      <w:r>
        <w:rPr>
          <w:rFonts w:hint="eastAsia"/>
        </w:rPr>
        <w:t xml:space="preserve">4.52；R</w:t>
      </w:r>
      <w:r>
        <w:t xml:space="preserve"> </w:t>
      </w:r>
      <w:r>
        <w:rPr>
          <w:rFonts w:hint="eastAsia"/>
        </w:rPr>
        <w:t xml:space="preserve">语言复核的</w:t>
      </w:r>
      <w:r>
        <w:t xml:space="preserve"> DM </w:t>
      </w:r>
      <w:r>
        <w:rPr>
          <w:rFonts w:hint="eastAsia"/>
        </w:rPr>
        <w:t xml:space="preserve">平方损失单侧检验</w:t>
      </w:r>
      <w:r>
        <w:t xml:space="preserve"> </w:t>
      </w:r>
      <m:oMath>
        <m:r>
          <m:t>p</m:t>
        </m:r>
        <m:r>
          <m:rPr>
            <m:sty m:val="p"/>
          </m:rPr>
          <m:t>=</m:t>
        </m:r>
        <m:r>
          <m:t>0.020</m:t>
        </m:r>
      </m:oMath>
      <w:r>
        <w:rPr>
          <w:rFonts w:hint="eastAsia"/>
        </w:rPr>
        <w:t xml:space="preserve">，方向命中率二项检验</w:t>
      </w:r>
      <w:r>
        <w:t xml:space="preserve"> </w:t>
      </w:r>
      <m:oMath>
        <m:r>
          <m:t>p</m:t>
        </m:r>
        <m:r>
          <m:rPr>
            <m:sty m:val="p"/>
          </m:rPr>
          <m:t>=</m:t>
        </m:r>
        <m:r>
          <m:t>0.024</m:t>
        </m:r>
      </m:oMath>
      <w:r>
        <w:t xml:space="preserve">。Ljung–Box lag10 </w:t>
      </w:r>
      <w:r>
        <w:rPr>
          <w:rFonts w:hint="eastAsia"/>
        </w:rPr>
        <w:t xml:space="preserve">检验</w:t>
      </w:r>
      <w:r>
        <w:t xml:space="preserve"> </w:t>
      </w:r>
      <m:oMath>
        <m:r>
          <m:t>p</m:t>
        </m:r>
        <m:r>
          <m:rPr>
            <m:sty m:val="p"/>
          </m:rPr>
          <m:t>=</m:t>
        </m:r>
        <m:r>
          <m:t>0.364</m:t>
        </m:r>
      </m:oMath>
      <w:r>
        <w:rPr>
          <w:rFonts w:hint="eastAsia"/>
        </w:rPr>
        <w:t xml:space="preserve">，未见显著线性自相关。</w:t>
      </w:r>
    </w:p>
    <w:bookmarkEnd w:id="46"/>
    <w:bookmarkStart w:id="47" w:name="鲁棒性与边界检验摘要"/>
    <w:p>
      <w:pPr>
        <w:pStyle w:val="Heading2"/>
      </w:pPr>
      <w:r>
        <w:rPr>
          <w:rFonts w:hint="eastAsia"/>
        </w:rPr>
        <w:t xml:space="preserve">鲁棒性与边界检验摘要</w:t>
      </w:r>
    </w:p>
    <w:p>
      <w:pPr>
        <w:pStyle w:val="FirstParagraph"/>
      </w:pPr>
      <w:r>
        <w:rPr>
          <w:rFonts w:hint="eastAsia"/>
        </w:rPr>
        <w:t xml:space="preserve">短期窗口只有</w:t>
      </w:r>
      <w:r>
        <w:t xml:space="preserve"> 46 </w:t>
      </w:r>
      <w:r>
        <w:rPr>
          <w:rFonts w:hint="eastAsia"/>
        </w:rPr>
        <w:t xml:space="preserve">个交易日，检验重点放在机制必要性和参数稳定性上。机制消融时，关闭某一机制后其他参数不重新校准，用于观察同一参数体系下的边际贡献。</w:t>
      </w:r>
    </w:p>
    <w:p>
      <w:pPr>
        <w:pStyle w:val="TableCaption"/>
      </w:pPr>
      <w:r>
        <w:rPr>
          <w:rFonts w:hint="eastAsia"/>
        </w:rPr>
        <w:t xml:space="preserve">短期模型机制消融实验摘要</w:t>
      </w:r>
    </w:p>
    <w:tbl>
      <w:tblPr>
        <w:tblStyle w:val="Table"/>
        <w:tblW w:type="auto" w:w="0"/>
        <w:tblLook w:firstRow="1" w:lastRow="0" w:firstColumn="0" w:lastColumn="0" w:noHBand="0" w:noVBand="0" w:val="0020"/>
        <w:tblCaption w:val="短期模型机制消融实验摘要"/>
      </w:tblPr>
      <w:tblGrid>
        <w:gridCol w:w="1980"/>
        <w:gridCol w:w="1980"/>
        <w:gridCol w:w="1980"/>
        <w:gridCol w:w="1980"/>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left"/>
            </w:pPr>
            <w:r>
              <w:rPr>
                <w:rFonts w:hint="eastAsia"/>
              </w:rPr>
              <w:t xml:space="preserve">解释</w:t>
            </w:r>
          </w:p>
        </w:tc>
      </w:tr>
      <w:tr>
        <w:tc>
          <w:tcPr/>
          <w:p>
            <w:pPr>
              <w:pStyle w:val="Compact"/>
              <w:jc w:val="left"/>
            </w:pPr>
            <w:r>
              <w:rPr>
                <w:rFonts w:hint="eastAsia"/>
              </w:rPr>
              <w:t xml:space="preserve">完整模型</w:t>
            </w:r>
          </w:p>
        </w:tc>
        <w:tc>
          <w:tcPr/>
          <w:p>
            <w:pPr>
              <w:pStyle w:val="Compact"/>
              <w:jc w:val="right"/>
            </w:pPr>
            <w:r>
              <w:t xml:space="preserve">3.38</w:t>
            </w:r>
          </w:p>
        </w:tc>
        <w:tc>
          <w:tcPr/>
          <w:p>
            <w:pPr>
              <w:pStyle w:val="Compact"/>
              <w:jc w:val="right"/>
            </w:pPr>
            <w:r>
              <w:t xml:space="preserve">0.00</w:t>
            </w:r>
          </w:p>
        </w:tc>
        <w:tc>
          <w:tcPr/>
          <w:p>
            <w:pPr>
              <w:pStyle w:val="Compact"/>
              <w:jc w:val="left"/>
            </w:pPr>
            <w:r>
              <w:rPr>
                <w:rFonts w:hint="eastAsia"/>
              </w:rPr>
              <w:t xml:space="preserve">短期冲击模型基准路径</w:t>
            </w:r>
          </w:p>
        </w:tc>
      </w:tr>
      <w:tr>
        <w:tc>
          <w:tcPr/>
          <w:p>
            <w:pPr>
              <w:pStyle w:val="Compact"/>
              <w:jc w:val="left"/>
            </w:pPr>
            <w:r>
              <w:rPr>
                <w:rFonts w:hint="eastAsia"/>
              </w:rPr>
              <w:t xml:space="preserve">无</w:t>
            </w:r>
            <w:r>
              <w:t xml:space="preserve"> SPR</w:t>
            </w:r>
          </w:p>
        </w:tc>
        <w:tc>
          <w:tcPr/>
          <w:p>
            <w:pPr>
              <w:pStyle w:val="Compact"/>
              <w:jc w:val="right"/>
            </w:pPr>
            <w:r>
              <w:t xml:space="preserve">5.19</w:t>
            </w:r>
          </w:p>
        </w:tc>
        <w:tc>
          <w:tcPr/>
          <w:p>
            <w:pPr>
              <w:pStyle w:val="Compact"/>
              <w:jc w:val="right"/>
            </w:pPr>
            <w:r>
              <w:t xml:space="preserve">+1.81</w:t>
            </w:r>
          </w:p>
        </w:tc>
        <w:tc>
          <w:tcPr/>
          <w:p>
            <w:pPr>
              <w:pStyle w:val="Compact"/>
              <w:jc w:val="left"/>
            </w:pPr>
            <w:r>
              <w:rPr>
                <w:rFonts w:hint="eastAsia"/>
              </w:rPr>
              <w:t xml:space="preserve">政策释放是压低后期误差的重要缓冲</w:t>
            </w:r>
          </w:p>
        </w:tc>
      </w:tr>
      <w:tr>
        <w:tc>
          <w:tcPr/>
          <w:p>
            <w:pPr>
              <w:pStyle w:val="Compact"/>
              <w:jc w:val="left"/>
            </w:pPr>
            <w:r>
              <w:rPr>
                <w:rFonts w:hint="eastAsia"/>
              </w:rPr>
              <w:t xml:space="preserve">无库存</w:t>
            </w:r>
          </w:p>
        </w:tc>
        <w:tc>
          <w:tcPr/>
          <w:p>
            <w:pPr>
              <w:pStyle w:val="Compact"/>
              <w:jc w:val="right"/>
            </w:pPr>
            <w:r>
              <w:t xml:space="preserve">4.08</w:t>
            </w:r>
          </w:p>
        </w:tc>
        <w:tc>
          <w:tcPr/>
          <w:p>
            <w:pPr>
              <w:pStyle w:val="Compact"/>
              <w:jc w:val="right"/>
            </w:pPr>
            <w:r>
              <w:t xml:space="preserve">+0.70</w:t>
            </w:r>
          </w:p>
        </w:tc>
        <w:tc>
          <w:tcPr/>
          <w:p>
            <w:pPr>
              <w:pStyle w:val="Compact"/>
              <w:jc w:val="left"/>
            </w:pPr>
            <w:r>
              <w:rPr>
                <w:rFonts w:hint="eastAsia"/>
              </w:rPr>
              <w:t xml:space="preserve">商业库存承担初期缺口吸收功能</w:t>
            </w:r>
          </w:p>
        </w:tc>
      </w:tr>
      <w:tr>
        <w:tc>
          <w:tcPr/>
          <w:p>
            <w:pPr>
              <w:pStyle w:val="Compact"/>
              <w:jc w:val="left"/>
            </w:pPr>
            <w:r>
              <w:rPr>
                <w:rFonts w:hint="eastAsia"/>
              </w:rPr>
              <w:t xml:space="preserve">无需求收缩</w:t>
            </w:r>
          </w:p>
        </w:tc>
        <w:tc>
          <w:tcPr/>
          <w:p>
            <w:pPr>
              <w:pStyle w:val="Compact"/>
              <w:jc w:val="right"/>
            </w:pPr>
            <w:r>
              <w:t xml:space="preserve">4.51</w:t>
            </w:r>
          </w:p>
        </w:tc>
        <w:tc>
          <w:tcPr/>
          <w:p>
            <w:pPr>
              <w:pStyle w:val="Compact"/>
              <w:jc w:val="right"/>
            </w:pPr>
            <w:r>
              <w:t xml:space="preserve">+1.13</w:t>
            </w:r>
          </w:p>
        </w:tc>
        <w:tc>
          <w:tcPr/>
          <w:p>
            <w:pPr>
              <w:pStyle w:val="Compact"/>
              <w:jc w:val="left"/>
            </w:pPr>
            <w:r>
              <w:rPr>
                <w:rFonts w:hint="eastAsia"/>
              </w:rPr>
              <w:t xml:space="preserve">高油价下需求回落有助于解释低价回落段</w:t>
            </w:r>
          </w:p>
        </w:tc>
      </w:tr>
      <w:tr>
        <w:tc>
          <w:tcPr/>
          <w:p>
            <w:pPr>
              <w:pStyle w:val="Compact"/>
              <w:jc w:val="left"/>
            </w:pPr>
            <w:r>
              <w:rPr>
                <w:rFonts w:hint="eastAsia"/>
              </w:rPr>
              <w:t xml:space="preserve">无风险溢价</w:t>
            </w:r>
          </w:p>
        </w:tc>
        <w:tc>
          <w:tcPr/>
          <w:p>
            <w:pPr>
              <w:pStyle w:val="Compact"/>
              <w:jc w:val="right"/>
            </w:pPr>
            <w:r>
              <w:t xml:space="preserve">30.34</w:t>
            </w:r>
          </w:p>
        </w:tc>
        <w:tc>
          <w:tcPr/>
          <w:p>
            <w:pPr>
              <w:pStyle w:val="Compact"/>
              <w:jc w:val="right"/>
            </w:pPr>
            <w:r>
              <w:t xml:space="preserve">+26.96</w:t>
            </w:r>
          </w:p>
        </w:tc>
        <w:tc>
          <w:tcPr/>
          <w:p>
            <w:pPr>
              <w:pStyle w:val="Compact"/>
              <w:jc w:val="left"/>
            </w:pPr>
            <w:r>
              <w:rPr>
                <w:rFonts w:hint="eastAsia"/>
              </w:rPr>
              <w:t xml:space="preserve">风险定价是进入高位平台的核心通道</w:t>
            </w:r>
          </w:p>
        </w:tc>
      </w:tr>
      <w:tr>
        <w:tc>
          <w:tcPr/>
          <w:p>
            <w:pPr>
              <w:pStyle w:val="Compact"/>
              <w:jc w:val="left"/>
            </w:pPr>
            <w:r>
              <w:rPr>
                <w:rFonts w:hint="eastAsia"/>
              </w:rPr>
              <w:t xml:space="preserve">无缓冲折价</w:t>
            </w:r>
          </w:p>
        </w:tc>
        <w:tc>
          <w:tcPr/>
          <w:p>
            <w:pPr>
              <w:pStyle w:val="Compact"/>
              <w:jc w:val="right"/>
            </w:pPr>
            <w:r>
              <w:t xml:space="preserve">4.55</w:t>
            </w:r>
          </w:p>
        </w:tc>
        <w:tc>
          <w:tcPr/>
          <w:p>
            <w:pPr>
              <w:pStyle w:val="Compact"/>
              <w:jc w:val="right"/>
            </w:pPr>
            <w:r>
              <w:t xml:space="preserve">+1.17</w:t>
            </w:r>
          </w:p>
        </w:tc>
        <w:tc>
          <w:tcPr/>
          <w:p>
            <w:pPr>
              <w:pStyle w:val="Compact"/>
              <w:jc w:val="left"/>
            </w:pPr>
            <w:r>
              <w:rPr>
                <w:rFonts w:hint="eastAsia"/>
              </w:rPr>
              <w:t xml:space="preserve">缓冲机制被市场确认后会降低目标价格</w:t>
            </w:r>
          </w:p>
        </w:tc>
      </w:tr>
      <w:tr>
        <w:tc>
          <w:tcPr/>
          <w:p>
            <w:pPr>
              <w:pStyle w:val="Compact"/>
              <w:jc w:val="left"/>
            </w:pPr>
            <w:r>
              <w:rPr>
                <w:rFonts w:hint="eastAsia"/>
              </w:rPr>
              <w:t xml:space="preserve">无修复折价</w:t>
            </w:r>
          </w:p>
        </w:tc>
        <w:tc>
          <w:tcPr/>
          <w:p>
            <w:pPr>
              <w:pStyle w:val="Compact"/>
              <w:jc w:val="right"/>
            </w:pPr>
            <w:r>
              <w:t xml:space="preserve">7.13</w:t>
            </w:r>
          </w:p>
        </w:tc>
        <w:tc>
          <w:tcPr/>
          <w:p>
            <w:pPr>
              <w:pStyle w:val="Compact"/>
              <w:jc w:val="right"/>
            </w:pPr>
            <w:r>
              <w:t xml:space="preserve">+3.75</w:t>
            </w:r>
          </w:p>
        </w:tc>
        <w:tc>
          <w:tcPr/>
          <w:p>
            <w:pPr>
              <w:pStyle w:val="Compact"/>
              <w:jc w:val="left"/>
            </w:pPr>
            <w:r>
              <w:rPr>
                <w:rFonts w:hint="eastAsia"/>
              </w:rPr>
              <w:t xml:space="preserve">后期回落高度依赖预期修复机制</w:t>
            </w:r>
          </w:p>
        </w:tc>
      </w:tr>
    </w:tbl>
    <w:p>
      <w:pPr>
        <w:pStyle w:val="BodyText"/>
      </w:pPr>
      <w:r>
        <w:rPr>
          <w:rFonts w:hint="eastAsia"/>
        </w:rPr>
        <w:t xml:space="preserve">消融结果显示，物理缓冲和市场预期项功能不同：SPR、库存和需求收缩解释缺口吸收；风险溢价、缓冲确认和预期修复解释价格平台与回落。绕道运输在短窗口内边际影响较小，但会影响中长期剩余缺口和二次跳涨风险，故保留在长期递推中。</w:t>
      </w:r>
    </w:p>
    <w:p>
      <w:pPr>
        <w:pStyle w:val="TableCaption"/>
      </w:pPr>
      <w:r>
        <w:rPr>
          <w:rFonts w:hint="eastAsia"/>
        </w:rPr>
        <w:t xml:space="preserve">短期冲击模型有效性证据汇总</w:t>
      </w:r>
    </w:p>
    <w:tbl>
      <w:tblPr>
        <w:tblStyle w:val="Table"/>
        <w:tblW w:type="pct" w:w="1200"/>
        <w:tblLayout w:type="fixed"/>
        <w:tblLook w:firstRow="1" w:lastRow="0" w:firstColumn="0" w:lastColumn="0" w:noHBand="0" w:noVBand="0" w:val="0020"/>
        <w:tblCaption w:val="短期冲击模型有效性证据汇总"/>
      </w:tblPr>
      <w:tblGrid>
        <w:gridCol w:w="1900"/>
        <w:gridCol w:w="0"/>
        <w:gridCol w:w="0"/>
      </w:tblGrid>
      <w:tr>
        <w:trPr>
          <w:tblHeader w:val="on"/>
        </w:trPr>
        <w:tc>
          <w:tcPr/>
          <w:p>
            <w:pPr>
              <w:pStyle w:val="Compact"/>
              <w:jc w:val="left"/>
            </w:pPr>
            <w:r>
              <w:rPr>
                <w:rFonts w:hint="eastAsia"/>
              </w:rPr>
              <w:t xml:space="preserve">检验问题</w:t>
            </w:r>
          </w:p>
        </w:tc>
        <w:tc>
          <w:tcPr/>
          <w:p>
            <w:pPr>
              <w:pStyle w:val="Compact"/>
              <w:jc w:val="left"/>
            </w:pPr>
            <w:r>
              <w:rPr>
                <w:rFonts w:hint="eastAsia"/>
              </w:rPr>
              <w:t xml:space="preserve">主要证据</w:t>
            </w:r>
          </w:p>
        </w:tc>
        <w:tc>
          <w:tcPr/>
          <w:p>
            <w:pPr>
              <w:pStyle w:val="Compact"/>
              <w:jc w:val="left"/>
            </w:pPr>
            <w:r>
              <w:rPr>
                <w:rFonts w:hint="eastAsia"/>
              </w:rPr>
              <w:t xml:space="preserve">论文中的作用</w:t>
            </w:r>
          </w:p>
        </w:tc>
      </w:tr>
      <w:tr>
        <w:tc>
          <w:tcPr/>
          <w:p>
            <w:pPr>
              <w:pStyle w:val="Compact"/>
              <w:jc w:val="left"/>
            </w:pPr>
            <w:r>
              <w:rPr>
                <w:rFonts w:hint="eastAsia"/>
              </w:rPr>
              <w:t xml:space="preserve">是否优于简单基准</w:t>
            </w:r>
          </w:p>
        </w:tc>
        <w:tc>
          <w:tcPr/>
          <w:p>
            <w:pPr>
              <w:pStyle w:val="Compact"/>
              <w:jc w:val="left"/>
            </w:pPr>
            <w:r>
              <w:t xml:space="preserve">RMSE、MAE </w:t>
            </w:r>
            <w:r>
              <w:rPr>
                <w:rFonts w:hint="eastAsia"/>
              </w:rPr>
              <w:t xml:space="preserve">和</w:t>
            </w:r>
            <w:r>
              <w:t xml:space="preserve"> MAPE </w:t>
            </w:r>
            <w:r>
              <w:rPr>
                <w:rFonts w:hint="eastAsia"/>
              </w:rPr>
              <w:t xml:space="preserve">均优于朴素上一日、三日均值、漂移随机游走和滚动</w:t>
            </w:r>
            <w:r>
              <w:t xml:space="preserve"> ARIMA</w:t>
            </w:r>
          </w:p>
        </w:tc>
        <w:tc>
          <w:tcPr/>
          <w:p>
            <w:pPr>
              <w:pStyle w:val="Compact"/>
              <w:jc w:val="left"/>
            </w:pPr>
            <w:r>
              <w:rPr>
                <w:rFonts w:hint="eastAsia"/>
              </w:rPr>
              <w:t xml:space="preserve">说明模型不是仅复制油价惯性</w:t>
            </w:r>
          </w:p>
        </w:tc>
      </w:tr>
      <w:tr>
        <w:tc>
          <w:tcPr/>
          <w:p>
            <w:pPr>
              <w:pStyle w:val="Compact"/>
              <w:jc w:val="left"/>
            </w:pPr>
            <w:r>
              <w:rPr>
                <w:rFonts w:hint="eastAsia"/>
              </w:rPr>
              <w:t xml:space="preserve">是否存在滞后复制</w:t>
            </w:r>
          </w:p>
        </w:tc>
        <w:tc>
          <w:tcPr/>
          <w:p>
            <w:pPr>
              <w:pStyle w:val="Compact"/>
              <w:jc w:val="left"/>
            </w:pPr>
            <w:r>
              <w:rPr>
                <w:rFonts w:hint="eastAsia"/>
              </w:rPr>
              <w:t xml:space="preserve">原始位置平移检验最优，10</w:t>
            </w:r>
            <w:r>
              <w:t xml:space="preserve"> </w:t>
            </w:r>
            <w:r>
              <w:rPr>
                <w:rFonts w:hint="eastAsia"/>
              </w:rPr>
              <w:t xml:space="preserve">个大波动交易日中</w:t>
            </w:r>
            <w:r>
              <w:t xml:space="preserve"> 8 </w:t>
            </w:r>
            <w:r>
              <w:rPr>
                <w:rFonts w:hint="eastAsia"/>
              </w:rPr>
              <w:t xml:space="preserve">个同步、2</w:t>
            </w:r>
            <w:r>
              <w:t xml:space="preserve"> </w:t>
            </w:r>
            <w:r>
              <w:rPr>
                <w:rFonts w:hint="eastAsia"/>
              </w:rPr>
              <w:t xml:space="preserve">个提前</w:t>
            </w:r>
          </w:p>
        </w:tc>
        <w:tc>
          <w:tcPr/>
          <w:p>
            <w:pPr>
              <w:pStyle w:val="Compact"/>
              <w:jc w:val="left"/>
            </w:pPr>
            <w:r>
              <w:rPr>
                <w:rFonts w:hint="eastAsia"/>
              </w:rPr>
              <w:t xml:space="preserve">回应</w:t>
            </w:r>
            <w:r>
              <w:rPr>
                <w:rFonts w:hint="eastAsia"/>
              </w:rPr>
              <w:t xml:space="preserve">“马后炮曲线”</w:t>
            </w:r>
            <w:r>
              <w:rPr>
                <w:rFonts w:hint="eastAsia"/>
              </w:rPr>
              <w:t xml:space="preserve">风险</w:t>
            </w:r>
          </w:p>
        </w:tc>
      </w:tr>
      <w:tr>
        <w:tc>
          <w:tcPr/>
          <w:p>
            <w:pPr>
              <w:pStyle w:val="Compact"/>
              <w:jc w:val="left"/>
            </w:pPr>
            <w:r>
              <w:rPr>
                <w:rFonts w:hint="eastAsia"/>
              </w:rPr>
              <w:t xml:space="preserve">机制项是否必要</w:t>
            </w:r>
          </w:p>
        </w:tc>
        <w:tc>
          <w:tcPr/>
          <w:p>
            <w:pPr>
              <w:pStyle w:val="Compact"/>
              <w:jc w:val="left"/>
            </w:pPr>
            <w:r>
              <w:rPr>
                <w:rFonts w:hint="eastAsia"/>
              </w:rPr>
              <w:t xml:space="preserve">关闭风险、缓冲和预期修复通道会明显改变误差结构</w:t>
            </w:r>
          </w:p>
        </w:tc>
        <w:tc>
          <w:tcPr/>
          <w:p>
            <w:pPr>
              <w:pStyle w:val="Compact"/>
              <w:jc w:val="left"/>
            </w:pPr>
            <w:r>
              <w:rPr>
                <w:rFonts w:hint="eastAsia"/>
              </w:rPr>
              <w:t xml:space="preserve">说明扩展项具有边际解释贡献</w:t>
            </w:r>
          </w:p>
        </w:tc>
      </w:tr>
      <w:tr>
        <w:tc>
          <w:tcPr/>
          <w:p>
            <w:pPr>
              <w:pStyle w:val="Compact"/>
              <w:jc w:val="left"/>
            </w:pPr>
            <w:r>
              <w:rPr>
                <w:rFonts w:hint="eastAsia"/>
              </w:rPr>
              <w:t xml:space="preserve">参数是否过度依赖单点</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扰动中，96.6%</w:t>
            </w:r>
            <w:r>
              <w:t xml:space="preserve"> </w:t>
            </w:r>
            <w:r>
              <w:rPr>
                <w:rFonts w:hint="eastAsia"/>
              </w:rPr>
              <w:t xml:space="preserve">的峰值仍在</w:t>
            </w:r>
            <w:r>
              <w:t xml:space="preserve"> 105–125 </w:t>
            </w:r>
            <w:r>
              <w:rPr>
                <w:rFonts w:hint="eastAsia"/>
              </w:rPr>
              <w:t xml:space="preserve">美元/桶；800</w:t>
            </w:r>
            <w:r>
              <w:t xml:space="preserve"> </w:t>
            </w:r>
            <w:r>
              <w:rPr>
                <w:rFonts w:hint="eastAsia"/>
              </w:rPr>
              <w:t xml:space="preserve">组局部扰动通过率为</w:t>
            </w:r>
            <w:r>
              <w:t xml:space="preserve"> 99.4%</w:t>
            </w:r>
          </w:p>
        </w:tc>
        <w:tc>
          <w:tcPr/>
          <w:p>
            <w:pPr>
              <w:pStyle w:val="Compact"/>
              <w:jc w:val="left"/>
            </w:pPr>
            <w:r>
              <w:rPr>
                <w:rFonts w:hint="eastAsia"/>
              </w:rPr>
              <w:t xml:space="preserve">支撑参数邻域稳定性</w:t>
            </w:r>
          </w:p>
        </w:tc>
      </w:tr>
      <w:tr>
        <w:tc>
          <w:tcPr/>
          <w:p>
            <w:pPr>
              <w:pStyle w:val="Compact"/>
              <w:jc w:val="left"/>
            </w:pPr>
            <w:r>
              <w:rPr>
                <w:rFonts w:hint="eastAsia"/>
              </w:rPr>
              <w:t xml:space="preserve">结构边界是否清楚</w:t>
            </w:r>
          </w:p>
        </w:tc>
        <w:tc>
          <w:tcPr/>
          <w:p>
            <w:pPr>
              <w:pStyle w:val="Compact"/>
              <w:jc w:val="left"/>
            </w:pPr>
            <w:r>
              <w:rPr>
                <w:rFonts w:hint="eastAsia"/>
              </w:rPr>
              <w:t xml:space="preserve">强制</w:t>
            </w:r>
            <w:r>
              <w:t xml:space="preserve"> </w:t>
            </w:r>
            <m:oMath>
              <m:r>
                <m:t>ϕ</m:t>
              </m:r>
              <m:r>
                <m:rPr>
                  <m:sty m:val="p"/>
                </m:rPr>
                <m:t>=</m:t>
              </m:r>
              <m:r>
                <m:t>1</m:t>
              </m:r>
            </m:oMath>
            <w:r>
              <w:t xml:space="preserve"> </w:t>
            </w:r>
            <w:r>
              <w:rPr>
                <w:rFonts w:hint="eastAsia"/>
              </w:rPr>
              <w:t xml:space="preserve">时</w:t>
            </w:r>
            <w:r>
              <w:t xml:space="preserve"> 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美元/桶；代码未设置</w:t>
            </w:r>
            <w:r>
              <w:t xml:space="preserve"> 120 </w:t>
            </w:r>
            <w:r>
              <w:rPr>
                <w:rFonts w:hint="eastAsia"/>
              </w:rPr>
              <w:t xml:space="preserve">美元硬上限</w:t>
            </w:r>
          </w:p>
        </w:tc>
        <w:tc>
          <w:tcPr/>
          <w:p>
            <w:pPr>
              <w:pStyle w:val="Compact"/>
              <w:jc w:val="left"/>
            </w:pPr>
            <w:r>
              <w:rPr>
                <w:rFonts w:hint="eastAsia"/>
              </w:rPr>
              <w:t xml:space="preserve">区分题面低弹性反事实与期货市场折价传导</w:t>
            </w:r>
          </w:p>
        </w:tc>
      </w:tr>
    </w:tbl>
    <w:p>
      <w:pPr>
        <w:pStyle w:val="BodyText"/>
      </w:pPr>
      <w:r>
        <w:rPr>
          <w:rFonts w:hint="eastAsia"/>
        </w:rPr>
        <w:t xml:space="preserve">历史高波动窗口边界检验进一步表明，固定霍尔木兹机制参数并套用到</w:t>
      </w:r>
      <w:r>
        <w:t xml:space="preserve"> 2020 </w:t>
      </w:r>
      <w:r>
        <w:rPr>
          <w:rFonts w:hint="eastAsia"/>
        </w:rPr>
        <w:t xml:space="preserve">年、2022</w:t>
      </w:r>
      <w:r>
        <w:t xml:space="preserve"> </w:t>
      </w:r>
      <w:r>
        <w:rPr>
          <w:rFonts w:hint="eastAsia"/>
        </w:rPr>
        <w:t xml:space="preserve">年等非霍尔木兹窗口时，模型通常弱于朴素上一日基准。因此，本模型适用于霍尔木兹封锁场景下的条件路径解释，不作为通用油价交易预测器。</w:t>
      </w:r>
    </w:p>
    <w:p>
      <w:pPr>
        <w:pStyle w:val="BodyText"/>
      </w:pPr>
      <w:r>
        <w:rPr>
          <w:rFonts w:hint="eastAsia"/>
        </w:rPr>
        <w:t xml:space="preserve">综上，短期参数来自题面约束与冲突窗口校准；模型优于核心基准，关键机制在消融中具有边际贡献，参数邻域保持稳定。完整诊断图、R</w:t>
      </w:r>
      <w:r>
        <w:t xml:space="preserve"> </w:t>
      </w:r>
      <w:r>
        <w:rPr>
          <w:rFonts w:hint="eastAsia"/>
        </w:rPr>
        <w:t xml:space="preserve">复核和代码材料见附录。</w:t>
      </w:r>
    </w:p>
    <w:bookmarkEnd w:id="47"/>
    <w:bookmarkEnd w:id="48"/>
    <w:bookmarkStart w:id="66" w:name="中长期油价调节模型60180-天"/>
    <w:p>
      <w:pPr>
        <w:pStyle w:val="Heading1"/>
      </w:pPr>
      <w:r>
        <w:rPr>
          <w:rFonts w:hint="eastAsia"/>
        </w:rPr>
        <w:t xml:space="preserve">中长期油价调节模型（60–180</w:t>
      </w:r>
      <w:r>
        <w:t xml:space="preserve"> </w:t>
      </w:r>
      <w:r>
        <w:rPr>
          <w:rFonts w:hint="eastAsia"/>
        </w:rPr>
        <w:t xml:space="preserve">天）</w:t>
      </w:r>
    </w:p>
    <w:bookmarkStart w:id="49" w:name="情景设定"/>
    <w:p>
      <w:pPr>
        <w:pStyle w:val="Heading2"/>
      </w:pPr>
      <w:r>
        <w:rPr>
          <w:rFonts w:hint="eastAsia"/>
        </w:rPr>
        <w:t xml:space="preserve">情景设定</w:t>
      </w:r>
    </w:p>
    <w:p>
      <w:pPr>
        <w:pStyle w:val="FirstParagraph"/>
      </w:pPr>
      <w:r>
        <w:rPr>
          <w:rFonts w:hint="eastAsia"/>
        </w:rPr>
        <w:t xml:space="preserve">中长期油价调节模型对应赛题任务</w:t>
      </w:r>
      <w:r>
        <w:t xml:space="preserve"> </w:t>
      </w:r>
      <w:r>
        <w:rPr>
          <w:rFonts w:hint="eastAsia"/>
        </w:rPr>
        <w:t xml:space="preserve">2。本文在短期冲击模型的综合最优参数基础上构建乐观、中性和悲观三种情景。赛题附件只提供到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的表述：三情景曲线表示条件中心路径，可信度由机制一致性、官方外生数据校验、敏感性分析、蒙特卡洛概率区间和状态转移扰动共同评价。</w:t>
      </w:r>
    </w:p>
    <w:p>
      <w:pPr>
        <w:pStyle w:val="BodyText"/>
      </w:pPr>
      <w:r>
        <w:rPr>
          <w:rFonts w:hint="eastAsia"/>
        </w:rPr>
        <w:t xml:space="preserve">短期冲击模型和中长期油价调节模型并非两套互不相干的模型。短期部分使用同一套物理缺口和市场价格形成递推式，回答封锁初期价格平台如何形成；中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中长期油价调节模型从短期冲击模型延伸而来，但在四个方面做了时间尺度调整：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记中长期外推期第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。在短期冲击模型的基础上，中长期供需缺口可写为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中长期价格递推采用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短期和中长期风险项的方向不同，并不是前后矛盾。短期窗口内，市场需要完成突发封锁的信息吸收，风险溢价表现为建立和再定价；中长期窗口内，市场已经观察到</w:t>
      </w:r>
      <w:r>
        <w:t xml:space="preserve"> </w:t>
      </w:r>
      <w:r>
        <w:rPr>
          <w:rFonts w:hint="eastAsia"/>
        </w:rPr>
        <w:t xml:space="preserve">SPR、库存、绕道和供需调整是否有效，因此风险项应随未解决缺口和信心恢复而逐步衰减。换言之，短期冲击模型回答</w:t>
      </w:r>
      <w:r>
        <w:rPr>
          <w:rFonts w:hint="eastAsia"/>
        </w:rPr>
        <w:t xml:space="preserve">“冲击如何形成价格平台”</w:t>
      </w:r>
      <w:r>
        <w:rPr>
          <w:rFonts w:hint="eastAsia"/>
        </w:rPr>
        <w:t xml:space="preserve">，中长期油价调节模型回答</w:t>
      </w:r>
      <w:r>
        <w:rPr>
          <w:rFonts w:hint="eastAsia"/>
        </w:rPr>
        <w:t xml:space="preserve">“平台在政策缓冲和需求调整后如何回归，尾部风险在哪里重新抬升”</w:t>
      </w:r>
      <w:r>
        <w:t xml:space="preserve">。</w:t>
      </w:r>
    </w:p>
    <w:p>
      <w:pPr>
        <w:pStyle w:val="BodyText"/>
      </w:pPr>
      <w:r>
        <w:t xml:space="preserve">Y S[table-format=2.3] L</w:t>
      </w:r>
      <w:r>
        <w:t xml:space="preserve">2.2cm</w:t>
      </w:r>
      <w:r>
        <w:t xml:space="preserve"> </w:t>
      </w:r>
      <w:r>
        <w:t xml:space="preserve">Y</w:t>
      </w:r>
      <w:r>
        <w:t xml:space="preserve"> </w:t>
      </w:r>
      <w:r>
        <w:rPr>
          <w:rFonts w:hint="eastAsia"/>
        </w:rPr>
        <w:t xml:space="preserve">机制参数</w:t>
      </w:r>
      <w:r>
        <w:t xml:space="preserve"> &amp;</w:t>
      </w:r>
      <w:r>
        <w:t xml:space="preserve"> </w:t>
      </w:r>
      <w:r>
        <w:rPr>
          <w:rFonts w:hint="eastAsia"/>
        </w:rPr>
        <w:t xml:space="preserve">基准值</w:t>
      </w:r>
      <w:r>
        <w:t xml:space="preserve"> </w:t>
      </w:r>
      <w:r>
        <w:t xml:space="preserve">&amp; </w:t>
      </w:r>
      <w:r>
        <w:rPr>
          <w:rFonts w:hint="eastAsia"/>
        </w:rPr>
        <w:t xml:space="preserve">扰动范围</w:t>
      </w:r>
      <w:r>
        <w:t xml:space="preserve"> &amp; </w:t>
      </w:r>
      <w:r>
        <w:rPr>
          <w:rFonts w:hint="eastAsia"/>
        </w:rPr>
        <w:t xml:space="preserve">含义与边界</w:t>
      </w:r>
      <w:r>
        <w:br/>
      </w:r>
      <w:r>
        <w:t xml:space="preserve">SPR </w:t>
      </w:r>
      <w:r>
        <w:rPr>
          <w:rFonts w:hint="eastAsia"/>
        </w:rPr>
        <w:t xml:space="preserve">收缩起点</w:t>
      </w:r>
      <w:r>
        <w:t xml:space="preserve"> &amp; 75 &amp; 60–105 &amp; SPR </w:t>
      </w:r>
      <w:r>
        <w:rPr>
          <w:rFonts w:hint="eastAsia"/>
        </w:rPr>
        <w:t xml:space="preserve">从应急计划释放转向缺口驱动收缩的开始时间</w:t>
      </w:r>
      <w:r>
        <w:br/>
      </w:r>
      <w:r>
        <w:rPr>
          <w:rFonts w:hint="eastAsia"/>
        </w:rPr>
        <w:t xml:space="preserve">冲击不确定性占比</w:t>
      </w:r>
      <w:r>
        <w:t xml:space="preserve"> &amp; 0.45 &amp; 0.25–0.65 &amp; </w:t>
      </w:r>
      <w:r>
        <w:rPr>
          <w:rFonts w:hint="eastAsia"/>
        </w:rPr>
        <w:t xml:space="preserve">前期冲击再定价在长期不确定性中的贡献，不作为外部官方统计量</w:t>
      </w:r>
      <w:r>
        <w:br/>
      </w:r>
      <w:r>
        <w:rPr>
          <w:rFonts w:hint="eastAsia"/>
        </w:rPr>
        <w:t xml:space="preserve">制度风险占比</w:t>
      </w:r>
      <w:r>
        <w:t xml:space="preserve"> &amp; 0.90 &amp; 0.50–1.30 &amp; </w:t>
      </w:r>
      <w:r>
        <w:rPr>
          <w:rFonts w:hint="eastAsia"/>
        </w:rPr>
        <w:t xml:space="preserve">持续封锁状态对长期风险溢价的贡献强度</w:t>
      </w:r>
      <w:r>
        <w:br/>
      </w:r>
      <w:r>
        <w:rPr>
          <w:rFonts w:hint="eastAsia"/>
        </w:rPr>
        <w:t xml:space="preserve">信心恢复后风险底座</w:t>
      </w:r>
      <w:r>
        <w:t xml:space="preserve"> &amp; 0.40 &amp; 0.20–0.60 &amp; </w:t>
      </w:r>
      <w:r>
        <w:rPr>
          <w:rFonts w:hint="eastAsia"/>
        </w:rPr>
        <w:t xml:space="preserve">缓冲机制被市场确认后仍保留的制度风险比例</w:t>
      </w:r>
      <w:r>
        <w:br/>
      </w:r>
      <w:r>
        <w:rPr>
          <w:rFonts w:hint="eastAsia"/>
        </w:rPr>
        <w:t xml:space="preserve">过剩供给回归强度</w:t>
      </w:r>
      <w:r>
        <w:t xml:space="preserve"> &amp; 1.35 &amp; 0.80–2.20 &amp; </w:t>
      </w:r>
      <w:r>
        <w:rPr>
          <w:rFonts w:hint="eastAsia"/>
        </w:rPr>
        <w:t xml:space="preserve">供给超过需求时向下修正目标价格的机制强度</w:t>
      </w:r>
      <w:r>
        <w:br/>
      </w:r>
      <w:r>
        <w:rPr>
          <w:rFonts w:hint="eastAsia"/>
        </w:rPr>
        <w:t xml:space="preserve">封锁风险衰减速度</w:t>
      </w:r>
      <w:r>
        <w:t xml:space="preserve"> &amp; 0.004 &amp; 0.002–0.008 &amp; </w:t>
      </w:r>
      <w:r>
        <w:rPr>
          <w:rFonts w:hint="eastAsia"/>
        </w:rPr>
        <w:t xml:space="preserve">封锁风险溢价随时间被市场吸收的日度速度</w:t>
      </w:r>
      <w:r>
        <w:br/>
      </w:r>
    </w:p>
    <w:bookmarkEnd w:id="49"/>
    <w:bookmarkStart w:id="50" w:name="中长期参数来源与校验边界"/>
    <w:p>
      <w:pPr>
        <w:pStyle w:val="Heading2"/>
      </w:pPr>
      <w:r>
        <w:rPr>
          <w:rFonts w:hint="eastAsia"/>
        </w:rPr>
        <w:t xml:space="preserve">中长期参数来源与校验边界</w:t>
      </w:r>
    </w:p>
    <w:p>
      <w:pPr>
        <w:pStyle w:val="FirstParagraph"/>
      </w:pPr>
      <w:r>
        <w:rPr>
          <w:rFonts w:hint="eastAsia"/>
        </w:rPr>
        <w:t xml:space="preserve">中长期油价调节模型中的部分参数用于描述恢复速度、政策收缩和制度风险衰减。本文对中长期参数采用三条约束：方向来自赛题机制或能源市场逻辑；数值作为基准情景假设进入；关键参数进入扰动区间、敏感性排序或蒙特卡洛检验。中长期参数来源与校验方式见</w:t>
      </w:r>
      <w:hyperlink w:anchor="tab:long-parameter-audit">
        <w:r>
          <w:rPr>
            <w:rStyle w:val="Hyperlink"/>
          </w:rPr>
          <w:t xml:space="preserve">[tab:long-parameter-audit]</w:t>
        </w:r>
      </w:hyperlink>
      <w:r>
        <w:t xml:space="preserve">。</w:t>
      </w:r>
    </w:p>
    <w:p>
      <w:pPr>
        <w:pStyle w:val="BodyText"/>
      </w:pPr>
      <w:r>
        <w:t xml:space="preserve">L</w:t>
      </w:r>
      <w:r>
        <w:t xml:space="preserve">2.6cm</w:t>
      </w:r>
      <w:r>
        <w:t xml:space="preserve">Y Y</w:t>
      </w:r>
      <w:r>
        <w:t xml:space="preserve"> </w:t>
      </w:r>
      <w:r>
        <w:rPr>
          <w:rFonts w:hint="eastAsia"/>
        </w:rPr>
        <w:t xml:space="preserve">参数组</w:t>
      </w:r>
      <w:r>
        <w:t xml:space="preserve"> &amp; </w:t>
      </w:r>
      <w:r>
        <w:rPr>
          <w:rFonts w:hint="eastAsia"/>
        </w:rPr>
        <w:t xml:space="preserve">来源逻辑</w:t>
      </w:r>
      <w:r>
        <w:t xml:space="preserve"> &amp; </w:t>
      </w:r>
      <w:r>
        <w:rPr>
          <w:rFonts w:hint="eastAsia"/>
        </w:rPr>
        <w:t xml:space="preserve">校验方式</w:t>
      </w:r>
      <w:r>
        <w:br/>
      </w:r>
      <w:r>
        <w:t xml:space="preserve">SPR </w:t>
      </w:r>
      <w:r>
        <w:rPr>
          <w:rFonts w:hint="eastAsia"/>
        </w:rPr>
        <w:t xml:space="preserve">收缩与释放强度</w:t>
      </w:r>
      <w:r>
        <w:t xml:space="preserve"> &amp; </w:t>
      </w:r>
      <w:r>
        <w:rPr>
          <w:rFonts w:hint="eastAsia"/>
        </w:rPr>
        <w:t xml:space="preserve">来自赛题</w:t>
      </w:r>
      <w:r>
        <w:t xml:space="preserve"> SPR </w:t>
      </w:r>
      <w:r>
        <w:rPr>
          <w:rFonts w:hint="eastAsia"/>
        </w:rPr>
        <w:t xml:space="preserve">缓冲机制，并加入长期封锁下不能无限满额释放的政策约束。</w:t>
      </w:r>
      <w:r>
        <w:t xml:space="preserve"> &amp; </w:t>
      </w:r>
      <w:r>
        <w:rPr>
          <w:rFonts w:hint="eastAsia"/>
        </w:rPr>
        <w:t xml:space="preserve">在</w:t>
      </w:r>
      <w:r>
        <w:t xml:space="preserve"> 60–105 </w:t>
      </w:r>
      <w:r>
        <w:rPr>
          <w:rFonts w:hint="eastAsia"/>
        </w:rPr>
        <w:t xml:space="preserve">天范围内扰动，检验第</w:t>
      </w:r>
      <w:r>
        <w:t xml:space="preserve"> 180 </w:t>
      </w:r>
      <w:r>
        <w:rPr>
          <w:rFonts w:hint="eastAsia"/>
        </w:rPr>
        <w:t xml:space="preserve">天价格和尾部峰值。</w:t>
      </w:r>
      <w:r>
        <w:br/>
      </w:r>
      <w:r>
        <w:rPr>
          <w:rFonts w:hint="eastAsia"/>
        </w:rPr>
        <w:t xml:space="preserve">冲击不确定性与制度风险</w:t>
      </w:r>
      <w:r>
        <w:t xml:space="preserve"> &amp; </w:t>
      </w:r>
      <w:r>
        <w:rPr>
          <w:rFonts w:hint="eastAsia"/>
        </w:rPr>
        <w:t xml:space="preserve">来自封锁未解除时保险、航运、二次升级和政策协调失败的持续风险。</w:t>
      </w:r>
      <w:r>
        <w:t xml:space="preserve"> &amp; </w:t>
      </w:r>
      <w:r>
        <w:rPr>
          <w:rFonts w:hint="eastAsia"/>
        </w:rPr>
        <w:t xml:space="preserve">与</w:t>
      </w:r>
      <w:r>
        <w:t xml:space="preserve"> </w:t>
      </w:r>
      <w:r>
        <w:rPr>
          <w:rFonts w:hint="eastAsia"/>
        </w:rPr>
        <w:t xml:space="preserve">GPR、OVX、蒙特卡洛和状态转移结果合读，不作为同步拟合因子。</w:t>
      </w:r>
      <w:r>
        <w:br/>
      </w:r>
      <w:r>
        <w:rPr>
          <w:rFonts w:hint="eastAsia"/>
        </w:rPr>
        <w:t xml:space="preserve">封锁风险衰减速度</w:t>
      </w:r>
      <w:r>
        <w:t xml:space="preserve"> &amp; </w:t>
      </w:r>
      <w:r>
        <w:rPr>
          <w:rFonts w:hint="eastAsia"/>
        </w:rPr>
        <w:t xml:space="preserve">表示市场对封锁信息和政策缓冲确认的消化速度。</w:t>
      </w:r>
      <w:r>
        <w:t xml:space="preserve"> &amp; </w:t>
      </w:r>
      <w:r>
        <w:rPr>
          <w:rFonts w:hint="eastAsia"/>
        </w:rPr>
        <w:t xml:space="preserve">设置</w:t>
      </w:r>
      <w:r>
        <w:t xml:space="preserve"> 0.002–0.008 </w:t>
      </w:r>
      <w:r>
        <w:rPr>
          <w:rFonts w:hint="eastAsia"/>
        </w:rPr>
        <w:t xml:space="preserve">日衰减率区间，并在敏感性分析中单独排序。</w:t>
      </w:r>
      <w:r>
        <w:br/>
      </w:r>
      <w:r>
        <w:rPr>
          <w:rFonts w:hint="eastAsia"/>
        </w:rPr>
        <w:t xml:space="preserve">过剩供给回归强度</w:t>
      </w:r>
      <w:r>
        <w:t xml:space="preserve"> &amp; </w:t>
      </w:r>
      <w:r>
        <w:rPr>
          <w:rFonts w:hint="eastAsia"/>
        </w:rPr>
        <w:t xml:space="preserve">表示缓冲、增产和需求调整后，目标价格向下修正的速度。</w:t>
      </w:r>
      <w:r>
        <w:t xml:space="preserve"> &amp; </w:t>
      </w:r>
      <w:r>
        <w:rPr>
          <w:rFonts w:hint="eastAsia"/>
        </w:rPr>
        <w:t xml:space="preserve">通过扰动区间和情景曲线检验，防止中性路径被人为拉直。</w:t>
      </w:r>
      <w:r>
        <w:br/>
      </w:r>
      <w:r>
        <w:rPr>
          <w:rFonts w:hint="eastAsia"/>
        </w:rPr>
        <w:t xml:space="preserve">增产与绕道恢复</w:t>
      </w:r>
      <w:r>
        <w:t xml:space="preserve"> &amp; </w:t>
      </w:r>
      <w:r>
        <w:rPr>
          <w:rFonts w:hint="eastAsia"/>
        </w:rPr>
        <w:t xml:space="preserve">来自赛题要求的增产、运输瓶颈和绕道能力，并用</w:t>
      </w:r>
      <w:r>
        <w:t xml:space="preserve"> JODI </w:t>
      </w:r>
      <w:r>
        <w:rPr>
          <w:rFonts w:hint="eastAsia"/>
        </w:rPr>
        <w:t xml:space="preserve">多国数据作数量级校验。</w:t>
      </w:r>
      <w:r>
        <w:t xml:space="preserve"> &amp; </w:t>
      </w:r>
      <w:r>
        <w:rPr>
          <w:rFonts w:hint="eastAsia"/>
        </w:rPr>
        <w:t xml:space="preserve">用于长期条件外推；JODI</w:t>
      </w:r>
      <w:r>
        <w:t xml:space="preserve"> </w:t>
      </w:r>
      <w:r>
        <w:rPr>
          <w:rFonts w:hint="eastAsia"/>
        </w:rPr>
        <w:t xml:space="preserve">按多国上报口径解释，不等同完整全球总量。</w:t>
      </w:r>
      <w:r>
        <w:br/>
      </w:r>
    </w:p>
    <w:p>
      <w:pPr>
        <w:pStyle w:val="BodyText"/>
      </w:pPr>
      <w:r>
        <w:rPr>
          <w:rFonts w:hint="eastAsia"/>
          <w:b/>
          <w:bCs/>
        </w:rPr>
        <w:t xml:space="preserve">结论</w:t>
      </w:r>
      <w:r>
        <w:rPr>
          <w:rFonts w:hint="eastAsia"/>
        </w:rPr>
        <w:t xml:space="preserve">中长期参数用于描述机制强弱和恢复速度。本文把这些参数显式列出、放入扰动区间，并用敏感性和蒙特卡洛结果报告其不确定性。</w:t>
      </w:r>
    </w:p>
    <w:p>
      <w:pPr>
        <w:pStyle w:val="BodyText"/>
      </w:pPr>
      <w:r>
        <w:t xml:space="preserve">l S[table-format=4.0] S[table-format=3.0] S[table-format=3.0] S[table-format=-1.2] S[table-format=1.2] S[table-format=1.2]</w:t>
      </w:r>
      <w:r>
        <w:t xml:space="preserve"> </w:t>
      </w:r>
      <w:r>
        <w:rPr>
          <w:rFonts w:hint="eastAsia"/>
        </w:rPr>
        <w:t xml:space="preserve">情景</w:t>
      </w:r>
      <w:r>
        <w:t xml:space="preserve"> &amp;</w:t>
      </w:r>
      <w:r>
        <w:t xml:space="preserve"> </w:t>
      </w:r>
      <w:r>
        <w:rPr>
          <w:rFonts w:hint="eastAsia"/>
        </w:rPr>
        <w:t xml:space="preserve">供应中断</w:t>
      </w:r>
      <w:r>
        <w:t xml:space="preserve"> </w:t>
      </w:r>
      <w:r>
        <w:t xml:space="preserve">&amp;</w:t>
      </w:r>
      <w:r>
        <w:t xml:space="preserve"> </w:t>
      </w:r>
      <w:r>
        <w:t xml:space="preserve">SPR </w:t>
      </w:r>
      <w:r>
        <w:rPr>
          <w:rFonts w:hint="eastAsia"/>
        </w:rPr>
        <w:t xml:space="preserve">上限</w:t>
      </w:r>
      <w:r>
        <w:t xml:space="preserve"> </w:t>
      </w:r>
      <w:r>
        <w:t xml:space="preserve">&amp;</w:t>
      </w:r>
      <w:r>
        <w:t xml:space="preserve"> </w:t>
      </w:r>
      <w:r>
        <w:rPr>
          <w:rFonts w:hint="eastAsia"/>
        </w:rPr>
        <w:t xml:space="preserve">绕道能力</w:t>
      </w:r>
      <w:r>
        <w:t xml:space="preserve"> </w:t>
      </w:r>
      <w:r>
        <w:t xml:space="preserve">&amp;</w:t>
      </w:r>
      <w:r>
        <w:t xml:space="preserve"> </w:t>
      </w:r>
      <w:r>
        <w:rPr>
          <w:rFonts w:hint="eastAsia"/>
        </w:rPr>
        <w:t xml:space="preserve">长期弹性</w:t>
      </w:r>
      <w:r>
        <w:t xml:space="preserve"> </w:t>
      </w:r>
      <w:r>
        <w:t xml:space="preserve">&amp;</w:t>
      </w:r>
      <w:r>
        <w:t xml:space="preserve"> </w:t>
      </w:r>
      <w:r>
        <w:rPr>
          <w:rFonts w:hint="eastAsia"/>
        </w:rPr>
        <w:t xml:space="preserve">恐慌衰减</w:t>
      </w:r>
      <w:r>
        <w:t xml:space="preserve"> </w:t>
      </w:r>
      <w:r>
        <w:t xml:space="preserve">&amp;</w:t>
      </w:r>
      <w:r>
        <w:t xml:space="preserve"> </w:t>
      </w:r>
      <w:r>
        <w:rPr>
          <w:rFonts w:hint="eastAsia"/>
        </w:rPr>
        <w:t xml:space="preserve">风险权重</w:t>
      </w:r>
      <w:r>
        <w:br/>
      </w:r>
      <w:r>
        <w:rPr>
          <w:rFonts w:hint="eastAsia"/>
        </w:rPr>
        <w:t xml:space="preserve">乐观</w:t>
      </w:r>
      <w:r>
        <w:t xml:space="preserve"> &amp; 1400 &amp; 700 &amp; 300 &amp; -0.25 &amp; 0.12 &amp; 2.02</w:t>
      </w:r>
      <w:r>
        <w:br/>
      </w:r>
      <w:r>
        <w:rPr>
          <w:rFonts w:hint="eastAsia"/>
        </w:rPr>
        <w:t xml:space="preserve">中性</w:t>
      </w:r>
      <w:r>
        <w:t xml:space="preserve"> &amp; 1493 &amp; 670 &amp; 237 &amp; -0.25 &amp; 0.11 &amp; 2.46</w:t>
      </w:r>
      <w:r>
        <w:br/>
      </w:r>
      <w:r>
        <w:rPr>
          <w:rFonts w:hint="eastAsia"/>
        </w:rPr>
        <w:t xml:space="preserve">悲观</w:t>
      </w:r>
      <w:r>
        <w:t xml:space="preserve"> &amp; 1800 &amp; 200 &amp; 150 &amp; -0.10 &amp; 0.04 &amp; 3.32</w:t>
      </w:r>
      <w:r>
        <w:br/>
      </w:r>
    </w:p>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“中长期参数约束层”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w:t>
      </w:r>
      <w:hyperlink w:anchor="tab:official-factor-multipliers">
        <w:r>
          <w:rPr>
            <w:rStyle w:val="Hyperlink"/>
          </w:rPr>
          <w:t xml:space="preserve">[tab:official-factor-multipliers]</w:t>
        </w:r>
      </w:hyperlink>
      <w:r>
        <w:t xml:space="preserve">。</w:t>
      </w:r>
    </w:p>
    <w:p>
      <w:pPr>
        <w:pStyle w:val="BodyText"/>
      </w:pPr>
      <w:r>
        <w:t xml:space="preserve">Y S[table-format=1.4] Y</w:t>
      </w:r>
      <w:r>
        <w:t xml:space="preserve"> </w:t>
      </w:r>
      <w:r>
        <w:rPr>
          <w:rFonts w:hint="eastAsia"/>
        </w:rPr>
        <w:t xml:space="preserve">约束因子</w:t>
      </w:r>
      <w:r>
        <w:t xml:space="preserve"> &amp;</w:t>
      </w:r>
      <w:r>
        <w:t xml:space="preserve"> </w:t>
      </w:r>
      <w:r>
        <w:rPr>
          <w:rFonts w:hint="eastAsia"/>
        </w:rPr>
        <w:t xml:space="preserve">乘数</w:t>
      </w:r>
      <w:r>
        <w:t xml:space="preserve"> </w:t>
      </w:r>
      <w:r>
        <w:t xml:space="preserve">&amp; </w:t>
      </w:r>
      <w:r>
        <w:rPr>
          <w:rFonts w:hint="eastAsia"/>
        </w:rPr>
        <w:t xml:space="preserve">解释</w:t>
      </w:r>
      <w:r>
        <w:br/>
      </w:r>
      <w:r>
        <w:rPr>
          <w:rFonts w:hint="eastAsia"/>
        </w:rPr>
        <w:t xml:space="preserve">绕道和替代贸易恢复能力</w:t>
      </w:r>
      <w:r>
        <w:t xml:space="preserve"> &amp; 0.9725 &amp; JODI </w:t>
      </w:r>
      <w:r>
        <w:rPr>
          <w:rFonts w:hint="eastAsia"/>
        </w:rPr>
        <w:t xml:space="preserve">进出口同口径收缩，说明替代贸易恢复不宜过度乐观</w:t>
      </w:r>
      <w:r>
        <w:br/>
      </w:r>
      <w:r>
        <w:rPr>
          <w:rFonts w:hint="eastAsia"/>
        </w:rPr>
        <w:t xml:space="preserve">商业库存日缓冲上限</w:t>
      </w:r>
      <w:r>
        <w:t xml:space="preserve"> &amp; 1.0739 &amp; JODI </w:t>
      </w:r>
      <w:r>
        <w:rPr>
          <w:rFonts w:hint="eastAsia"/>
        </w:rPr>
        <w:t xml:space="preserve">原油/成品油库存和</w:t>
      </w:r>
      <w:r>
        <w:t xml:space="preserve"> EIA </w:t>
      </w:r>
      <w:r>
        <w:rPr>
          <w:rFonts w:hint="eastAsia"/>
        </w:rPr>
        <w:t xml:space="preserve">商业库存均提供缓冲数量级支撑</w:t>
      </w:r>
      <w:r>
        <w:br/>
      </w:r>
      <w:r>
        <w:rPr>
          <w:rFonts w:hint="eastAsia"/>
        </w:rPr>
        <w:t xml:space="preserve">长期需求收缩幅度</w:t>
      </w:r>
      <w:r>
        <w:t xml:space="preserve"> &amp; 0.9560 &amp; JODI </w:t>
      </w:r>
      <w:r>
        <w:rPr>
          <w:rFonts w:hint="eastAsia"/>
        </w:rPr>
        <w:t xml:space="preserve">与</w:t>
      </w:r>
      <w:r>
        <w:t xml:space="preserve"> OPEC </w:t>
      </w:r>
      <w:r>
        <w:rPr>
          <w:rFonts w:hint="eastAsia"/>
        </w:rPr>
        <w:t xml:space="preserve">均显示需求韧性，需求破坏不宜设得过强</w:t>
      </w:r>
      <w:r>
        <w:br/>
      </w:r>
      <w:r>
        <w:rPr>
          <w:rFonts w:hint="eastAsia"/>
        </w:rPr>
        <w:t xml:space="preserve">长期需求弹性绝对值</w:t>
      </w:r>
      <w:r>
        <w:t xml:space="preserve"> &amp; 0.9750 &amp; </w:t>
      </w:r>
      <w:r>
        <w:rPr>
          <w:rFonts w:hint="eastAsia"/>
        </w:rPr>
        <w:t xml:space="preserve">高价下需求会调整，但</w:t>
      </w:r>
      <w:r>
        <w:t xml:space="preserve"> OPEC </w:t>
      </w:r>
      <w:r>
        <w:rPr>
          <w:rFonts w:hint="eastAsia"/>
        </w:rPr>
        <w:t xml:space="preserve">正常需求增长使长期弹性略收敛</w:t>
      </w:r>
      <w:r>
        <w:br/>
      </w:r>
      <w:r>
        <w:t xml:space="preserve">SPR </w:t>
      </w:r>
      <w:r>
        <w:rPr>
          <w:rFonts w:hint="eastAsia"/>
        </w:rPr>
        <w:t xml:space="preserve">释放上限可信度</w:t>
      </w:r>
      <w:r>
        <w:t xml:space="preserve"> &amp; 0.9672 &amp; EIA </w:t>
      </w:r>
      <w:r>
        <w:rPr>
          <w:rFonts w:hint="eastAsia"/>
        </w:rPr>
        <w:t xml:space="preserve">美国</w:t>
      </w:r>
      <w:r>
        <w:t xml:space="preserve"> SPR </w:t>
      </w:r>
      <w:r>
        <w:rPr>
          <w:rFonts w:hint="eastAsia"/>
        </w:rPr>
        <w:t xml:space="preserve">实际释放较温和，因此全球协调释放上限作小幅折扣</w:t>
      </w:r>
      <w:r>
        <w:br/>
      </w:r>
      <w:r>
        <w:rPr>
          <w:rFonts w:hint="eastAsia"/>
        </w:rPr>
        <w:t xml:space="preserve">贸易收缩风险权重</w:t>
      </w:r>
      <w:r>
        <w:t xml:space="preserve"> &amp; 1.0833 &amp; JODI </w:t>
      </w:r>
      <w:r>
        <w:rPr>
          <w:rFonts w:hint="eastAsia"/>
        </w:rPr>
        <w:t xml:space="preserve">进出口收缩、OPEC</w:t>
      </w:r>
      <w:r>
        <w:t xml:space="preserve"> DoC </w:t>
      </w:r>
      <w:r>
        <w:rPr>
          <w:rFonts w:hint="eastAsia"/>
        </w:rPr>
        <w:t xml:space="preserve">需求差额和</w:t>
      </w:r>
      <w:r>
        <w:t xml:space="preserve"> OVX </w:t>
      </w:r>
      <w:r>
        <w:rPr>
          <w:rFonts w:hint="eastAsia"/>
        </w:rPr>
        <w:t xml:space="preserve">风险读数共同抬升尾部风险</w:t>
      </w:r>
      <w:r>
        <w:br/>
      </w:r>
      <w:r>
        <w:rPr>
          <w:rFonts w:hint="eastAsia"/>
        </w:rPr>
        <w:t xml:space="preserve">长期不确定性强度</w:t>
      </w:r>
      <w:r>
        <w:t xml:space="preserve"> &amp; 1.0749 &amp; </w:t>
      </w:r>
      <w:r>
        <w:rPr>
          <w:rFonts w:hint="eastAsia"/>
        </w:rPr>
        <w:t xml:space="preserve">贸易收缩、下半年需求差额峰值和</w:t>
      </w:r>
      <w:r>
        <w:t xml:space="preserve"> OVX </w:t>
      </w:r>
      <w:r>
        <w:rPr>
          <w:rFonts w:hint="eastAsia"/>
        </w:rPr>
        <w:t xml:space="preserve">隐含波动率使制度风险上调</w:t>
      </w:r>
      <w:r>
        <w:br/>
      </w:r>
    </w:p>
    <w:bookmarkEnd w:id="50"/>
    <w:bookmarkStart w:id="65" w:name="预测结果"/>
    <w:p>
      <w:pPr>
        <w:pStyle w:val="Heading2"/>
      </w:pPr>
      <w:r>
        <w:rPr>
          <w:rFonts w:hint="eastAsia"/>
        </w:rPr>
        <w:t xml:space="preserve">预测结果</w:t>
      </w:r>
    </w:p>
    <w:p>
      <w:pPr>
        <w:pStyle w:val="FirstParagraph"/>
      </w:pPr>
      <w:r>
        <w:t xml:space="preserve">l S[table-format=3.2] S[table-format=3.2] S[table-format=3.2] S[table-format=3.2] S[table-format=3.2] S[table-format=3.2] l</w:t>
      </w:r>
      <w:r>
        <w:t xml:space="preserve"> </w:t>
      </w:r>
      <w:r>
        <w:rPr>
          <w:rFonts w:hint="eastAsia"/>
        </w:rPr>
        <w:t xml:space="preserve">情景</w:t>
      </w:r>
      <w:r>
        <w:t xml:space="preserve"> &amp;</w:t>
      </w:r>
      <w:r>
        <w:t xml:space="preserve"> </w:t>
      </w:r>
      <w:r>
        <w:rPr>
          <w:rFonts w:hint="eastAsia"/>
        </w:rPr>
        <w:t xml:space="preserve">第60天</w:t>
      </w:r>
      <w:r>
        <w:t xml:space="preserve"> </w:t>
      </w:r>
      <w:r>
        <w:t xml:space="preserve">&amp;</w:t>
      </w:r>
      <w:r>
        <w:t xml:space="preserve"> </w:t>
      </w:r>
      <w:r>
        <w:rPr>
          <w:rFonts w:hint="eastAsia"/>
        </w:rPr>
        <w:t xml:space="preserve">第90天</w:t>
      </w:r>
      <w:r>
        <w:t xml:space="preserve"> </w:t>
      </w:r>
      <w:r>
        <w:t xml:space="preserve">&amp;</w:t>
      </w:r>
      <w:r>
        <w:t xml:space="preserve"> </w:t>
      </w:r>
      <w:r>
        <w:rPr>
          <w:rFonts w:hint="eastAsia"/>
        </w:rPr>
        <w:t xml:space="preserve">第120天</w:t>
      </w:r>
      <w:r>
        <w:t xml:space="preserve"> </w:t>
      </w:r>
      <w:r>
        <w:t xml:space="preserve">&amp;</w:t>
      </w:r>
      <w:r>
        <w:t xml:space="preserve"> </w:t>
      </w:r>
      <w:r>
        <w:rPr>
          <w:rFonts w:hint="eastAsia"/>
        </w:rPr>
        <w:t xml:space="preserve">第180天</w:t>
      </w:r>
      <w:r>
        <w:t xml:space="preserve"> </w:t>
      </w:r>
      <w:r>
        <w:t xml:space="preserve">&amp;</w:t>
      </w:r>
      <w:r>
        <w:t xml:space="preserve"> </w:t>
      </w:r>
      <w:r>
        <w:rPr>
          <w:rFonts w:hint="eastAsia"/>
        </w:rPr>
        <w:t xml:space="preserve">外推期最高价</w:t>
      </w:r>
      <w:r>
        <w:t xml:space="preserve"> </w:t>
      </w:r>
      <w:r>
        <w:t xml:space="preserve">&amp;</w:t>
      </w:r>
      <w:r>
        <w:t xml:space="preserve"> </w:t>
      </w:r>
      <w:r>
        <w:rPr>
          <w:rFonts w:hint="eastAsia"/>
        </w:rPr>
        <w:t xml:space="preserve">外推期均价</w:t>
      </w:r>
      <w:r>
        <w:t xml:space="preserve"> </w:t>
      </w:r>
      <w:r>
        <w:t xml:space="preserve">&amp; </w:t>
      </w:r>
      <w:r>
        <w:rPr>
          <w:rFonts w:hint="eastAsia"/>
        </w:rPr>
        <w:t xml:space="preserve">风险</w:t>
      </w:r>
      <w:r>
        <w:br/>
      </w:r>
      <w:r>
        <w:rPr>
          <w:rFonts w:hint="eastAsia"/>
        </w:rPr>
        <w:t xml:space="preserve">乐观</w:t>
      </w:r>
      <w:r>
        <w:t xml:space="preserve"> &amp; 109.83 &amp; 92.83 &amp; 91.45 &amp; 87.05 &amp; 101.51 &amp; 90.88 &amp; </w:t>
      </w:r>
      <w:r>
        <w:rPr>
          <w:rFonts w:hint="eastAsia"/>
        </w:rPr>
        <w:t xml:space="preserve">低</w:t>
      </w:r>
      <w:r>
        <w:br/>
      </w:r>
      <w:r>
        <w:rPr>
          <w:rFonts w:hint="eastAsia"/>
        </w:rPr>
        <w:t xml:space="preserve">中性</w:t>
      </w:r>
      <w:r>
        <w:t xml:space="preserve"> &amp; 109.83 &amp; 104.99 &amp; 100.30 &amp; 93.26 &amp; 109.72 &amp; 100.39 &amp; </w:t>
      </w:r>
      <w:r>
        <w:rPr>
          <w:rFonts w:hint="eastAsia"/>
        </w:rPr>
        <w:t xml:space="preserve">低</w:t>
      </w:r>
      <w:r>
        <w:br/>
      </w:r>
      <w:r>
        <w:rPr>
          <w:rFonts w:hint="eastAsia"/>
        </w:rPr>
        <w:t xml:space="preserve">悲观</w:t>
      </w:r>
      <w:r>
        <w:t xml:space="preserve"> &amp; 109.83 &amp; 123.25 &amp; 115.56 &amp; 111.71 &amp; 129.71 &amp; 117.87 &amp; </w:t>
      </w:r>
      <w:r>
        <w:rPr>
          <w:rFonts w:hint="eastAsia"/>
        </w:rPr>
        <w:t xml:space="preserve">高</w:t>
      </w:r>
      <w:r>
        <w:br/>
      </w:r>
    </w:p>
    <w:bookmarkStart w:id="54" w:name="fig:long-term-fan"/>
    <w:p>
      <w:pPr>
        <w:pStyle w:val="CaptionedFigure"/>
      </w:pPr>
      <w:r>
        <w:drawing>
          <wp:inline>
            <wp:extent cx="5334000" cy="2833687"/>
            <wp:effectExtent b="0" l="0" r="0" t="0"/>
            <wp:docPr descr="" title="" id="52" name="Picture"/>
            <a:graphic>
              <a:graphicData uri="http://schemas.openxmlformats.org/drawingml/2006/picture">
                <pic:pic>
                  <pic:nvPicPr>
                    <pic:cNvPr descr="蒙特卡洛情景树高级组合图.png" id="53" name="Picture"/>
                    <pic:cNvPicPr>
                      <a:picLocks noChangeArrowheads="1" noChangeAspect="1"/>
                    </pic:cNvPicPr>
                  </pic:nvPicPr>
                  <pic:blipFill>
                    <a:blip r:embed="rId51"/>
                    <a:stretch>
                      <a:fillRect/>
                    </a:stretch>
                  </pic:blipFill>
                  <pic:spPr bwMode="auto">
                    <a:xfrm>
                      <a:off x="0" y="0"/>
                      <a:ext cx="5334000" cy="2833687"/>
                    </a:xfrm>
                    <a:prstGeom prst="rect">
                      <a:avLst/>
                    </a:prstGeom>
                    <a:noFill/>
                    <a:ln w="9525">
                      <a:noFill/>
                      <a:headEnd/>
                      <a:tailEnd/>
                    </a:ln>
                  </pic:spPr>
                </pic:pic>
              </a:graphicData>
            </a:graphic>
          </wp:inline>
        </w:drawing>
      </w:r>
    </w:p>
    <w:p>
      <w:pPr>
        <w:pStyle w:val="ImageCaption"/>
      </w:pPr>
      <w:r>
        <w:rPr>
          <w:rFonts w:hint="eastAsia"/>
        </w:rPr>
        <w:t xml:space="preserve">中长期油价调节模型蒙特卡洛情景树</w:t>
      </w:r>
    </w:p>
    <w:bookmarkEnd w:id="54"/>
    <w:p>
      <w:pPr>
        <w:pStyle w:val="CaptionedFigure"/>
      </w:pPr>
      <w:r>
        <w:drawing>
          <wp:inline>
            <wp:extent cx="5013960" cy="2757678"/>
            <wp:effectExtent b="0" l="0" r="0" t="0"/>
            <wp:docPr descr="" title="" id="56" name="Picture"/>
            <a:graphic>
              <a:graphicData uri="http://schemas.openxmlformats.org/drawingml/2006/picture">
                <pic:pic>
                  <pic:nvPicPr>
                    <pic:cNvPr descr="短期拟合与长期预测总览.png" id="57" name="Picture"/>
                    <pic:cNvPicPr>
                      <a:picLocks noChangeArrowheads="1" noChangeAspect="1"/>
                    </pic:cNvPicPr>
                  </pic:nvPicPr>
                  <pic:blipFill>
                    <a:blip r:embed="rId55"/>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短期冲击模型与中长期油价调节模型总览</w:t>
      </w:r>
    </w:p>
    <w:p>
      <w:pPr>
        <w:pStyle w:val="BodyText"/>
      </w:pPr>
      <w:hyperlink w:anchor="fig:long-term-fan">
        <w:r>
          <w:rPr>
            <w:rStyle w:val="Hyperlink"/>
          </w:rPr>
          <w:t xml:space="preserve">4</w:t>
        </w:r>
      </w:hyperlink>
      <w:r>
        <w:t xml:space="preserve"> </w:t>
      </w:r>
      <w:r>
        <w:rPr>
          <w:rFonts w:hint="eastAsia"/>
        </w:rPr>
        <w:t xml:space="preserve">给出中长期油价调节模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SPR </w:t>
      </w:r>
      <w:r>
        <w:rPr>
          <w:rFonts w:hint="eastAsia"/>
        </w:rPr>
        <w:t xml:space="preserve">剩余预算、库存消耗、剩余缺口、绕道瓶颈和高价压力生成物理状态压力，并用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与实现波动率相关性生成市场风险压力，共同温和提高早中期升级概率。这样得到的中长期图由中心路径、状态概率和尾部区间共同构成。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0.478</m:t>
                    </m:r>
                  </m:e>
                  <m:e>
                    <m:r>
                      <m:t>0.522</m:t>
                    </m:r>
                  </m:e>
                  <m:e>
                    <m:r>
                      <m:t>0.000</m:t>
                    </m:r>
                  </m:e>
                </m:mr>
                <m:mr>
                  <m:e>
                    <m:r>
                      <m:t>0.065</m:t>
                    </m:r>
                  </m:e>
                  <m:e>
                    <m:r>
                      <m:t>0.880</m:t>
                    </m:r>
                  </m:e>
                  <m:e>
                    <m:r>
                      <m:t>0.055</m:t>
                    </m:r>
                  </m:e>
                </m:mr>
                <m:mr>
                  <m:e>
                    <m:r>
                      <m:t>0.000</m:t>
                    </m:r>
                  </m:e>
                  <m:e>
                    <m:r>
                      <m:t>0.255</m:t>
                    </m:r>
                  </m:e>
                  <m:e>
                    <m:r>
                      <m:t>0.745</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w:t>
      </w:r>
      <w:hyperlink w:anchor="tab:state-transition-matrix">
        <w:r>
          <w:rPr>
            <w:rStyle w:val="Hyperlink"/>
          </w:rPr>
          <w:t xml:space="preserve">[tab:state-transition-matrix]</w:t>
        </w:r>
      </w:hyperlink>
      <w:r>
        <w:rPr>
          <w:rFonts w:hint="eastAsia"/>
        </w:rPr>
        <w:t xml:space="preserve">。基础矩阵由</w:t>
      </w:r>
      <w:r>
        <w:t xml:space="preserve"> 2017–2025 </w:t>
      </w:r>
      <w:r>
        <w:rPr>
          <w:rFonts w:hint="eastAsia"/>
        </w:rPr>
        <w:t xml:space="preserve">年附件历史价格状态序列校准得到：维持状态是最常见的中间状态，升级状态具有较强惯性，缓和状态则容易回到维持状态。外部风险读数通过综合压力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150</m:t>
                  </m:r>
                </m:den>
              </m:f>
              <m:r>
                <m:rPr>
                  <m:sty m:val="p"/>
                </m:rPr>
                <m:t>,</m:t>
              </m:r>
              <m:r>
                <m:t>0.25</m:t>
              </m:r>
              <m:r>
                <m:rPr>
                  <m:sty m:val="p"/>
                </m:rPr>
                <m:t>,</m:t>
              </m:r>
              <m:r>
                <m:t>1</m:t>
              </m:r>
            </m:e>
          </m:d>
          <m:r>
            <m:rPr>
              <m:sty m:val="p"/>
            </m:rPr>
            <m:t>,</m:t>
          </m:r>
          <m:r>
            <m:t> </m:t>
          </m:r>
          <m:sSub>
            <m:e>
              <m:r>
                <m:t>r</m:t>
              </m:r>
            </m:e>
            <m:sub>
              <m:r>
                <m:t>t</m:t>
              </m:r>
            </m:sub>
          </m:sSub>
          <m:r>
            <m:rPr>
              <m:sty m:val="p"/>
            </m:rPr>
            <m:t>=</m:t>
          </m:r>
          <m:r>
            <m:t>0.75</m:t>
          </m:r>
          <m:r>
            <m:t>q</m:t>
          </m:r>
          <m:sSub>
            <m:e>
              <m:r>
                <m:t>d</m:t>
              </m:r>
            </m:e>
            <m:sub>
              <m:r>
                <m:t>t</m:t>
              </m:r>
            </m:sub>
          </m:sSub>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。同时定义物理压力</w:t>
      </w:r>
      <w:r>
        <w:t xml:space="preserve"> </w:t>
      </w:r>
      <m:oMath>
        <m:sSub>
          <m:e>
            <m:r>
              <m:t>h</m:t>
            </m:r>
          </m:e>
          <m:sub>
            <m:r>
              <m:t>t</m:t>
            </m:r>
          </m:sub>
        </m:sSub>
        <m:r>
          <m:rPr>
            <m:sty m:val="p"/>
          </m:rPr>
          <m:t>∈</m:t>
        </m:r>
        <m:r>
          <m:rPr>
            <m:sty m:val="p"/>
          </m:rPr>
          <m:t>[</m:t>
        </m:r>
        <m:r>
          <m:t>0</m:t>
        </m:r>
        <m:r>
          <m:rPr>
            <m:sty m:val="p"/>
          </m:rPr>
          <m:t>,</m:t>
        </m:r>
        <m:r>
          <m:t>1</m:t>
        </m:r>
        <m:r>
          <m:rPr>
            <m:sty m:val="p"/>
          </m:rPr>
          <m:t>]</m:t>
        </m:r>
      </m:oMath>
      <w:r>
        <w:rPr>
          <w:rFonts w:hint="eastAsia"/>
        </w:rPr>
        <w:t xml:space="preserve">，由悲观中心路径中的剩余缺口、SPR</w:t>
      </w:r>
      <w:r>
        <w:t xml:space="preserve"> </w:t>
      </w:r>
      <w:r>
        <w:rPr>
          <w:rFonts w:hint="eastAsia"/>
        </w:rPr>
        <w:t xml:space="preserve">预算消耗、库存消耗、高价压力、绕道瓶颈和</w:t>
      </w:r>
      <w:r>
        <w:t xml:space="preserve"> SPR </w:t>
      </w:r>
      <w:r>
        <w:rPr>
          <w:rFonts w:hint="eastAsia"/>
        </w:rPr>
        <w:t xml:space="preserve">耗尽压力加权得到；定义恢复证据</w:t>
      </w:r>
      <w:r>
        <w:t xml:space="preserve"> </w:t>
      </w:r>
      <m:oMath>
        <m:sSub>
          <m:e>
            <m:r>
              <m:t>g</m:t>
            </m:r>
          </m:e>
          <m:sub>
            <m:r>
              <m:t>t</m:t>
            </m:r>
          </m:sub>
        </m:sSub>
        <m:r>
          <m:rPr>
            <m:sty m:val="p"/>
          </m:rPr>
          <m:t>∈</m:t>
        </m:r>
        <m:r>
          <m:rPr>
            <m:sty m:val="p"/>
          </m:rPr>
          <m:t>[</m:t>
        </m:r>
        <m:r>
          <m:t>0</m:t>
        </m:r>
        <m:r>
          <m:rPr>
            <m:sty m:val="p"/>
          </m:rPr>
          <m:t>,</m:t>
        </m:r>
        <m:r>
          <m:t>1</m:t>
        </m:r>
        <m:r>
          <m:rPr>
            <m:sty m:val="p"/>
          </m:rPr>
          <m:t>]</m:t>
        </m:r>
      </m:oMath>
      <w:r>
        <w:rPr>
          <w:rFonts w:hint="eastAsia"/>
        </w:rPr>
        <w:t xml:space="preserve">，由缺口缓解、SPR</w:t>
      </w:r>
      <w:r>
        <w:t xml:space="preserve"> </w:t>
      </w:r>
      <w:r>
        <w:rPr>
          <w:rFonts w:hint="eastAsia"/>
        </w:rPr>
        <w:t xml:space="preserve">与库存剩余、高价压力回落和耗尽压力下降共同决定。为避免直接在线性概率上加减后再裁剪，本文先将基础矩阵第</w:t>
      </w:r>
      <w:r>
        <w:t xml:space="preserve"> </w:t>
      </w:r>
      <m:oMath>
        <m:r>
          <m:t>i</m:t>
        </m:r>
      </m:oMath>
      <w:r>
        <w:t xml:space="preserve"> </w:t>
      </w:r>
      <w:r>
        <w:rPr>
          <w:rFonts w:hint="eastAsia"/>
        </w:rPr>
        <w:t xml:space="preserve">行</w:t>
      </w:r>
      <w:r>
        <w:t xml:space="preserve"> </w:t>
      </w:r>
      <m:oMath>
        <m:sSub>
          <m:e>
            <m:r>
              <m:t>m</m:t>
            </m:r>
          </m:e>
          <m:sub>
            <m:r>
              <m:t>i</m:t>
            </m:r>
          </m:sub>
        </m:sSub>
      </m:oMath>
      <w:r>
        <w:t xml:space="preserve"> </w:t>
      </w:r>
      <w:r>
        <w:rPr>
          <w:rFonts w:hint="eastAsia"/>
        </w:rPr>
        <w:t xml:space="preserve">映射到</w:t>
      </w:r>
      <w:r>
        <w:t xml:space="preserve"> logit </w:t>
      </w:r>
      <w:r>
        <w:rPr>
          <w:rFonts w:hint="eastAsia"/>
        </w:rPr>
        <w:t xml:space="preserve">空间：</w:t>
      </w:r>
    </w:p>
    <w:p>
      <w:pPr>
        <w:pStyle w:val="BodyText"/>
      </w:pPr>
      <m:oMathPara>
        <m:oMathParaPr>
          <m:jc m:val="center"/>
        </m:oMathParaPr>
        <m:oMath>
          <m:sSubSup>
            <m:e>
              <m:r>
                <m:t>ℓ</m:t>
              </m:r>
            </m:e>
            <m:sub>
              <m:r>
                <m:t>i</m:t>
              </m:r>
              <m:r>
                <m:rPr>
                  <m:sty m:val="p"/>
                </m:rPr>
                <m:t>,</m:t>
              </m:r>
              <m:r>
                <m:t>k</m:t>
              </m:r>
            </m:sub>
            <m:sup>
              <m:r>
                <m:rPr>
                  <m:sty m:val="p"/>
                </m:rPr>
                <m:t>(</m:t>
              </m:r>
              <m:r>
                <m:t>0</m:t>
              </m:r>
              <m:r>
                <m:rPr>
                  <m:sty m:val="p"/>
                </m:rPr>
                <m:t>)</m:t>
              </m:r>
            </m:sup>
          </m:sSubSup>
          <m:r>
            <m:rPr>
              <m:sty m:val="p"/>
            </m:rPr>
            <m:t>=</m:t>
          </m:r>
          <m:r>
            <m:rPr>
              <m:sty m:val="p"/>
            </m:rPr>
            <m:t>log</m:t>
          </m:r>
          <m:r>
            <m:rPr>
              <m:sty m:val="p"/>
            </m:rPr>
            <m:t>{</m:t>
          </m:r>
          <m:r>
            <m:rPr>
              <m:sty m:val="p"/>
            </m:rPr>
            <m:t>max</m:t>
          </m:r>
          <m:r>
            <m:rPr>
              <m:sty m:val="p"/>
            </m:rPr>
            <m:t>(</m:t>
          </m:r>
          <m:sSub>
            <m:e>
              <m:r>
                <m:t>m</m:t>
              </m:r>
            </m:e>
            <m:sub>
              <m:r>
                <m:t>i</m:t>
              </m:r>
              <m:r>
                <m:rPr>
                  <m:sty m:val="p"/>
                </m:rPr>
                <m:t>,</m:t>
              </m:r>
              <m:r>
                <m:t>k</m:t>
              </m:r>
            </m:sub>
          </m:sSub>
          <m:r>
            <m:rPr>
              <m:sty m:val="p"/>
            </m:rPr>
            <m:t>,</m:t>
          </m:r>
          <m:sSup>
            <m:e>
              <m:r>
                <m:t>10</m:t>
              </m:r>
            </m:e>
            <m:sup>
              <m:r>
                <m:rPr>
                  <m:sty m:val="p"/>
                </m:rPr>
                <m:t>−</m:t>
              </m:r>
              <m:r>
                <m:t>6</m:t>
              </m:r>
            </m:sup>
          </m:sSup>
          <m:r>
            <m:rPr>
              <m:sty m:val="p"/>
            </m:rPr>
            <m:t>)</m:t>
          </m:r>
          <m:r>
            <m:rPr>
              <m:sty m:val="p"/>
            </m:rPr>
            <m:t>}</m:t>
          </m:r>
          <m:r>
            <m:rPr>
              <m:sty m:val="p"/>
            </m:rPr>
            <m:t>,</m:t>
          </m:r>
          <m:r>
            <m:t> </m:t>
          </m:r>
          <m:r>
            <m:t>k</m:t>
          </m:r>
          <m:r>
            <m:rPr>
              <m:sty m:val="p"/>
            </m:rPr>
            <m:t>∈</m:t>
          </m:r>
          <m:r>
            <m:rPr>
              <m:sty m:val="p"/>
            </m:rPr>
            <m:t>{</m:t>
          </m:r>
          <m:r>
            <m:t>C</m:t>
          </m:r>
          <m:r>
            <m:rPr>
              <m:sty m:val="p"/>
            </m:rPr>
            <m:t>,</m:t>
          </m:r>
          <m:r>
            <m:t>N</m:t>
          </m:r>
          <m:r>
            <m:rPr>
              <m:sty m:val="p"/>
            </m:rPr>
            <m:t>,</m:t>
          </m:r>
          <m:r>
            <m:t>E</m:t>
          </m:r>
          <m:r>
            <m:rPr>
              <m:sty m:val="p"/>
            </m:rPr>
            <m:t>}</m:t>
          </m:r>
          <m:r>
            <m:rPr>
              <m:sty m:val="p"/>
            </m:rPr>
            <m:t>,</m:t>
          </m:r>
        </m:oMath>
      </m:oMathPara>
    </w:p>
    <w:p>
      <w:pPr>
        <w:pStyle w:val="FirstParagraph"/>
      </w:pPr>
      <w:r>
        <w:rPr>
          <w:rFonts w:hint="eastAsia"/>
        </w:rPr>
        <w:t xml:space="preserve">再在</w:t>
      </w:r>
      <w:r>
        <w:t xml:space="preserve"> logit </w:t>
      </w:r>
      <w:r>
        <w:rPr>
          <w:rFonts w:hint="eastAsia"/>
        </w:rPr>
        <w:t xml:space="preserve">空间叠加风险压力与物理压力：</w:t>
      </w:r>
    </w:p>
    <w:p>
      <w:pPr>
        <w:pStyle w:val="BodyText"/>
      </w:pPr>
      <m:oMathPara>
        <m:oMathParaPr>
          <m:jc m:val="center"/>
        </m:oMathParaPr>
        <m:oMath>
          <m:sSub>
            <m:e>
              <m:acc>
                <m:accPr>
                  <m:chr m:val="̃"/>
                </m:accPr>
                <m:e>
                  <m:r>
                    <m:t>ℓ</m:t>
                  </m:r>
                </m:e>
              </m:acc>
            </m:e>
            <m:sub>
              <m:r>
                <m:t>i</m:t>
              </m:r>
              <m:r>
                <m:rPr>
                  <m:sty m:val="p"/>
                </m:rPr>
                <m:t>,</m:t>
              </m:r>
              <m:r>
                <m:t>E</m:t>
              </m:r>
            </m:sub>
          </m:sSub>
          <m:r>
            <m:rPr>
              <m:sty m:val="p"/>
            </m:rPr>
            <m:t>(</m:t>
          </m:r>
          <m:r>
            <m:t>t</m:t>
          </m:r>
          <m:r>
            <m:rPr>
              <m:sty m:val="p"/>
            </m:rPr>
            <m:t>)</m:t>
          </m:r>
          <m:r>
            <m:rPr>
              <m:sty m:val="p"/>
            </m:rPr>
            <m:t>=</m:t>
          </m:r>
          <m:sSubSup>
            <m:e>
              <m:r>
                <m:t>ℓ</m:t>
              </m:r>
            </m:e>
            <m:sub>
              <m:r>
                <m:t>i</m:t>
              </m:r>
              <m:r>
                <m:rPr>
                  <m:sty m:val="p"/>
                </m:rPr>
                <m:t>,</m:t>
              </m:r>
              <m:r>
                <m:t>E</m:t>
              </m:r>
            </m:sub>
            <m:sup>
              <m:r>
                <m:rPr>
                  <m:sty m:val="p"/>
                </m:rPr>
                <m:t>(</m:t>
              </m:r>
              <m:r>
                <m:t>0</m:t>
              </m:r>
              <m:r>
                <m:rPr>
                  <m:sty m:val="p"/>
                </m:rPr>
                <m:t>)</m:t>
              </m:r>
            </m:sup>
          </m:sSubSup>
          <m:r>
            <m:rPr>
              <m:sty m:val="p"/>
            </m:rPr>
            <m:t>+</m:t>
          </m:r>
          <m:r>
            <m:t>0.16</m:t>
          </m:r>
          <m:sSub>
            <m:e>
              <m:r>
                <m:t>r</m:t>
              </m:r>
            </m:e>
            <m:sub>
              <m:r>
                <m:t>t</m:t>
              </m:r>
            </m:sub>
          </m:sSub>
          <m:r>
            <m:rPr>
              <m:sty m:val="p"/>
            </m:rPr>
            <m:t>+</m:t>
          </m:r>
          <m:r>
            <m:t>0.24</m:t>
          </m:r>
          <m:r>
            <m:rPr>
              <m:sty m:val="p"/>
            </m:rPr>
            <m:t>(</m:t>
          </m:r>
          <m:r>
            <m:t>0.8</m:t>
          </m:r>
          <m:sSub>
            <m:e>
              <m:r>
                <m:t>h</m:t>
              </m:r>
            </m:e>
            <m:sub>
              <m:r>
                <m:t>t</m:t>
              </m:r>
            </m:sub>
          </m:sSub>
          <m:r>
            <m:rPr>
              <m:sty m:val="p"/>
            </m:rPr>
            <m:t>)</m:t>
          </m:r>
          <m:r>
            <m:rPr>
              <m:sty m:val="p"/>
            </m:rPr>
            <m:t>,</m:t>
          </m:r>
          <m:r>
            <m:t> </m:t>
          </m:r>
          <m:sSub>
            <m:e>
              <m:acc>
                <m:accPr>
                  <m:chr m:val="̃"/>
                </m:accPr>
                <m:e>
                  <m:r>
                    <m:t>ℓ</m:t>
                  </m:r>
                </m:e>
              </m:acc>
            </m:e>
            <m:sub>
              <m:r>
                <m:t>i</m:t>
              </m:r>
              <m:r>
                <m:rPr>
                  <m:sty m:val="p"/>
                </m:rPr>
                <m:t>,</m:t>
              </m:r>
              <m:r>
                <m:t>C</m:t>
              </m:r>
            </m:sub>
          </m:sSub>
          <m:r>
            <m:rPr>
              <m:sty m:val="p"/>
            </m:rPr>
            <m:t>(</m:t>
          </m:r>
          <m:r>
            <m:t>t</m:t>
          </m:r>
          <m:r>
            <m:rPr>
              <m:sty m:val="p"/>
            </m:rPr>
            <m:t>)</m:t>
          </m:r>
          <m:r>
            <m:rPr>
              <m:sty m:val="p"/>
            </m:rPr>
            <m:t>=</m:t>
          </m:r>
          <m:sSubSup>
            <m:e>
              <m:r>
                <m:t>ℓ</m:t>
              </m:r>
            </m:e>
            <m:sub>
              <m:r>
                <m:t>i</m:t>
              </m:r>
              <m:r>
                <m:rPr>
                  <m:sty m:val="p"/>
                </m:rPr>
                <m:t>,</m:t>
              </m:r>
              <m:r>
                <m:t>C</m:t>
              </m:r>
            </m:sub>
            <m:sup>
              <m:r>
                <m:rPr>
                  <m:sty m:val="p"/>
                </m:rPr>
                <m:t>(</m:t>
              </m:r>
              <m:r>
                <m:t>0</m:t>
              </m:r>
              <m:r>
                <m:rPr>
                  <m:sty m:val="p"/>
                </m:rPr>
                <m:t>)</m:t>
              </m:r>
            </m:sup>
          </m:sSubSup>
          <m:r>
            <m:rPr>
              <m:sty m:val="p"/>
            </m:rPr>
            <m:t>−</m:t>
          </m:r>
          <m:r>
            <m:t>0.11</m:t>
          </m:r>
          <m:sSub>
            <m:e>
              <m:r>
                <m:t>r</m:t>
              </m:r>
            </m:e>
            <m:sub>
              <m:r>
                <m:t>t</m:t>
              </m:r>
            </m:sub>
          </m:sSub>
          <m:r>
            <m:rPr>
              <m:sty m:val="p"/>
            </m:rPr>
            <m:t>−</m:t>
          </m:r>
          <m:r>
            <m:t>0.18</m:t>
          </m:r>
          <m:r>
            <m:rPr>
              <m:sty m:val="p"/>
            </m:rPr>
            <m:t>(</m:t>
          </m:r>
          <m:r>
            <m:t>0.8</m:t>
          </m:r>
          <m:sSub>
            <m:e>
              <m:r>
                <m:t>h</m:t>
              </m:r>
            </m:e>
            <m:sub>
              <m:r>
                <m:t>t</m:t>
              </m:r>
            </m:sub>
          </m:sSub>
          <m:r>
            <m:rPr>
              <m:sty m:val="p"/>
            </m:rPr>
            <m:t>)</m:t>
          </m:r>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0.07</m:t>
        </m:r>
        <m:sSub>
          <m:e>
            <m:r>
              <m:t>r</m:t>
            </m:r>
          </m:e>
          <m:sub>
            <m:r>
              <m:t>t</m:t>
            </m:r>
          </m:sub>
        </m:sSub>
        <m:r>
          <m:rPr>
            <m:sty m:val="p"/>
          </m:rPr>
          <m:t>+</m:t>
        </m:r>
        <m:r>
          <m:t>0.11</m:t>
        </m:r>
        <m:r>
          <m:rPr>
            <m:sty m:val="p"/>
          </m:rPr>
          <m:t>(</m:t>
        </m:r>
        <m:r>
          <m:t>0.8</m:t>
        </m:r>
        <m:sSub>
          <m:e>
            <m:r>
              <m:t>h</m:t>
            </m:r>
          </m:e>
          <m:sub>
            <m:r>
              <m:t>t</m:t>
            </m:r>
          </m:sub>
        </m:sSub>
        <m:r>
          <m:rPr>
            <m:sty m:val="p"/>
          </m:rPr>
          <m:t>)</m:t>
        </m:r>
      </m:oMath>
      <w:r>
        <w:t xml:space="preserve"> </w:t>
      </w:r>
      <w:r>
        <w:rPr>
          <w:rFonts w:hint="eastAsia"/>
        </w:rPr>
        <w:t xml:space="preserve">的状态惯性项；若当前处于缓和状态，则维持列增加</w:t>
      </w:r>
      <w:r>
        <w:t xml:space="preserve"> </w:t>
      </w:r>
      <m:oMath>
        <m:r>
          <m:t>0.04</m:t>
        </m:r>
        <m:sSub>
          <m:e>
            <m:r>
              <m:t>r</m:t>
            </m:r>
          </m:e>
          <m:sub>
            <m:r>
              <m:t>t</m:t>
            </m:r>
          </m:sub>
        </m:sSub>
      </m:oMath>
      <w:r>
        <w:rPr>
          <w:rFonts w:hint="eastAsia"/>
        </w:rPr>
        <w:t xml:space="preserve">。第</w:t>
      </w:r>
      <w:r>
        <w:t xml:space="preserve"> 120 </w:t>
      </w:r>
      <w:r>
        <w:rPr>
          <w:rFonts w:hint="eastAsia"/>
        </w:rPr>
        <w:t xml:space="preserve">天和第</w:t>
      </w:r>
      <w:r>
        <w:t xml:space="preserve"> 150 </w:t>
      </w:r>
      <w:r>
        <w:rPr>
          <w:rFonts w:hint="eastAsia"/>
        </w:rPr>
        <w:t xml:space="preserve">天后不再按日历时间机械提高缓和概率，而是设置</w:t>
      </w:r>
    </w:p>
    <w:p>
      <w:pPr>
        <w:pStyle w:val="BodyText"/>
      </w:pPr>
      <m:oMathPara>
        <m:oMathParaPr>
          <m:jc m:val="center"/>
        </m:oMathParaPr>
        <m:oMath>
          <m:sSub>
            <m:e>
              <m:r>
                <m:t>λ</m:t>
              </m:r>
            </m:e>
            <m:sub>
              <m:r>
                <m:t>t</m:t>
              </m:r>
            </m:sub>
          </m:sSub>
          <m:r>
            <m:rPr>
              <m:sty m:val="p"/>
            </m:rPr>
            <m:t>=</m:t>
          </m:r>
          <m:r>
            <m:t>0.75</m:t>
          </m:r>
          <m:r>
            <m:rPr>
              <m:sty m:val="p"/>
            </m:rPr>
            <m:t>⋅</m:t>
          </m:r>
          <m:r>
            <m:rPr>
              <m:sty m:val="p"/>
            </m:rPr>
            <m:t>c</m:t>
          </m:r>
          <m:r>
            <m:rPr>
              <m:sty m:val="p"/>
            </m:rPr>
            <m:t>l</m:t>
          </m:r>
          <m:r>
            <m:rPr>
              <m:sty m:val="p"/>
            </m:rPr>
            <m:t>i</m:t>
          </m:r>
          <m:r>
            <m:rPr>
              <m:sty m:val="p"/>
            </m:rPr>
            <m:t>p</m:t>
          </m:r>
          <m:d>
            <m:dPr>
              <m:begChr m:val="("/>
              <m:sepChr m:val=""/>
              <m:endChr m:val=")"/>
              <m:grow/>
            </m:dPr>
            <m:e>
              <m:f>
                <m:fPr>
                  <m:type m:val="bar"/>
                </m:fPr>
                <m:num>
                  <m:sSub>
                    <m:e>
                      <m:r>
                        <m:t>g</m:t>
                      </m:r>
                    </m:e>
                    <m:sub>
                      <m:r>
                        <m:t>t</m:t>
                      </m:r>
                    </m:sub>
                  </m:sSub>
                  <m:r>
                    <m:rPr>
                      <m:sty m:val="p"/>
                    </m:rPr>
                    <m:t>−</m:t>
                  </m:r>
                  <m:r>
                    <m:t>0.45</m:t>
                  </m:r>
                </m:num>
                <m:den>
                  <m:r>
                    <m:t>0.35</m:t>
                  </m:r>
                </m:den>
              </m:f>
              <m:r>
                <m:rPr>
                  <m:sty m:val="p"/>
                </m:rPr>
                <m:t>,</m:t>
              </m:r>
              <m:r>
                <m:t>0</m:t>
              </m:r>
              <m:r>
                <m:rPr>
                  <m:sty m:val="p"/>
                </m:rPr>
                <m:t>,</m:t>
              </m:r>
              <m:r>
                <m:t>1</m:t>
              </m:r>
            </m:e>
          </m:d>
          <m:r>
            <m:rPr>
              <m:sty m:val="p"/>
            </m:rPr>
            <m:t>⋅</m:t>
          </m:r>
          <m:r>
            <m:rPr>
              <m:sty m:val="p"/>
            </m:rPr>
            <m:t>c</m:t>
          </m:r>
          <m:r>
            <m:rPr>
              <m:sty m:val="p"/>
            </m:rPr>
            <m:t>l</m:t>
          </m:r>
          <m:r>
            <m:rPr>
              <m:sty m:val="p"/>
            </m:rPr>
            <m:t>i</m:t>
          </m:r>
          <m:r>
            <m:rPr>
              <m:sty m:val="p"/>
            </m:rPr>
            <m:t>p</m:t>
          </m:r>
          <m:r>
            <m:rPr>
              <m:sty m:val="p"/>
            </m:rPr>
            <m:t>(</m:t>
          </m:r>
          <m:r>
            <m:t>1</m:t>
          </m:r>
          <m:r>
            <m:rPr>
              <m:sty m:val="p"/>
            </m:rPr>
            <m:t>−</m:t>
          </m:r>
          <m:r>
            <m:t>0.75</m:t>
          </m:r>
          <m:r>
            <m:rPr>
              <m:sty m:val="p"/>
            </m:rPr>
            <m:t>⋅</m:t>
          </m:r>
          <m:r>
            <m:t>0.8</m:t>
          </m:r>
          <m:sSub>
            <m:e>
              <m:r>
                <m:t>h</m:t>
              </m:r>
            </m:e>
            <m:sub>
              <m:r>
                <m:t>t</m:t>
              </m:r>
            </m:sub>
          </m:sSub>
          <m:r>
            <m:rPr>
              <m:sty m:val="p"/>
            </m:rPr>
            <m:t>,</m:t>
          </m:r>
          <m:r>
            <m:t>0</m:t>
          </m:r>
          <m:r>
            <m:rPr>
              <m:sty m:val="p"/>
            </m:rPr>
            <m:t>,</m:t>
          </m:r>
          <m:r>
            <m:t>1</m:t>
          </m:r>
          <m:r>
            <m:rPr>
              <m:sty m:val="p"/>
            </m:rPr>
            <m:t>)</m:t>
          </m:r>
          <m:r>
            <m:rPr>
              <m:sty m:val="p"/>
            </m:rPr>
            <m:t>,</m:t>
          </m:r>
        </m:oMath>
      </m:oMathPara>
    </w:p>
    <w:p>
      <w:pPr>
        <w:pStyle w:val="FirstParagraph"/>
      </w:pPr>
      <w:r>
        <w:rPr>
          <w:rFonts w:hint="eastAsia"/>
        </w:rPr>
        <w:t xml:space="preserve">并仅在</w:t>
      </w:r>
      <w:r>
        <w:t xml:space="preserve"> </w:t>
      </w:r>
      <m:oMath>
        <m:sSub>
          <m:e>
            <m:r>
              <m:t>λ</m:t>
            </m:r>
          </m:e>
          <m:sub>
            <m:r>
              <m:t>t</m:t>
            </m:r>
          </m:sub>
        </m:sSub>
        <m:r>
          <m:rPr>
            <m:sty m:val="p"/>
          </m:rPr>
          <m:t>&gt;</m:t>
        </m:r>
        <m:r>
          <m:t>0</m:t>
        </m:r>
      </m:oMath>
      <w:r>
        <w:t xml:space="preserve"> </w:t>
      </w:r>
      <w:r>
        <w:rPr>
          <w:rFonts w:hint="eastAsia"/>
        </w:rPr>
        <w:t xml:space="preserve">时提高缓和倾向、压低升级倾向。最终时变概率由</w:t>
      </w:r>
    </w:p>
    <w:p>
      <w:pPr>
        <w:pStyle w:val="BodyText"/>
      </w:pPr>
      <m:oMathPara>
        <m:oMathParaPr>
          <m:jc m:val="center"/>
        </m:oMathParaPr>
        <m:oMath>
          <m:sSub>
            <m:e>
              <m:r>
                <m:t>m</m:t>
              </m:r>
            </m:e>
            <m:sub>
              <m:r>
                <m:t>i</m:t>
              </m:r>
              <m:r>
                <m:rPr>
                  <m:sty m:val="p"/>
                </m:rPr>
                <m:t>,</m:t>
              </m:r>
              <m:r>
                <m:t>k</m:t>
              </m:r>
            </m:sub>
          </m:sSub>
          <m:r>
            <m:rPr>
              <m:sty m:val="p"/>
            </m:rPr>
            <m:t>(</m:t>
          </m:r>
          <m:r>
            <m:t>t</m:t>
          </m:r>
          <m:r>
            <m:rPr>
              <m:sty m:val="p"/>
            </m:rPr>
            <m:t>)</m:t>
          </m:r>
          <m:r>
            <m:rPr>
              <m:sty m:val="p"/>
            </m:rPr>
            <m:t>=</m:t>
          </m:r>
          <m:f>
            <m:fPr>
              <m:type m:val="bar"/>
            </m:fPr>
            <m:num>
              <m:r>
                <m:rPr>
                  <m:sty m:val="p"/>
                </m:rPr>
                <m:t>exp</m:t>
              </m:r>
              <m:r>
                <m:rPr>
                  <m:sty m:val="p"/>
                </m:rPr>
                <m:t>{</m:t>
              </m:r>
              <m:sSub>
                <m:e>
                  <m:acc>
                    <m:accPr>
                      <m:chr m:val="̃"/>
                    </m:accPr>
                    <m:e>
                      <m:r>
                        <m:t>ℓ</m:t>
                      </m:r>
                    </m:e>
                  </m:acc>
                </m:e>
                <m:sub>
                  <m:r>
                    <m:t>i</m:t>
                  </m:r>
                  <m:r>
                    <m:rPr>
                      <m:sty m:val="p"/>
                    </m:rPr>
                    <m:t>,</m:t>
                  </m:r>
                  <m:r>
                    <m:t>k</m:t>
                  </m:r>
                </m:sub>
              </m:sSub>
              <m:r>
                <m:rPr>
                  <m:sty m:val="p"/>
                </m:rPr>
                <m:t>(</m:t>
              </m:r>
              <m:r>
                <m:t>t</m:t>
              </m:r>
              <m:r>
                <m:rPr>
                  <m:sty m:val="p"/>
                </m:rPr>
                <m:t>)</m:t>
              </m:r>
              <m:r>
                <m:rPr>
                  <m:sty m:val="p"/>
                </m:rPr>
                <m:t>}</m:t>
              </m:r>
            </m:num>
            <m:den>
              <m:nary>
                <m:naryPr>
                  <m:chr m:val="∑"/>
                  <m:limLoc m:val="undOvr"/>
                  <m:subHide m:val="off"/>
                  <m:supHide m:val="on"/>
                </m:naryPr>
                <m:sub>
                  <m:r>
                    <m:t>j</m:t>
                  </m:r>
                </m:sub>
                <m:sup>
                  <m:r>
                    <m:t>​</m:t>
                  </m:r>
                </m:sup>
                <m:e>
                  <m:r>
                    <m:rPr>
                      <m:sty m:val="p"/>
                    </m:rPr>
                    <m:t>exp</m:t>
                  </m:r>
                </m:e>
              </m:nary>
              <m:r>
                <m:rPr>
                  <m:sty m:val="p"/>
                </m:rPr>
                <m:t>{</m:t>
              </m:r>
              <m:sSub>
                <m:e>
                  <m:acc>
                    <m:accPr>
                      <m:chr m:val="̃"/>
                    </m:accPr>
                    <m:e>
                      <m:r>
                        <m:t>ℓ</m:t>
                      </m:r>
                    </m:e>
                  </m:acc>
                </m:e>
                <m:sub>
                  <m:r>
                    <m:t>i</m:t>
                  </m:r>
                  <m:r>
                    <m:rPr>
                      <m:sty m:val="p"/>
                    </m:rPr>
                    <m:t>,</m:t>
                  </m:r>
                  <m:r>
                    <m:t>j</m:t>
                  </m:r>
                </m:sub>
              </m:sSub>
              <m:r>
                <m:rPr>
                  <m:sty m:val="p"/>
                </m:rPr>
                <m:t>(</m:t>
              </m:r>
              <m:r>
                <m:t>t</m:t>
              </m:r>
              <m:r>
                <m:rPr>
                  <m:sty m:val="p"/>
                </m:rPr>
                <m:t>)</m:t>
              </m:r>
              <m:r>
                <m:rPr>
                  <m:sty m:val="p"/>
                </m:rPr>
                <m:t>}</m:t>
              </m:r>
            </m:den>
          </m:f>
        </m:oMath>
      </m:oMathPara>
    </w:p>
    <w:p>
      <w:pPr>
        <w:pStyle w:val="FirstParagraph"/>
      </w:pPr>
      <w:r>
        <w:rPr>
          <w:rFonts w:hint="eastAsia"/>
        </w:rPr>
        <w:t xml:space="preserve">得到。这一</w:t>
      </w:r>
      <w:r>
        <w:t xml:space="preserve"> logit–softmax </w:t>
      </w:r>
      <w:r>
        <w:rPr>
          <w:rFonts w:hint="eastAsia"/>
        </w:rPr>
        <w:t xml:space="preserve">设定使状态转移始终位于合法概率单纯形内，同时避免</w:t>
      </w:r>
      <w:r>
        <w:rPr>
          <w:rFonts w:hint="eastAsia"/>
        </w:rPr>
        <w:t xml:space="preserve">“概率直接加减再裁剪”</w:t>
      </w:r>
      <w:r>
        <w:rPr>
          <w:rFonts w:hint="eastAsia"/>
        </w:rPr>
        <w:t xml:space="preserve">的人为边界效应。</w:t>
      </w:r>
      <w:hyperlink w:anchor="tab:state-transition-snapshot">
        <w:r>
          <w:rPr>
            <w:rStyle w:val="Hyperlink"/>
          </w:rPr>
          <w:t xml:space="preserve">3</w:t>
        </w:r>
      </w:hyperlink>
      <w:r>
        <w:t xml:space="preserve"> </w:t>
      </w:r>
      <w:r>
        <w:rPr>
          <w:rFonts w:hint="eastAsia"/>
        </w:rPr>
        <w:t xml:space="preserve">给出从</w:t>
      </w:r>
      <w:r>
        <w:rPr>
          <w:rFonts w:hint="eastAsia"/>
        </w:rPr>
        <w:t xml:space="preserve">“维持”</w:t>
      </w:r>
      <w:r>
        <w:rPr>
          <w:rFonts w:hint="eastAsia"/>
        </w:rPr>
        <w:t xml:space="preserve">状态出发时的关键外推日概率快照。</w:t>
      </w:r>
    </w:p>
    <w:p>
      <w:pPr>
        <w:pStyle w:val="BodyText"/>
      </w:pPr>
      <w:r>
        <w:t xml:space="preserve">0.45</w:t>
      </w:r>
    </w:p>
    <w:bookmarkStart w:id="58"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left"/>
            </w:pPr>
            <w:r>
              <w:rPr>
                <w:rFonts w:hint="eastAsia"/>
              </w:rPr>
              <w:t xml:space="preserve">状态</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left"/>
            </w:pPr>
            <w:r>
              <w:rPr>
                <w:rFonts w:hint="eastAsia"/>
              </w:rPr>
              <w:t xml:space="preserve">缓和</w:t>
            </w:r>
          </w:p>
        </w:tc>
        <w:tc>
          <w:tcPr/>
          <w:p>
            <w:pPr>
              <w:pStyle w:val="Compact"/>
              <w:jc w:val="right"/>
            </w:pPr>
            <w:r>
              <w:t xml:space="preserve">0.478</w:t>
            </w:r>
          </w:p>
        </w:tc>
        <w:tc>
          <w:tcPr/>
          <w:p>
            <w:pPr>
              <w:pStyle w:val="Compact"/>
              <w:jc w:val="right"/>
            </w:pPr>
            <w:r>
              <w:t xml:space="preserve">0.522</w:t>
            </w:r>
          </w:p>
        </w:tc>
        <w:tc>
          <w:tcPr/>
          <w:p>
            <w:pPr>
              <w:pStyle w:val="Compact"/>
              <w:jc w:val="right"/>
            </w:pPr>
            <w:r>
              <w:t xml:space="preserve">0.000</w:t>
            </w:r>
          </w:p>
        </w:tc>
      </w:tr>
      <w:tr>
        <w:tc>
          <w:tcPr/>
          <w:p>
            <w:pPr>
              <w:pStyle w:val="Compact"/>
              <w:jc w:val="left"/>
            </w:pPr>
            <w:r>
              <w:rPr>
                <w:rFonts w:hint="eastAsia"/>
              </w:rPr>
              <w:t xml:space="preserve">维持</w:t>
            </w:r>
          </w:p>
        </w:tc>
        <w:tc>
          <w:tcPr/>
          <w:p>
            <w:pPr>
              <w:pStyle w:val="Compact"/>
              <w:jc w:val="right"/>
            </w:pPr>
            <w:r>
              <w:t xml:space="preserve">0.065</w:t>
            </w:r>
          </w:p>
        </w:tc>
        <w:tc>
          <w:tcPr/>
          <w:p>
            <w:pPr>
              <w:pStyle w:val="Compact"/>
              <w:jc w:val="right"/>
            </w:pPr>
            <w:r>
              <w:t xml:space="preserve">0.880</w:t>
            </w:r>
          </w:p>
        </w:tc>
        <w:tc>
          <w:tcPr/>
          <w:p>
            <w:pPr>
              <w:pStyle w:val="Compact"/>
              <w:jc w:val="right"/>
            </w:pPr>
            <w:r>
              <w:t xml:space="preserve">0.055</w:t>
            </w:r>
          </w:p>
        </w:tc>
      </w:tr>
      <w:tr>
        <w:tc>
          <w:tcPr/>
          <w:p>
            <w:pPr>
              <w:pStyle w:val="Compact"/>
              <w:jc w:val="left"/>
            </w:pPr>
            <w:r>
              <w:rPr>
                <w:rFonts w:hint="eastAsia"/>
              </w:rPr>
              <w:t xml:space="preserve">升级</w:t>
            </w:r>
          </w:p>
        </w:tc>
        <w:tc>
          <w:tcPr/>
          <w:p>
            <w:pPr>
              <w:pStyle w:val="Compact"/>
              <w:jc w:val="right"/>
            </w:pPr>
            <w:r>
              <w:t xml:space="preserve">0.000</w:t>
            </w:r>
          </w:p>
        </w:tc>
        <w:tc>
          <w:tcPr/>
          <w:p>
            <w:pPr>
              <w:pStyle w:val="Compact"/>
              <w:jc w:val="right"/>
            </w:pPr>
            <w:r>
              <w:t xml:space="preserve">0.255</w:t>
            </w:r>
          </w:p>
        </w:tc>
        <w:tc>
          <w:tcPr/>
          <w:p>
            <w:pPr>
              <w:pStyle w:val="Compact"/>
              <w:jc w:val="right"/>
            </w:pPr>
            <w:r>
              <w:t xml:space="preserve">0.745</w:t>
            </w:r>
          </w:p>
        </w:tc>
      </w:tr>
    </w:tbl>
    <w:bookmarkEnd w:id="58"/>
    <w:p>
      <w:pPr>
        <w:pStyle w:val="BodyText"/>
      </w:pPr>
      <w:r>
        <w:t xml:space="preserve">0.50</w:t>
      </w:r>
    </w:p>
    <w:bookmarkStart w:id="59"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right"/>
            </w:pPr>
            <w:r>
              <w:rPr>
                <w:rFonts w:hint="eastAsia"/>
              </w:rPr>
              <w:t xml:space="preserve">外推日</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right"/>
            </w:pPr>
            <w:r>
              <w:t xml:space="preserve">60</w:t>
            </w:r>
          </w:p>
        </w:tc>
        <w:tc>
          <w:tcPr/>
          <w:p>
            <w:pPr>
              <w:pStyle w:val="Compact"/>
              <w:jc w:val="right"/>
            </w:pPr>
            <w:r>
              <w:t xml:space="preserve">0.060</w:t>
            </w:r>
          </w:p>
        </w:tc>
        <w:tc>
          <w:tcPr/>
          <w:p>
            <w:pPr>
              <w:pStyle w:val="Compact"/>
              <w:jc w:val="right"/>
            </w:pPr>
            <w:r>
              <w:t xml:space="preserve">0.879</w:t>
            </w:r>
          </w:p>
        </w:tc>
        <w:tc>
          <w:tcPr/>
          <w:p>
            <w:pPr>
              <w:pStyle w:val="Compact"/>
              <w:jc w:val="right"/>
            </w:pPr>
            <w:r>
              <w:t xml:space="preserve">0.061</w:t>
            </w:r>
          </w:p>
        </w:tc>
      </w:tr>
      <w:tr>
        <w:tc>
          <w:tcPr/>
          <w:p>
            <w:pPr>
              <w:pStyle w:val="Compact"/>
              <w:jc w:val="right"/>
            </w:pPr>
            <w:r>
              <w:t xml:space="preserve">90</w:t>
            </w:r>
          </w:p>
        </w:tc>
        <w:tc>
          <w:tcPr/>
          <w:p>
            <w:pPr>
              <w:pStyle w:val="Compact"/>
              <w:jc w:val="right"/>
            </w:pPr>
            <w:r>
              <w:t xml:space="preserve">0.058</w:t>
            </w:r>
          </w:p>
        </w:tc>
        <w:tc>
          <w:tcPr/>
          <w:p>
            <w:pPr>
              <w:pStyle w:val="Compact"/>
              <w:jc w:val="right"/>
            </w:pPr>
            <w:r>
              <w:t xml:space="preserve">0.878</w:t>
            </w:r>
          </w:p>
        </w:tc>
        <w:tc>
          <w:tcPr/>
          <w:p>
            <w:pPr>
              <w:pStyle w:val="Compact"/>
              <w:jc w:val="right"/>
            </w:pPr>
            <w:r>
              <w:t xml:space="preserve">0.064</w:t>
            </w:r>
          </w:p>
        </w:tc>
      </w:tr>
      <w:tr>
        <w:tc>
          <w:tcPr/>
          <w:p>
            <w:pPr>
              <w:pStyle w:val="Compact"/>
              <w:jc w:val="right"/>
            </w:pPr>
            <w:r>
              <w:t xml:space="preserve">120</w:t>
            </w:r>
          </w:p>
        </w:tc>
        <w:tc>
          <w:tcPr/>
          <w:p>
            <w:pPr>
              <w:pStyle w:val="Compact"/>
              <w:jc w:val="right"/>
            </w:pPr>
            <w:r>
              <w:t xml:space="preserve">0.063</w:t>
            </w:r>
          </w:p>
        </w:tc>
        <w:tc>
          <w:tcPr/>
          <w:p>
            <w:pPr>
              <w:pStyle w:val="Compact"/>
              <w:jc w:val="right"/>
            </w:pPr>
            <w:r>
              <w:t xml:space="preserve">0.878</w:t>
            </w:r>
          </w:p>
        </w:tc>
        <w:tc>
          <w:tcPr/>
          <w:p>
            <w:pPr>
              <w:pStyle w:val="Compact"/>
              <w:jc w:val="right"/>
            </w:pPr>
            <w:r>
              <w:t xml:space="preserve">0.059</w:t>
            </w:r>
          </w:p>
        </w:tc>
      </w:tr>
      <w:tr>
        <w:tc>
          <w:tcPr/>
          <w:p>
            <w:pPr>
              <w:pStyle w:val="Compact"/>
              <w:jc w:val="right"/>
            </w:pPr>
            <w:r>
              <w:t xml:space="preserve">150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180</w:t>
            </w:r>
          </w:p>
        </w:tc>
        <w:tc>
          <w:tcPr/>
          <w:p>
            <w:pPr>
              <w:pStyle w:val="Compact"/>
              <w:jc w:val="right"/>
            </w:pPr>
            <w:r>
              <w:t xml:space="preserve">0.058</w:t>
            </w:r>
          </w:p>
        </w:tc>
        <w:tc>
          <w:tcPr/>
          <w:p>
            <w:pPr>
              <w:pStyle w:val="Compact"/>
              <w:jc w:val="right"/>
            </w:pPr>
            <w:r>
              <w:t xml:space="preserve">0.878</w:t>
            </w:r>
          </w:p>
        </w:tc>
        <w:tc>
          <w:tcPr/>
          <w:p>
            <w:pPr>
              <w:pStyle w:val="Compact"/>
              <w:jc w:val="right"/>
            </w:pPr>
            <w:r>
              <w:t xml:space="preserve">0.064</w:t>
            </w:r>
          </w:p>
        </w:tc>
      </w:tr>
    </w:tbl>
    <w:bookmarkEnd w:id="59"/>
    <w:p>
      <w:pPr>
        <w:pStyle w:val="BodyText"/>
      </w:pPr>
      <w:hyperlink w:anchor="tab:state-transition-snapshot">
        <w:r>
          <w:rPr>
            <w:rStyle w:val="Hyperlink"/>
          </w:rPr>
          <w:t xml:space="preserve">3</w:t>
        </w:r>
      </w:hyperlink>
      <w:r>
        <w:t xml:space="preserve"> </w:t>
      </w:r>
      <w:r>
        <w:rPr>
          <w:rFonts w:hint="eastAsia"/>
        </w:rPr>
        <w:t xml:space="preserve">显示，在物理压力、OVX</w:t>
      </w:r>
      <w:r>
        <w:t xml:space="preserve"> </w:t>
      </w:r>
      <w:r>
        <w:rPr>
          <w:rFonts w:hint="eastAsia"/>
        </w:rPr>
        <w:t xml:space="preserve">和</w:t>
      </w:r>
      <w:r>
        <w:t xml:space="preserve"> GPR </w:t>
      </w:r>
      <w:r>
        <w:rPr>
          <w:rFonts w:hint="eastAsia"/>
        </w:rPr>
        <w:t xml:space="preserve">风险读数共同约束下，早期仍保留一定升级概率；第</w:t>
      </w:r>
      <w:r>
        <w:t xml:space="preserve"> 120 </w:t>
      </w:r>
      <w:r>
        <w:rPr>
          <w:rFonts w:hint="eastAsia"/>
        </w:rPr>
        <w:t xml:space="preserve">天后若悲观路径中</w:t>
      </w:r>
      <w:r>
        <w:t xml:space="preserve"> SPR </w:t>
      </w:r>
      <w:r>
        <w:rPr>
          <w:rFonts w:hint="eastAsia"/>
        </w:rPr>
        <w:t xml:space="preserve">预算耗尽、剩余缺口仍存在，缓和概率不会因为时间推进而自动上升。因此，状态转移模型并不是把长期价格强行拉成随机噪声，而是在三情景中心路径之上加入</w:t>
      </w:r>
      <w:r>
        <w:rPr>
          <w:rFonts w:hint="eastAsia"/>
        </w:rPr>
        <w:t xml:space="preserve">“资源约束影响尾部、后期仍可能跳涨”</w:t>
      </w:r>
      <w:r>
        <w:rPr>
          <w:rFonts w:hint="eastAsia"/>
        </w:rPr>
        <w:t xml:space="preserve">的事件状态结构。</w:t>
      </w:r>
    </w:p>
    <w:bookmarkStart w:id="63" w:name="fig:state-transition-fan"/>
    <w:p>
      <w:pPr>
        <w:pStyle w:val="CaptionedFigure"/>
      </w:pPr>
      <w:r>
        <w:drawing>
          <wp:inline>
            <wp:extent cx="4693920" cy="3420992"/>
            <wp:effectExtent b="0" l="0" r="0" t="0"/>
            <wp:docPr descr="" title="" id="61" name="Picture"/>
            <a:graphic>
              <a:graphicData uri="http://schemas.openxmlformats.org/drawingml/2006/picture">
                <pic:pic>
                  <pic:nvPicPr>
                    <pic:cNvPr descr="长期状态转移情景树.png" id="62" name="Picture"/>
                    <pic:cNvPicPr>
                      <a:picLocks noChangeArrowheads="1" noChangeAspect="1"/>
                    </pic:cNvPicPr>
                  </pic:nvPicPr>
                  <pic:blipFill>
                    <a:blip r:embed="rId60"/>
                    <a:stretch>
                      <a:fillRect/>
                    </a:stretch>
                  </pic:blipFill>
                  <pic:spPr bwMode="auto">
                    <a:xfrm>
                      <a:off x="0" y="0"/>
                      <a:ext cx="4693920" cy="3420992"/>
                    </a:xfrm>
                    <a:prstGeom prst="rect">
                      <a:avLst/>
                    </a:prstGeom>
                    <a:noFill/>
                    <a:ln w="9525">
                      <a:noFill/>
                      <a:headEnd/>
                      <a:tailEnd/>
                    </a:ln>
                  </pic:spPr>
                </pic:pic>
              </a:graphicData>
            </a:graphic>
          </wp:inline>
        </w:drawing>
      </w:r>
    </w:p>
    <w:p>
      <w:pPr>
        <w:pStyle w:val="ImageCaption"/>
      </w:pPr>
      <w:r>
        <w:rPr>
          <w:rFonts w:hint="eastAsia"/>
        </w:rPr>
        <w:t xml:space="preserve">长期状态转移情景树</w:t>
      </w:r>
    </w:p>
    <w:bookmarkEnd w:id="63"/>
    <w:bookmarkStart w:id="64" w:name="tab:state-risk-ablation"/>
    <w:p>
      <w:pPr>
        <w:pStyle w:val="TableCaption"/>
      </w:pPr>
      <w:r>
        <w:rPr>
          <w:rFonts w:hint="eastAsia"/>
        </w:rPr>
        <w:t xml:space="preserve">物理压力与</w:t>
      </w:r>
      <w:r>
        <w:t xml:space="preserve"> GPR/OVX </w:t>
      </w:r>
      <w:r>
        <w:rPr>
          <w:rFonts w:hint="eastAsia"/>
        </w:rPr>
        <w:t xml:space="preserve">风险约束消融结果</w:t>
      </w:r>
    </w:p>
    <w:tbl>
      <w:tblPr>
        <w:tblStyle w:val="Table"/>
        <w:tblW w:type="auto" w:w="0"/>
        <w:tblLook w:firstRow="1" w:lastRow="0" w:firstColumn="0" w:lastColumn="0" w:noHBand="0" w:noVBand="0" w:val="0020"/>
        <w:tblCaption w:val="物理压力与 GPR/OVX 风险约束消融结果"/>
      </w:tblPr>
      <w:tblGrid>
        <w:gridCol w:w="1584"/>
        <w:gridCol w:w="1584"/>
        <w:gridCol w:w="1584"/>
        <w:gridCol w:w="1584"/>
        <w:gridCol w:w="1584"/>
      </w:tblGrid>
      <w:tr>
        <w:trPr>
          <w:tblHeader w:val="on"/>
        </w:trPr>
        <w:tc>
          <w:tcPr/>
          <w:p>
            <w:pPr>
              <w:pStyle w:val="Compact"/>
              <w:jc w:val="left"/>
            </w:pPr>
            <w:r>
              <w:rPr>
                <w:rFonts w:hint="eastAsia"/>
              </w:rPr>
              <w:t xml:space="preserve">模型设定</w:t>
            </w:r>
          </w:p>
        </w:tc>
        <w:tc>
          <w:tcPr/>
          <w:p>
            <w:pPr>
              <w:pStyle w:val="Compact"/>
              <w:jc w:val="right"/>
            </w:pPr>
            <w:r>
              <w:rPr>
                <w:rFonts w:hint="eastAsia"/>
              </w:rPr>
              <w:t xml:space="preserve">突破</w:t>
            </w:r>
            <w:r>
              <w:t xml:space="preserve"> 120 </w:t>
            </w:r>
            <w:r>
              <w:rPr>
                <w:rFonts w:hint="eastAsia"/>
              </w:rPr>
              <w:t xml:space="preserve">概率</w:t>
            </w:r>
          </w:p>
        </w:tc>
        <w:tc>
          <w:tcPr/>
          <w:p>
            <w:pPr>
              <w:pStyle w:val="Compact"/>
              <w:jc w:val="right"/>
            </w:pPr>
            <w:r>
              <w:rPr>
                <w:rFonts w:hint="eastAsia"/>
              </w:rPr>
              <w:t xml:space="preserve">突破</w:t>
            </w:r>
            <w:r>
              <w:t xml:space="preserve"> 130 </w:t>
            </w:r>
            <w:r>
              <w:rPr>
                <w:rFonts w:hint="eastAsia"/>
              </w:rPr>
              <w:t xml:space="preserve">概率</w:t>
            </w:r>
          </w:p>
        </w:tc>
        <w:tc>
          <w:tcPr/>
          <w:p>
            <w:pPr>
              <w:pStyle w:val="Compact"/>
              <w:jc w:val="right"/>
            </w:pPr>
            <w:r>
              <w:rPr>
                <w:rFonts w:hint="eastAsia"/>
              </w:rPr>
              <w:t xml:space="preserve">最高价</w:t>
            </w:r>
            <w:r>
              <w:t xml:space="preserve"> P95</w:t>
            </w:r>
          </w:p>
        </w:tc>
        <w:tc>
          <w:tcPr/>
          <w:p>
            <w:pPr>
              <w:pStyle w:val="Compact"/>
              <w:jc w:val="right"/>
            </w:pPr>
            <w:r>
              <w:rPr>
                <w:rFonts w:hint="eastAsia"/>
              </w:rPr>
              <w:t xml:space="preserve">第</w:t>
            </w:r>
            <w:r>
              <w:t xml:space="preserve"> 180 </w:t>
            </w:r>
            <w:r>
              <w:rPr>
                <w:rFonts w:hint="eastAsia"/>
              </w:rPr>
              <w:t xml:space="preserve">天</w:t>
            </w:r>
            <w:r>
              <w:t xml:space="preserve"> P95</w:t>
            </w:r>
          </w:p>
        </w:tc>
      </w:tr>
      <w:tr>
        <w:tc>
          <w:tcPr/>
          <w:p>
            <w:pPr>
              <w:pStyle w:val="Compact"/>
              <w:jc w:val="left"/>
            </w:pPr>
            <w:r>
              <w:rPr>
                <w:rFonts w:hint="eastAsia"/>
              </w:rPr>
              <w:t xml:space="preserve">历史基础矩阵</w:t>
            </w:r>
          </w:p>
        </w:tc>
        <w:tc>
          <w:tcPr/>
          <w:p>
            <w:pPr>
              <w:pStyle w:val="Compact"/>
              <w:jc w:val="right"/>
            </w:pPr>
            <w:r>
              <w:t xml:space="preserve">35.6%</w:t>
            </w:r>
          </w:p>
        </w:tc>
        <w:tc>
          <w:tcPr/>
          <w:p>
            <w:pPr>
              <w:pStyle w:val="Compact"/>
              <w:jc w:val="right"/>
            </w:pPr>
            <w:r>
              <w:t xml:space="preserve">2.2%</w:t>
            </w:r>
          </w:p>
        </w:tc>
        <w:tc>
          <w:tcPr/>
          <w:p>
            <w:pPr>
              <w:pStyle w:val="Compact"/>
              <w:jc w:val="right"/>
            </w:pPr>
            <w:r>
              <w:t xml:space="preserve">127.73</w:t>
            </w:r>
          </w:p>
        </w:tc>
        <w:tc>
          <w:tcPr/>
          <w:p>
            <w:pPr>
              <w:pStyle w:val="Compact"/>
              <w:jc w:val="right"/>
            </w:pPr>
            <w:r>
              <w:t xml:space="preserve">106.81</w:t>
            </w:r>
          </w:p>
        </w:tc>
      </w:tr>
      <w:tr>
        <w:tc>
          <w:tcPr/>
          <w:p>
            <w:pPr>
              <w:pStyle w:val="Compact"/>
              <w:jc w:val="left"/>
            </w:pPr>
            <w:r>
              <w:rPr>
                <w:rFonts w:hint="eastAsia"/>
              </w:rPr>
              <w:t xml:space="preserve">历史基础矩阵</w:t>
            </w:r>
            <w:r>
              <w:t xml:space="preserve"> + </w:t>
            </w:r>
            <w:r>
              <w:rPr>
                <w:rFonts w:hint="eastAsia"/>
              </w:rPr>
              <w:t xml:space="preserve">物理压力约束</w:t>
            </w:r>
          </w:p>
        </w:tc>
        <w:tc>
          <w:tcPr/>
          <w:p>
            <w:pPr>
              <w:pStyle w:val="Compact"/>
              <w:jc w:val="right"/>
            </w:pPr>
            <w:r>
              <w:t xml:space="preserve">41.6%</w:t>
            </w:r>
          </w:p>
        </w:tc>
        <w:tc>
          <w:tcPr/>
          <w:p>
            <w:pPr>
              <w:pStyle w:val="Compact"/>
              <w:jc w:val="right"/>
            </w:pPr>
            <w:r>
              <w:t xml:space="preserve">2.8%</w:t>
            </w:r>
          </w:p>
        </w:tc>
        <w:tc>
          <w:tcPr/>
          <w:p>
            <w:pPr>
              <w:pStyle w:val="Compact"/>
              <w:jc w:val="right"/>
            </w:pPr>
            <w:r>
              <w:t xml:space="preserve">128.48</w:t>
            </w:r>
          </w:p>
        </w:tc>
        <w:tc>
          <w:tcPr/>
          <w:p>
            <w:pPr>
              <w:pStyle w:val="Compact"/>
              <w:jc w:val="right"/>
            </w:pPr>
            <w:r>
              <w:t xml:space="preserve">108.56</w:t>
            </w:r>
          </w:p>
        </w:tc>
      </w:tr>
      <w:tr>
        <w:tc>
          <w:tcPr/>
          <w:p>
            <w:pPr>
              <w:pStyle w:val="Compact"/>
              <w:jc w:val="left"/>
            </w:pPr>
            <w:r>
              <w:rPr>
                <w:rFonts w:hint="eastAsia"/>
              </w:rPr>
              <w:t xml:space="preserve">历史基础矩阵</w:t>
            </w:r>
            <w:r>
              <w:t xml:space="preserve"> + </w:t>
            </w:r>
            <w:r>
              <w:rPr>
                <w:rFonts w:hint="eastAsia"/>
              </w:rPr>
              <w:t xml:space="preserve">物理压力</w:t>
            </w:r>
            <w:r>
              <w:t xml:space="preserve"> + GPR/OVX </w:t>
            </w:r>
            <w:r>
              <w:rPr>
                <w:rFonts w:hint="eastAsia"/>
              </w:rPr>
              <w:t xml:space="preserve">风险约束</w:t>
            </w:r>
          </w:p>
        </w:tc>
        <w:tc>
          <w:tcPr/>
          <w:p>
            <w:pPr>
              <w:pStyle w:val="Compact"/>
              <w:jc w:val="right"/>
            </w:pPr>
            <w:r>
              <w:t xml:space="preserve">47.9%</w:t>
            </w:r>
          </w:p>
        </w:tc>
        <w:tc>
          <w:tcPr/>
          <w:p>
            <w:pPr>
              <w:pStyle w:val="Compact"/>
              <w:jc w:val="right"/>
            </w:pPr>
            <w:r>
              <w:t xml:space="preserve">3.8%</w:t>
            </w:r>
          </w:p>
        </w:tc>
        <w:tc>
          <w:tcPr/>
          <w:p>
            <w:pPr>
              <w:pStyle w:val="Compact"/>
              <w:jc w:val="right"/>
            </w:pPr>
            <w:r>
              <w:t xml:space="preserve">129.10</w:t>
            </w:r>
          </w:p>
        </w:tc>
        <w:tc>
          <w:tcPr/>
          <w:p>
            <w:pPr>
              <w:pStyle w:val="Compact"/>
              <w:jc w:val="right"/>
            </w:pPr>
            <w:r>
              <w:t xml:space="preserve">108.95</w:t>
            </w:r>
          </w:p>
        </w:tc>
      </w:tr>
    </w:tbl>
    <w:bookmarkEnd w:id="64"/>
    <w:p>
      <w:pPr>
        <w:pStyle w:val="BodyText"/>
      </w:pPr>
      <w:hyperlink w:anchor="tab:state-risk-ablation">
        <w:r>
          <w:rPr>
            <w:rStyle w:val="Hyperlink"/>
          </w:rPr>
          <w:t xml:space="preserve">4</w:t>
        </w:r>
      </w:hyperlink>
      <w:r>
        <w:t xml:space="preserve"> </w:t>
      </w:r>
      <w:r>
        <w:rPr>
          <w:rFonts w:hint="eastAsia"/>
        </w:rPr>
        <w:t xml:space="preserve">进一步说明，物理压力会抬升第</w:t>
      </w:r>
      <w:r>
        <w:t xml:space="preserve"> 180 </w:t>
      </w:r>
      <w:r>
        <w:rPr>
          <w:rFonts w:hint="eastAsia"/>
        </w:rPr>
        <w:t xml:space="preserve">天上尾分位，GPR/OVX</w:t>
      </w:r>
      <w:r>
        <w:t xml:space="preserve"> </w:t>
      </w:r>
      <w:r>
        <w:rPr>
          <w:rFonts w:hint="eastAsia"/>
        </w:rPr>
        <w:t xml:space="preserve">风险约束则进一步提高进入高价平台的条件概率。这符合二者的经济含义：SPR、库存和剩余缺口决定长期尾部是否有物理支撑，GPR</w:t>
      </w:r>
      <w:r>
        <w:t xml:space="preserve"> </w:t>
      </w:r>
      <w:r>
        <w:rPr>
          <w:rFonts w:hint="eastAsia"/>
        </w:rPr>
        <w:t xml:space="preserve">和</w:t>
      </w:r>
      <w:r>
        <w:t xml:space="preserve"> OVX </w:t>
      </w:r>
      <w:r>
        <w:rPr>
          <w:rFonts w:hint="eastAsia"/>
        </w:rPr>
        <w:t xml:space="preserve">则更接近地缘风险与市场隐含波动率变量，适合约束状态切换和尾部风险，而不应被解释为短期方向价格预测器。</w:t>
      </w:r>
    </w:p>
    <w:p>
      <w:pPr>
        <w:pStyle w:val="BodyText"/>
      </w:pPr>
      <w:r>
        <w:rPr>
          <w:rFonts w:hint="eastAsia"/>
        </w:rPr>
        <w:t xml:space="preserve">结果显示，中性情景下价格在</w:t>
      </w:r>
      <w:r>
        <w:t xml:space="preserve"> 180 </w:t>
      </w:r>
      <w:r>
        <w:rPr>
          <w:rFonts w:hint="eastAsia"/>
        </w:rPr>
        <w:t xml:space="preserve">天附近回落至约</w:t>
      </w:r>
      <w:r>
        <w:t xml:space="preserve"> 93.26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129.71 </w:t>
      </w:r>
      <w:r>
        <w:rPr>
          <w:rFonts w:hint="eastAsia"/>
        </w:rPr>
        <w:t xml:space="preserve">美元/桶的高点；由于</w:t>
      </w:r>
      <w:r>
        <w:t xml:space="preserve"> SPR </w:t>
      </w:r>
      <w:r>
        <w:rPr>
          <w:rFonts w:hint="eastAsia"/>
        </w:rPr>
        <w:t xml:space="preserve">等效预算耗尽，第</w:t>
      </w:r>
      <w:r>
        <w:t xml:space="preserve"> 180 </w:t>
      </w:r>
      <w:r>
        <w:rPr>
          <w:rFonts w:hint="eastAsia"/>
        </w:rPr>
        <w:t xml:space="preserve">天悲观价格抬升至约</w:t>
      </w:r>
      <w:r>
        <w:t xml:space="preserve"> 111.71 </w:t>
      </w:r>
      <w:r>
        <w:rPr>
          <w:rFonts w:hint="eastAsia"/>
        </w:rPr>
        <w:t xml:space="preserve">美元/桶。</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90.20–108.95 </w:t>
      </w:r>
      <w:r>
        <w:rPr>
          <w:rFonts w:hint="eastAsia"/>
        </w:rPr>
        <w:t xml:space="preserve">美元/桶，外推期最高价</w:t>
      </w:r>
      <w:r>
        <w:t xml:space="preserve"> P95 </w:t>
      </w:r>
      <w:r>
        <w:rPr>
          <w:rFonts w:hint="eastAsia"/>
        </w:rPr>
        <w:t xml:space="preserve">为</w:t>
      </w:r>
      <w:r>
        <w:t xml:space="preserve"> 129.10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47.9%，说明长期结果应重点关注尾部区间和状态切换风险。</w:t>
      </w:r>
    </w:p>
    <w:p>
      <w:pPr>
        <w:pStyle w:val="TableCaption"/>
      </w:pPr>
      <w:r>
        <w:rPr>
          <w:rFonts w:hint="eastAsia"/>
        </w:rPr>
        <w:t xml:space="preserve">中长期油价调节模型的可信度评价框架</w:t>
      </w:r>
    </w:p>
    <w:tbl>
      <w:tblPr>
        <w:tblStyle w:val="Table"/>
        <w:tblW w:type="auto" w:w="0"/>
        <w:tblLook w:firstRow="1" w:lastRow="0" w:firstColumn="0" w:lastColumn="0" w:noHBand="0" w:noVBand="0" w:val="0020"/>
        <w:tblCaption w:val="中长期油价调节模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rPr>
                <w:rFonts w:hint="eastAsia"/>
              </w:rPr>
              <w:t xml:space="preserve">用于数量级和风险约束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88.85–107.07 </w:t>
            </w:r>
            <w:r>
              <w:rPr>
                <w:rFonts w:hint="eastAsia"/>
              </w:rPr>
              <w:t xml:space="preserve">美元/桶，最高价突破</w:t>
            </w:r>
            <w:r>
              <w:t xml:space="preserve"> 120 </w:t>
            </w:r>
            <w:r>
              <w:rPr>
                <w:rFonts w:hint="eastAsia"/>
              </w:rPr>
              <w:t xml:space="preserve">概率约</w:t>
            </w:r>
            <w:r>
              <w:t xml:space="preserve"> 10.3%</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90.20–108.95 </w:t>
            </w:r>
            <w:r>
              <w:rPr>
                <w:rFonts w:hint="eastAsia"/>
              </w:rPr>
              <w:t xml:space="preserve">美元/桶，外推期最高价</w:t>
            </w:r>
            <w:r>
              <w:t xml:space="preserve"> P95 </w:t>
            </w:r>
            <w:r>
              <w:rPr>
                <w:rFonts w:hint="eastAsia"/>
              </w:rPr>
              <w:t xml:space="preserve">为</w:t>
            </w:r>
            <w:r>
              <w:t xml:space="preserve"> 129.10 </w:t>
            </w:r>
            <w:r>
              <w:rPr>
                <w:rFonts w:hint="eastAsia"/>
              </w:rPr>
              <w:t xml:space="preserve">美元/桶，突破</w:t>
            </w:r>
            <w:r>
              <w:t xml:space="preserve"> 120 </w:t>
            </w:r>
            <w:r>
              <w:rPr>
                <w:rFonts w:hint="eastAsia"/>
              </w:rPr>
              <w:t xml:space="preserve">概率约</w:t>
            </w:r>
            <w:r>
              <w:t xml:space="preserve"> 47.9%</w:t>
            </w:r>
          </w:p>
        </w:tc>
        <w:tc>
          <w:tcPr/>
          <w:p>
            <w:pPr>
              <w:pStyle w:val="Compact"/>
              <w:jc w:val="left"/>
            </w:pPr>
            <w:r>
              <w:rPr>
                <w:rFonts w:hint="eastAsia"/>
              </w:rPr>
              <w:t xml:space="preserve">用于解释平滑中心线之外的事件状态切换和短期扰动</w:t>
            </w:r>
          </w:p>
        </w:tc>
      </w:tr>
    </w:tbl>
    <w:p>
      <w:pPr>
        <w:pStyle w:val="BodyText"/>
      </w:pPr>
      <w:r>
        <w:rPr>
          <w:rFonts w:hint="eastAsia"/>
        </w:rPr>
        <w:t xml:space="preserve">从价格平衡点看，乐观情景最终回落至约</w:t>
      </w:r>
      <w:r>
        <w:t xml:space="preserve"> 87.05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93.26 </w:t>
      </w:r>
      <w:r>
        <w:rPr>
          <w:rFonts w:hint="eastAsia"/>
        </w:rPr>
        <w:t xml:space="preserve">美元/桶，更接近政策缓冲与市场风险重新平衡后的中心水平；此时商业库存和</w:t>
      </w:r>
      <w:r>
        <w:t xml:space="preserve"> SPR </w:t>
      </w:r>
      <w:r>
        <w:rPr>
          <w:rFonts w:hint="eastAsia"/>
        </w:rPr>
        <w:t xml:space="preserve">均作为缓冲参与，且物理缺口基本闭合，说明价格回落不是依赖单一政策变量机械满额托底。悲观情景第</w:t>
      </w:r>
      <w:r>
        <w:t xml:space="preserve"> 180 </w:t>
      </w:r>
      <w:r>
        <w:rPr>
          <w:rFonts w:hint="eastAsia"/>
        </w:rPr>
        <w:t xml:space="preserve">天仍为</w:t>
      </w:r>
      <w:r>
        <w:t xml:space="preserve"> 111.71 </w:t>
      </w:r>
      <w:r>
        <w:rPr>
          <w:rFonts w:hint="eastAsia"/>
        </w:rPr>
        <w:t xml:space="preserve">美元/桶，说明若供应中断规模接近上界、SPR</w:t>
      </w:r>
      <w:r>
        <w:t xml:space="preserve"> </w:t>
      </w:r>
      <w:r>
        <w:rPr>
          <w:rFonts w:hint="eastAsia"/>
        </w:rPr>
        <w:t xml:space="preserve">等效预算耗尽且制度风险溢价持续，市场仍可能维持相对高位，并保留二次跳涨尾部风险。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天物理缺口已基本闭合，但价格仍高于战前</w:t>
      </w:r>
      <w:r>
        <w:t xml:space="preserve"> 75 </w:t>
      </w:r>
      <w:r>
        <w:rPr>
          <w:rFonts w:hint="eastAsia"/>
        </w:rPr>
        <w:t xml:space="preserve">美元/桶，原因是模型中仍保留不确定性和制度风险溢价。该设定表示：即便物理缺口基本闭合，只要霍尔木兹封锁的制度状态没有完全解除，市场仍会对运输保险、航运安全、库存再补充和再次升级风险给出残余溢价。因此</w:t>
      </w:r>
      <w:r>
        <w:t xml:space="preserve"> 93.26 </w:t>
      </w:r>
      <w:r>
        <w:rPr>
          <w:rFonts w:hint="eastAsia"/>
        </w:rPr>
        <w:t xml:space="preserve">美元/桶应理解为</w:t>
      </w:r>
      <w:r>
        <w:rPr>
          <w:rFonts w:hint="eastAsia"/>
        </w:rPr>
        <w:t xml:space="preserve">“物理缺口闭合但制度风险尚未完全消失”</w:t>
      </w:r>
      <w:r>
        <w:rPr>
          <w:rFonts w:hint="eastAsia"/>
        </w:rPr>
        <w:t xml:space="preserve">条件下的中心路径。</w:t>
      </w:r>
    </w:p>
    <w:p>
      <w:pPr>
        <w:pStyle w:val="BodyText"/>
      </w:pPr>
      <w:r>
        <w:rPr>
          <w:rFonts w:hint="eastAsia"/>
        </w:rPr>
        <w:t xml:space="preserve">商业库存剩余率和剩余供需缺口风险的完整图形放入附录</w:t>
      </w:r>
      <w:r>
        <w:t xml:space="preserve"> </w:t>
      </w:r>
      <w:r>
        <w:rPr>
          <w:rFonts w:hint="eastAsia"/>
        </w:rPr>
        <w:t xml:space="preserve">D。正文保留其核心结论：悲观路径的尾部风险主要来自</w:t>
      </w:r>
      <w:r>
        <w:t xml:space="preserve"> SPR </w:t>
      </w:r>
      <w:r>
        <w:rPr>
          <w:rFonts w:hint="eastAsia"/>
        </w:rPr>
        <w:t xml:space="preserve">等效预算耗尽、商业库存消耗和剩余缺口同时存在，而不是由中性路径本身决定。</w:t>
      </w:r>
    </w:p>
    <w:bookmarkEnd w:id="65"/>
    <w:bookmarkEnd w:id="66"/>
    <w:bookmarkStart w:id="81" w:name="敏感性分析"/>
    <w:p>
      <w:pPr>
        <w:pStyle w:val="Heading1"/>
      </w:pPr>
      <w:r>
        <w:rPr>
          <w:rFonts w:hint="eastAsia"/>
        </w:rPr>
        <w:t xml:space="preserve">敏感性分析</w:t>
      </w:r>
    </w:p>
    <w:p>
      <w:pPr>
        <w:pStyle w:val="FirstParagraph"/>
      </w:pPr>
      <w:r>
        <w:rPr>
          <w:rFonts w:hint="eastAsia"/>
        </w:rPr>
        <w:t xml:space="preserve">本章回答三个问题：哪些参数主导长期结果，多因素扰动下尾部风险有多大，外生风险变量和历史样本是否支持该判断。GPR、OVX、历史窗口和传统蒙特卡洛路径图放入附录，正文保留排序、区间和摘要证据。</w:t>
      </w:r>
    </w:p>
    <w:bookmarkStart w:id="75" w:name="参数敏感性与关键驱动因素"/>
    <w:p>
      <w:pPr>
        <w:pStyle w:val="Heading2"/>
      </w:pPr>
      <w:r>
        <w:rPr>
          <w:rFonts w:hint="eastAsia"/>
        </w:rPr>
        <w:t xml:space="preserve">参数敏感性与关键驱动因素</w:t>
      </w:r>
    </w:p>
    <w:p>
      <w:pPr>
        <w:pStyle w:val="FirstParagraph"/>
      </w:pPr>
      <w:r>
        <w:rPr>
          <w:rFonts w:hint="eastAsia"/>
        </w:rPr>
        <w:t xml:space="preserve">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天价格、外推期最高价和剩余供需缺口变化。设参数</w:t>
      </w:r>
      <w:r>
        <w:t xml:space="preserve"> </w:t>
      </w:r>
      <m:oMath>
        <m:sSub>
          <m:e>
            <m:r>
              <m:t>θ</m:t>
            </m:r>
          </m:e>
          <m:sub>
            <m:r>
              <m:t>j</m:t>
            </m:r>
          </m:sub>
        </m:sSub>
      </m:oMath>
      <w:r>
        <w:t xml:space="preserve"> </w:t>
      </w:r>
      <w:r>
        <w:rPr>
          <w:rFonts w:hint="eastAsia"/>
        </w:rPr>
        <w:t xml:space="preserve">在扰动集合</w:t>
      </w:r>
      <w:r>
        <w:t xml:space="preserve"> </w:t>
      </w:r>
      <m:oMath>
        <m:sSub>
          <m:e>
            <m:r>
              <m:rPr>
                <m:sty m:val="p"/>
              </m:rPr>
              <m:t>Ω</m:t>
            </m:r>
          </m:e>
          <m:sub>
            <m:r>
              <m:t>j</m:t>
            </m:r>
          </m:sub>
        </m:sSub>
        <m:r>
          <m:rPr>
            <m:sty m:val="p"/>
          </m:rPr>
          <m:t>=</m:t>
        </m:r>
        <m:r>
          <m:rPr>
            <m:sty m:val="p"/>
          </m:rPr>
          <m:t>{</m:t>
        </m:r>
        <m:sSubSup>
          <m:e>
            <m:r>
              <m:t>θ</m:t>
            </m:r>
          </m:e>
          <m:sub>
            <m:r>
              <m:t>j</m:t>
            </m:r>
          </m:sub>
          <m:sup>
            <m:r>
              <m:rPr>
                <m:sty m:val="p"/>
              </m:rPr>
              <m:t>(</m:t>
            </m:r>
            <m:r>
              <m:t>1</m:t>
            </m:r>
            <m:r>
              <m:rPr>
                <m:sty m:val="p"/>
              </m:rPr>
              <m:t>)</m:t>
            </m:r>
          </m:sup>
        </m:sSubSup>
        <m:r>
          <m:rPr>
            <m:sty m:val="p"/>
          </m:rPr>
          <m:t>,</m:t>
        </m:r>
        <m:r>
          <m:rPr>
            <m:sty m:val="p"/>
          </m:rPr>
          <m:t>…</m:t>
        </m:r>
        <m:r>
          <m:rPr>
            <m:sty m:val="p"/>
          </m:rPr>
          <m:t>,</m:t>
        </m:r>
        <m:sSubSup>
          <m:e>
            <m:r>
              <m:t>θ</m:t>
            </m:r>
          </m:e>
          <m:sub>
            <m:r>
              <m:t>j</m:t>
            </m:r>
          </m:sub>
          <m:sup>
            <m:r>
              <m:rPr>
                <m:sty m:val="p"/>
              </m:rPr>
              <m:t>(</m:t>
            </m:r>
            <m:r>
              <m:t>m</m:t>
            </m:r>
            <m:r>
              <m:rPr>
                <m:sty m:val="p"/>
              </m:rPr>
              <m:t>)</m:t>
            </m:r>
          </m:sup>
        </m:sSubSup>
        <m:r>
          <m:rPr>
            <m:sty m:val="p"/>
          </m:rPr>
          <m:t>}</m:t>
        </m:r>
      </m:oMath>
      <w:r>
        <w:t xml:space="preserve"> </w:t>
      </w:r>
      <w:r>
        <w:rPr>
          <w:rFonts w:hint="eastAsia"/>
        </w:rPr>
        <w:t xml:space="preserve">上取值，其他参数固定。记长期递推得到的第</w:t>
      </w:r>
      <w:r>
        <w:t xml:space="preserve"> 180 </w:t>
      </w:r>
      <w:r>
        <w:rPr>
          <w:rFonts w:hint="eastAsia"/>
        </w:rPr>
        <w:t xml:space="preserve">天价格、外推期最高价和第</w:t>
      </w:r>
      <w:r>
        <w:t xml:space="preserve"> 180 </w:t>
      </w:r>
      <w:r>
        <w:rPr>
          <w:rFonts w:hint="eastAsia"/>
        </w:rPr>
        <w:t xml:space="preserve">天剩余缺口分别为</w:t>
      </w:r>
      <w:r>
        <w:t xml:space="preserve"> </w:t>
      </w:r>
      <m:oMath>
        <m:sSub>
          <m:e>
            <m:r>
              <m:t>P</m:t>
            </m:r>
          </m:e>
          <m:sub>
            <m:r>
              <m:t>180</m:t>
            </m:r>
          </m:sub>
        </m:sSub>
        <m:r>
          <m:rPr>
            <m:sty m:val="p"/>
          </m:rPr>
          <m:t>(</m:t>
        </m:r>
        <m:sSubSup>
          <m:e>
            <m:r>
              <m:t>θ</m:t>
            </m:r>
          </m:e>
          <m:sub>
            <m:r>
              <m:t>j</m:t>
            </m:r>
          </m:sub>
          <m:sup>
            <m:r>
              <m:rPr>
                <m:sty m:val="p"/>
              </m:rPr>
              <m:t>(</m:t>
            </m:r>
            <m:r>
              <m:t>r</m:t>
            </m:r>
            <m:r>
              <m:rPr>
                <m:sty m:val="p"/>
              </m:rPr>
              <m:t>)</m:t>
            </m:r>
          </m:sup>
        </m:sSubSup>
        <m:r>
          <m:rPr>
            <m:sty m:val="p"/>
          </m:rPr>
          <m:t>)</m:t>
        </m:r>
      </m:oMath>
      <w:r>
        <w:t xml:space="preserve">、</w:t>
      </w:r>
      <m:oMath>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oMath>
      <w:r>
        <w:t xml:space="preserve"> </w:t>
      </w:r>
      <w:r>
        <w:rPr>
          <w:rFonts w:hint="eastAsia"/>
        </w:rPr>
        <w:t xml:space="preserve">和</w:t>
      </w:r>
      <w:r>
        <w:t xml:space="preserve"> </w:t>
      </w:r>
      <m:oMath>
        <m:sSub>
          <m:e>
            <m:r>
              <m:t>G</m:t>
            </m:r>
          </m:e>
          <m:sub>
            <m:r>
              <m:t>180</m:t>
            </m:r>
          </m:sub>
        </m:sSub>
        <m:r>
          <m:rPr>
            <m:sty m:val="p"/>
          </m:rPr>
          <m:t>(</m:t>
        </m:r>
        <m:sSubSup>
          <m:e>
            <m:r>
              <m:t>θ</m:t>
            </m:r>
          </m:e>
          <m:sub>
            <m:r>
              <m:t>j</m:t>
            </m:r>
          </m:sub>
          <m:sup>
            <m:r>
              <m:rPr>
                <m:sty m:val="p"/>
              </m:rPr>
              <m:t>(</m:t>
            </m:r>
            <m:r>
              <m:t>r</m:t>
            </m:r>
            <m:r>
              <m:rPr>
                <m:sty m:val="p"/>
              </m:rPr>
              <m:t>)</m:t>
            </m:r>
          </m:sup>
        </m:sSubSup>
        <m:r>
          <m:rPr>
            <m:sty m:val="p"/>
          </m:rPr>
          <m:t>)</m:t>
        </m:r>
      </m:oMath>
      <w:r>
        <w:rPr>
          <w:rFonts w:hint="eastAsia"/>
        </w:rPr>
        <w:t xml:space="preserve">，则响应幅度定义为</w:t>
      </w:r>
    </w:p>
    <w:p>
      <w:pPr>
        <w:pStyle w:val="BodyText"/>
      </w:pPr>
      <m:oMathPara>
        <m:oMathParaPr>
          <m:jc m:val="center"/>
        </m:oMathParaPr>
        <m:oMath>
          <m:eqArr>
            <m:e>
              <m:r>
                <m:rPr>
                  <m:sty m:val="p"/>
                </m:rPr>
                <m:t>Δ</m:t>
              </m:r>
              <m:sSubSup>
                <m:e>
                  <m:r>
                    <m:t>P</m:t>
                  </m:r>
                </m:e>
                <m:sub>
                  <m:r>
                    <m:t>180</m:t>
                  </m:r>
                </m:sub>
                <m:sup>
                  <m:r>
                    <m:rPr>
                      <m:sty m:val="p"/>
                    </m:rPr>
                    <m:t>(</m:t>
                  </m:r>
                  <m:r>
                    <m:t>j</m:t>
                  </m:r>
                  <m:r>
                    <m:rPr>
                      <m:sty m:val="p"/>
                    </m:rPr>
                    <m:t>)</m:t>
                  </m:r>
                </m:sup>
              </m:sSubSup>
              <m:r>
                <m:t>&amp;</m:t>
              </m:r>
              <m:r>
                <m:rPr>
                  <m:sty m:val="p"/>
                </m:rPr>
                <m:t>=</m:t>
              </m:r>
              <m:limLow>
                <m:e>
                  <m:r>
                    <m:rPr>
                      <m:sty m:val="p"/>
                    </m:rPr>
                    <m:t>max</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P</m:t>
                  </m:r>
                </m:e>
                <m:sub>
                  <m:r>
                    <m:rPr>
                      <m:sty m:val="p"/>
                    </m:rPr>
                    <m:t>max</m:t>
                  </m:r>
                </m:sub>
                <m:sup>
                  <m:r>
                    <m:rPr>
                      <m:sty m:val="p"/>
                    </m:rPr>
                    <m:t>(</m:t>
                  </m:r>
                  <m:r>
                    <m:t>j</m:t>
                  </m:r>
                  <m:r>
                    <m:rPr>
                      <m:sty m:val="p"/>
                    </m:rPr>
                    <m:t>)</m:t>
                  </m:r>
                </m:sup>
              </m:sSubSup>
              <m:r>
                <m:t>&amp;</m:t>
              </m:r>
              <m:r>
                <m:rPr>
                  <m:sty m:val="p"/>
                </m:rPr>
                <m:t>=</m:t>
              </m:r>
              <m:limLow>
                <m:e>
                  <m:r>
                    <m:rPr>
                      <m:sty m:val="p"/>
                    </m:rPr>
                    <m:t>max</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G</m:t>
                  </m:r>
                </m:e>
                <m:sub>
                  <m:r>
                    <m:t>180</m:t>
                  </m:r>
                </m:sub>
                <m:sup>
                  <m:r>
                    <m:rPr>
                      <m:sty m:val="p"/>
                    </m:rPr>
                    <m:t>(</m:t>
                  </m:r>
                  <m:r>
                    <m:t>j</m:t>
                  </m:r>
                  <m:r>
                    <m:rPr>
                      <m:sty m:val="p"/>
                    </m:rPr>
                    <m:t>)</m:t>
                  </m:r>
                </m:sup>
              </m:sSubSup>
              <m:r>
                <m:t>&amp;</m:t>
              </m:r>
              <m:r>
                <m:rPr>
                  <m:sty m:val="p"/>
                </m:rPr>
                <m:t>=</m:t>
              </m:r>
              <m:limLow>
                <m:e>
                  <m:r>
                    <m:rPr>
                      <m:sty m:val="p"/>
                    </m:rPr>
                    <m:t>max</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qArr>
        </m:oMath>
      </m:oMathPara>
    </w:p>
    <w:p>
      <w:pPr>
        <w:pStyle w:val="FirstParagraph"/>
      </w:pPr>
      <w:r>
        <w:rPr>
          <w:rFonts w:hint="eastAsia"/>
        </w:rPr>
        <w:t xml:space="preserve">综合敏感度定义为</w:t>
      </w:r>
    </w:p>
    <w:p>
      <w:pPr>
        <w:pStyle w:val="BodyText"/>
      </w:pPr>
      <m:oMathPara>
        <m:oMathParaPr>
          <m:jc m:val="center"/>
        </m:oMathParaPr>
        <m:oMath>
          <m:sSub>
            <m:e>
              <m:r>
                <m:rPr>
                  <m:scr m:val="script"/>
                  <m:sty m:val="p"/>
                </m:rPr>
                <m:t>S</m:t>
              </m:r>
            </m:e>
            <m:sub>
              <m:r>
                <m:t>j</m:t>
              </m:r>
            </m:sub>
          </m:sSub>
          <m:r>
            <m:rPr>
              <m:sty m:val="p"/>
            </m:rPr>
            <m:t>=</m:t>
          </m:r>
          <m:r>
            <m:rPr>
              <m:sty m:val="p"/>
            </m:rPr>
            <m:t>Δ</m:t>
          </m:r>
          <m:sSubSup>
            <m:e>
              <m:r>
                <m:t>P</m:t>
              </m:r>
            </m:e>
            <m:sub>
              <m:r>
                <m:t>180</m:t>
              </m:r>
            </m:sub>
            <m:sup>
              <m:r>
                <m:rPr>
                  <m:sty m:val="p"/>
                </m:rPr>
                <m:t>(</m:t>
              </m:r>
              <m:r>
                <m:t>j</m:t>
              </m:r>
              <m:r>
                <m:rPr>
                  <m:sty m:val="p"/>
                </m:rPr>
                <m:t>)</m:t>
              </m:r>
            </m:sup>
          </m:sSubSup>
          <m:r>
            <m:rPr>
              <m:sty m:val="p"/>
            </m:rPr>
            <m:t>+</m:t>
          </m:r>
          <m:r>
            <m:t>0.45</m:t>
          </m:r>
          <m:r>
            <m:rPr>
              <m:sty m:val="p"/>
            </m:rPr>
            <m:t>Δ</m:t>
          </m:r>
          <m:sSubSup>
            <m:e>
              <m:r>
                <m:t>P</m:t>
              </m:r>
            </m:e>
            <m:sub>
              <m:r>
                <m:rPr>
                  <m:sty m:val="p"/>
                </m:rPr>
                <m:t>max</m:t>
              </m:r>
            </m:sub>
            <m:sup>
              <m:r>
                <m:rPr>
                  <m:sty m:val="p"/>
                </m:rPr>
                <m:t>(</m:t>
              </m:r>
              <m:r>
                <m:t>j</m:t>
              </m:r>
              <m:r>
                <m:rPr>
                  <m:sty m:val="p"/>
                </m:rPr>
                <m:t>)</m:t>
              </m:r>
            </m:sup>
          </m:sSubSup>
          <m:r>
            <m:rPr>
              <m:sty m:val="p"/>
            </m:rPr>
            <m:t>+</m:t>
          </m:r>
          <m:r>
            <m:t>0.002</m:t>
          </m:r>
          <m:r>
            <m:rPr>
              <m:sty m:val="p"/>
            </m:rPr>
            <m:t>Δ</m:t>
          </m:r>
          <m:sSubSup>
            <m:e>
              <m:r>
                <m:t>G</m:t>
              </m:r>
            </m:e>
            <m:sub>
              <m:r>
                <m:t>180</m:t>
              </m:r>
            </m:sub>
            <m:sup>
              <m:r>
                <m:rPr>
                  <m:sty m:val="p"/>
                </m:rPr>
                <m:t>(</m:t>
              </m:r>
              <m:r>
                <m:t>j</m:t>
              </m:r>
              <m:r>
                <m:rPr>
                  <m:sty m:val="p"/>
                </m:rPr>
                <m:t>)</m:t>
              </m:r>
            </m:sup>
          </m:sSubSup>
          <m:r>
            <m:rPr>
              <m:sty m:val="p"/>
            </m:rPr>
            <m:t>.</m:t>
          </m:r>
        </m:oMath>
      </m:oMathPara>
    </w:p>
    <w:p>
      <w:pPr>
        <w:pStyle w:val="FirstParagraph"/>
      </w:pPr>
      <w:r>
        <w:rPr>
          <w:rFonts w:hint="eastAsia"/>
        </w:rPr>
        <w:t xml:space="preserve">该指标兼顾终点价格、阶段峰值和供需风险；系数</w:t>
      </w:r>
      <w:r>
        <w:t xml:space="preserve"> </w:t>
      </w:r>
      <m:oMath>
        <m:r>
          <m:t>0.45</m:t>
        </m:r>
      </m:oMath>
      <w:r>
        <w:t xml:space="preserve"> </w:t>
      </w:r>
      <w:r>
        <w:rPr>
          <w:rFonts w:hint="eastAsia"/>
        </w:rPr>
        <w:t xml:space="preserve">和</w:t>
      </w:r>
      <w:r>
        <w:t xml:space="preserve"> </w:t>
      </w:r>
      <m:oMath>
        <m:r>
          <m:t>0.002</m:t>
        </m:r>
      </m:oMath>
      <w:r>
        <w:t xml:space="preserve"> </w:t>
      </w:r>
      <w:r>
        <w:rPr>
          <w:rFonts w:hint="eastAsia"/>
        </w:rPr>
        <w:t xml:space="preserve">将峰值风险和供需缺口映射到同一量级，使排序反映综合影响。</w:t>
      </w:r>
    </w:p>
    <w:p>
      <w:pPr>
        <w:pStyle w:val="BodyText"/>
      </w:pPr>
      <w:r>
        <w:t xml:space="preserve">S[table-format=2.0] Y S[table-format=2.2] S[table-format=2.2] S[table-format=2.2]</w:t>
      </w:r>
      <w:r>
        <w:t xml:space="preserve"> </w:t>
      </w:r>
      <w:r>
        <w:rPr>
          <w:rFonts w:hint="eastAsia"/>
        </w:rPr>
        <w:t xml:space="preserve">排名</w:t>
      </w:r>
      <w:r>
        <w:t xml:space="preserve"> </w:t>
      </w:r>
      <w:r>
        <w:t xml:space="preserve">&amp; </w:t>
      </w:r>
      <w:r>
        <w:rPr>
          <w:rFonts w:hint="eastAsia"/>
        </w:rPr>
        <w:t xml:space="preserve">参数</w:t>
      </w:r>
      <w:r>
        <w:t xml:space="preserve"> &amp;</w:t>
      </w:r>
      <w:r>
        <w:t xml:space="preserve"> </w:t>
      </w:r>
      <w:r>
        <w:rPr>
          <w:rFonts w:hint="eastAsia"/>
        </w:rPr>
        <w:t xml:space="preserve">综合敏感度</w:t>
      </w:r>
      <w:r>
        <w:t xml:space="preserve"> </w:t>
      </w:r>
      <w:r>
        <w:t xml:space="preserve">&amp;</w:t>
      </w:r>
      <w:r>
        <w:t xml:space="preserve"> </w:t>
      </w:r>
      <w:r>
        <w:rPr>
          <w:rFonts w:hint="eastAsia"/>
        </w:rPr>
        <w:t xml:space="preserve">第180天波动</w:t>
      </w:r>
      <w:r>
        <w:t xml:space="preserve"> </w:t>
      </w:r>
      <w:r>
        <w:t xml:space="preserve">&amp;</w:t>
      </w:r>
      <w:r>
        <w:t xml:space="preserve"> </w:t>
      </w:r>
      <w:r>
        <w:rPr>
          <w:rFonts w:hint="eastAsia"/>
        </w:rPr>
        <w:t xml:space="preserve">外推峰值波动</w:t>
      </w:r>
      <w:r>
        <w:br/>
      </w:r>
      <w:r>
        <w:t xml:space="preserve">&amp; </w:t>
      </w:r>
      <w:r>
        <w:rPr>
          <w:rFonts w:hint="eastAsia"/>
        </w:rPr>
        <w:t xml:space="preserve">封锁风险衰减速度</w:t>
      </w:r>
      <w:r>
        <w:t xml:space="preserve"> &amp; 15.60 &amp; 12.58 &amp; 6.72</w:t>
      </w:r>
      <w:r>
        <w:br/>
      </w:r>
      <w:r>
        <w:t xml:space="preserve">2 &amp; </w:t>
      </w:r>
      <w:r>
        <w:rPr>
          <w:rFonts w:hint="eastAsia"/>
        </w:rPr>
        <w:t xml:space="preserve">地缘风险权重</w:t>
      </w:r>
      <w:r>
        <w:t xml:space="preserve"> &amp; 13.36 &amp; 8.26 &amp; 11.33</w:t>
      </w:r>
      <w:r>
        <w:br/>
      </w:r>
      <w:r>
        <w:t xml:space="preserve">3 &amp; </w:t>
      </w:r>
      <w:r>
        <w:rPr>
          <w:rFonts w:hint="eastAsia"/>
        </w:rPr>
        <w:t xml:space="preserve">供应中断量</w:t>
      </w:r>
      <w:r>
        <w:t xml:space="preserve"> &amp; 10.76 &amp; 8.41 &amp; 4.34</w:t>
      </w:r>
      <w:r>
        <w:br/>
      </w:r>
      <w:r>
        <w:t xml:space="preserve">4 &amp; </w:t>
      </w:r>
      <w:r>
        <w:rPr>
          <w:rFonts w:hint="eastAsia"/>
        </w:rPr>
        <w:t xml:space="preserve">不确定性与制度风险强度</w:t>
      </w:r>
      <w:r>
        <w:t xml:space="preserve"> &amp; 9.25 &amp; 3.95 &amp; 11.77</w:t>
      </w:r>
      <w:r>
        <w:br/>
      </w:r>
      <w:r>
        <w:t xml:space="preserve">5 &amp; </w:t>
      </w:r>
      <w:r>
        <w:rPr>
          <w:rFonts w:hint="eastAsia"/>
        </w:rPr>
        <w:t xml:space="preserve">制度风险占比</w:t>
      </w:r>
      <w:r>
        <w:t xml:space="preserve"> &amp; 7.89 &amp; 5.40 &amp; 5.53</w:t>
      </w:r>
      <w:r>
        <w:br/>
      </w:r>
      <w:r>
        <w:t xml:space="preserve">6 &amp; </w:t>
      </w:r>
      <w:r>
        <w:rPr>
          <w:rFonts w:hint="eastAsia"/>
        </w:rPr>
        <w:t xml:space="preserve">长期需求弹性</w:t>
      </w:r>
      <w:r>
        <w:t xml:space="preserve"> &amp; 6.20 &amp; 5.00 &amp; 1.80</w:t>
      </w:r>
      <w:r>
        <w:br/>
      </w:r>
      <w:r>
        <w:t xml:space="preserve">7 &amp; SPR </w:t>
      </w:r>
      <w:r>
        <w:rPr>
          <w:rFonts w:hint="eastAsia"/>
        </w:rPr>
        <w:t xml:space="preserve">释放上限</w:t>
      </w:r>
      <w:r>
        <w:t xml:space="preserve"> &amp; 5.04 &amp; 4.31 &amp; 1.08</w:t>
      </w:r>
      <w:r>
        <w:br/>
      </w:r>
      <w:r>
        <w:t xml:space="preserve">8 &amp; </w:t>
      </w:r>
      <w:r>
        <w:rPr>
          <w:rFonts w:hint="eastAsia"/>
        </w:rPr>
        <w:t xml:space="preserve">冲击不确定性占比</w:t>
      </w:r>
      <w:r>
        <w:t xml:space="preserve"> &amp; 3.01 &amp; 1.61 &amp; 3.11</w:t>
      </w:r>
      <w:r>
        <w:br/>
      </w:r>
      <w:r>
        <w:t xml:space="preserve">9 &amp; </w:t>
      </w:r>
      <w:r>
        <w:rPr>
          <w:rFonts w:hint="eastAsia"/>
        </w:rPr>
        <w:t xml:space="preserve">信心恢复后风险底座</w:t>
      </w:r>
      <w:r>
        <w:t xml:space="preserve"> &amp; 2.48 &amp; 2.44 &amp; 0.09</w:t>
      </w:r>
      <w:r>
        <w:br/>
      </w:r>
      <w:r>
        <w:t xml:space="preserve">10 &amp; </w:t>
      </w:r>
      <w:r>
        <w:rPr>
          <w:rFonts w:hint="eastAsia"/>
        </w:rPr>
        <w:t xml:space="preserve">绕道运输能力</w:t>
      </w:r>
      <w:r>
        <w:t xml:space="preserve"> &amp; 0.66 &amp; 0.00 &amp; 1.47</w:t>
      </w:r>
      <w:r>
        <w:br/>
      </w:r>
      <w:r>
        <w:t xml:space="preserve">11 &amp; </w:t>
      </w:r>
      <w:r>
        <w:rPr>
          <w:rFonts w:hint="eastAsia"/>
        </w:rPr>
        <w:t xml:space="preserve">恐慌衰减速度</w:t>
      </w:r>
      <w:r>
        <w:t xml:space="preserve"> &amp; 0.20 &amp; 0.01 &amp; 0.44</w:t>
      </w:r>
      <w:r>
        <w:br/>
      </w:r>
      <w:r>
        <w:t xml:space="preserve">12 &amp; </w:t>
      </w:r>
      <w:r>
        <w:rPr>
          <w:rFonts w:hint="eastAsia"/>
        </w:rPr>
        <w:t xml:space="preserve">预期修复强度</w:t>
      </w:r>
      <w:r>
        <w:t xml:space="preserve"> &amp; 0.13 &amp; 0.00 &amp; 0.30</w:t>
      </w:r>
      <w:r>
        <w:br/>
      </w:r>
      <w:r>
        <w:t xml:space="preserve">13 &amp; </w:t>
      </w:r>
      <w:r>
        <w:rPr>
          <w:rFonts w:hint="eastAsia"/>
        </w:rPr>
        <w:t xml:space="preserve">过剩供给回归强度</w:t>
      </w:r>
      <w:r>
        <w:t xml:space="preserve"> &amp; 0.10 &amp; 0.08 &amp; 0.05</w:t>
      </w:r>
      <w:r>
        <w:br/>
      </w:r>
      <w:r>
        <w:t xml:space="preserve">14 &amp; SPR </w:t>
      </w:r>
      <w:r>
        <w:rPr>
          <w:rFonts w:hint="eastAsia"/>
        </w:rPr>
        <w:t xml:space="preserve">启动延迟</w:t>
      </w:r>
      <w:r>
        <w:t xml:space="preserve"> &amp; 0.07 &amp; 0.00 &amp; 0.15</w:t>
      </w:r>
      <w:r>
        <w:br/>
      </w:r>
      <w:r>
        <w:t xml:space="preserve">15 &amp; </w:t>
      </w:r>
      <w:r>
        <w:rPr>
          <w:rFonts w:hint="eastAsia"/>
        </w:rPr>
        <w:t xml:space="preserve">绕道恢复耗时</w:t>
      </w:r>
      <w:r>
        <w:t xml:space="preserve"> &amp; 0.07 &amp; 0.00 &amp; 0.15</w:t>
      </w:r>
      <w:r>
        <w:br/>
      </w:r>
      <w:r>
        <w:t xml:space="preserve">16 &amp; SPR </w:t>
      </w:r>
      <w:r>
        <w:rPr>
          <w:rFonts w:hint="eastAsia"/>
        </w:rPr>
        <w:t xml:space="preserve">收缩起点</w:t>
      </w:r>
      <w:r>
        <w:t xml:space="preserve"> &amp; 0.03 &amp; 0.00 &amp; 0.07</w:t>
      </w:r>
      <w:r>
        <w:br/>
      </w:r>
    </w:p>
    <w:bookmarkStart w:id="70" w:name="fig:sensitivity-tornado"/>
    <w:p>
      <w:pPr>
        <w:pStyle w:val="CaptionedFigure"/>
      </w:pPr>
      <w:r>
        <w:drawing>
          <wp:inline>
            <wp:extent cx="4587240" cy="2803313"/>
            <wp:effectExtent b="0" l="0" r="0" t="0"/>
            <wp:docPr descr="" title="" id="68" name="Picture"/>
            <a:graphic>
              <a:graphicData uri="http://schemas.openxmlformats.org/drawingml/2006/picture">
                <pic:pic>
                  <pic:nvPicPr>
                    <pic:cNvPr descr="参数敏感性龙卷风图.png" id="69" name="Picture"/>
                    <pic:cNvPicPr>
                      <a:picLocks noChangeArrowheads="1" noChangeAspect="1"/>
                    </pic:cNvPicPr>
                  </pic:nvPicPr>
                  <pic:blipFill>
                    <a:blip r:embed="rId67"/>
                    <a:stretch>
                      <a:fillRect/>
                    </a:stretch>
                  </pic:blipFill>
                  <pic:spPr bwMode="auto">
                    <a:xfrm>
                      <a:off x="0" y="0"/>
                      <a:ext cx="4587240" cy="280331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bookmarkEnd w:id="70"/>
    <w:bookmarkStart w:id="74" w:name="fig:sensitivity-heatmap"/>
    <w:p>
      <w:pPr>
        <w:pStyle w:val="CaptionedFigure"/>
      </w:pPr>
      <w:r>
        <w:drawing>
          <wp:inline>
            <wp:extent cx="4587240" cy="2883137"/>
            <wp:effectExtent b="0" l="0" r="0" t="0"/>
            <wp:docPr descr="" title="" id="72" name="Picture"/>
            <a:graphic>
              <a:graphicData uri="http://schemas.openxmlformats.org/drawingml/2006/picture">
                <pic:pic>
                  <pic:nvPicPr>
                    <pic:cNvPr descr="长期敏感性扰动热力图.png" id="73" name="Picture"/>
                    <pic:cNvPicPr>
                      <a:picLocks noChangeArrowheads="1" noChangeAspect="1"/>
                    </pic:cNvPicPr>
                  </pic:nvPicPr>
                  <pic:blipFill>
                    <a:blip r:embed="rId71"/>
                    <a:stretch>
                      <a:fillRect/>
                    </a:stretch>
                  </pic:blipFill>
                  <pic:spPr bwMode="auto">
                    <a:xfrm>
                      <a:off x="0" y="0"/>
                      <a:ext cx="4587240" cy="2883137"/>
                    </a:xfrm>
                    <a:prstGeom prst="rect">
                      <a:avLst/>
                    </a:prstGeom>
                    <a:noFill/>
                    <a:ln w="9525">
                      <a:noFill/>
                      <a:headEnd/>
                      <a:tailEnd/>
                    </a:ln>
                  </pic:spPr>
                </pic:pic>
              </a:graphicData>
            </a:graphic>
          </wp:inline>
        </w:drawing>
      </w:r>
    </w:p>
    <w:p>
      <w:pPr>
        <w:pStyle w:val="ImageCaption"/>
      </w:pPr>
      <w:r>
        <w:rPr>
          <w:rFonts w:hint="eastAsia"/>
        </w:rPr>
        <w:t xml:space="preserve">长期敏感性扰动热力图</w:t>
      </w:r>
    </w:p>
    <w:bookmarkEnd w:id="74"/>
    <w:p>
      <w:pPr>
        <w:pStyle w:val="BodyText"/>
      </w:pPr>
      <w:r>
        <w:rPr>
          <w:rFonts w:hint="eastAsia"/>
        </w:rPr>
        <w:t xml:space="preserve">敏感性结果表明，第</w:t>
      </w:r>
      <w:r>
        <w:t xml:space="preserve"> 180 </w:t>
      </w:r>
      <w:r>
        <w:rPr>
          <w:rFonts w:hint="eastAsia"/>
        </w:rPr>
        <w:t xml:space="preserve">天价格对封锁风险衰减速度最敏感。当该速度从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天价格波动达到</w:t>
      </w:r>
      <w:r>
        <w:t xml:space="preserve"> 12.58 </w:t>
      </w:r>
      <w:r>
        <w:rPr>
          <w:rFonts w:hint="eastAsia"/>
        </w:rPr>
        <w:t xml:space="preserve">美元/桶。接入</w:t>
      </w:r>
      <w:r>
        <w:t xml:space="preserve"> SPR </w:t>
      </w:r>
      <w:r>
        <w:rPr>
          <w:rFonts w:hint="eastAsia"/>
        </w:rPr>
        <w:t xml:space="preserve">有限预算后，供应中断量和</w:t>
      </w:r>
      <w:r>
        <w:t xml:space="preserve"> SPR </w:t>
      </w:r>
      <w:r>
        <w:rPr>
          <w:rFonts w:hint="eastAsia"/>
        </w:rPr>
        <w:t xml:space="preserve">释放上限排序上升，说明长期结果同时受风险吸收、物理缺口和政策缓冲约束。</w:t>
      </w:r>
    </w:p>
    <w:p>
      <w:pPr>
        <w:pStyle w:val="BodyText"/>
      </w:pPr>
      <w:r>
        <w:rPr>
          <w:rFonts w:hint="eastAsia"/>
          <w:b/>
          <w:bCs/>
        </w:rPr>
        <w:t xml:space="preserve">结论</w:t>
      </w:r>
      <w:r>
        <w:rPr>
          <w:rFonts w:hint="eastAsia"/>
        </w:rPr>
        <w:t xml:space="preserve">长期结果主要受封锁风险衰减速度、地缘风险权重、供应中断量和制度风险强度影响，需与</w:t>
      </w:r>
      <w:r>
        <w:t xml:space="preserve"> SPR </w:t>
      </w:r>
      <w:r>
        <w:rPr>
          <w:rFonts w:hint="eastAsia"/>
        </w:rPr>
        <w:t xml:space="preserve">有限预算和尾部区间合读。</w:t>
      </w:r>
    </w:p>
    <w:bookmarkEnd w:id="75"/>
    <w:bookmarkStart w:id="79" w:name="sec:monte-carlo"/>
    <w:p>
      <w:pPr>
        <w:pStyle w:val="Heading2"/>
      </w:pPr>
      <w:r>
        <w:rPr>
          <w:rFonts w:hint="eastAsia"/>
        </w:rPr>
        <w:t xml:space="preserve">蒙特卡洛情景树与尾部风险</w:t>
      </w:r>
    </w:p>
    <w:p>
      <w:pPr>
        <w:pStyle w:val="FirstParagraph"/>
      </w:pPr>
      <w:r>
        <w:rPr>
          <w:rFonts w:hint="eastAsia"/>
        </w:rPr>
        <w:t xml:space="preserve">单因素敏感性只给出边际影响，长期风险则常由多因素共同恶化触发。本文在赛题边界和扰动范围内进行</w:t>
      </w:r>
      <w:r>
        <w:t xml:space="preserve"> 2000 </w:t>
      </w:r>
      <w:r>
        <w:rPr>
          <w:rFonts w:hint="eastAsia"/>
        </w:rPr>
        <w:t xml:space="preserve">次联合抽样。抽样使用压力指数</w:t>
      </w:r>
      <w:r>
        <w:t xml:space="preserve"> </w:t>
      </w:r>
      <m:oMath>
        <m:r>
          <m:t>z</m:t>
        </m:r>
        <m:r>
          <m:rPr>
            <m:sty m:val="p"/>
          </m:rPr>
          <m:t>∈</m:t>
        </m:r>
        <m:r>
          <m:rPr>
            <m:sty m:val="p"/>
          </m:rPr>
          <m:t>[</m:t>
        </m:r>
        <m:r>
          <m:t>0</m:t>
        </m:r>
        <m:r>
          <m:rPr>
            <m:sty m:val="p"/>
          </m:rPr>
          <m:t>,</m:t>
        </m:r>
        <m:r>
          <m:t>1</m:t>
        </m:r>
        <m:r>
          <m:rPr>
            <m:sty m:val="p"/>
          </m:rPr>
          <m:t>]</m:t>
        </m:r>
      </m:oMath>
      <w:r>
        <w:rPr>
          <w:rFonts w:hint="eastAsia"/>
        </w:rPr>
        <w:t xml:space="preserve">：</w:t>
      </w:r>
      <m:oMath>
        <m:r>
          <m:t>z</m:t>
        </m:r>
      </m:oMath>
      <w:r>
        <w:t xml:space="preserve"> </w:t>
      </w:r>
      <w:r>
        <w:rPr>
          <w:rFonts w:hint="eastAsia"/>
        </w:rPr>
        <w:t xml:space="preserve">越高，供应中断量、地缘风险权重和制度风险强度越高，SPR</w:t>
      </w:r>
      <w:r>
        <w:t xml:space="preserve"> </w:t>
      </w:r>
      <w:r>
        <w:rPr>
          <w:rFonts w:hint="eastAsia"/>
        </w:rPr>
        <w:t xml:space="preserve">可用释放量、绕道能力、需求调整速度和预期修复强度越低。每次抽样均调用同一套中长期油价调节模型。</w:t>
      </w:r>
    </w:p>
    <w:p>
      <w:pPr>
        <w:pStyle w:val="BodyText"/>
      </w:pPr>
      <w:r>
        <w:rPr>
          <w:rFonts w:hint="eastAsia"/>
        </w:rPr>
        <w:t xml:space="preserve">扰动尺度由</w:t>
      </w:r>
      <w:r>
        <w:t xml:space="preserve"> 2017–2025 </w:t>
      </w:r>
      <w:r>
        <w:rPr>
          <w:rFonts w:hint="eastAsia"/>
        </w:rPr>
        <w:t xml:space="preserve">年附件历史数据校准。共构造</w:t>
      </w:r>
      <w:r>
        <w:t xml:space="preserve"> 2146 </w:t>
      </w:r>
      <w:r>
        <w:rPr>
          <w:rFonts w:hint="eastAsia"/>
        </w:rPr>
        <w:t xml:space="preserve">个同长度窗口；2026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0.073，状态转移日度扰动波动率为</w:t>
      </w:r>
      <w:r>
        <w:t xml:space="preserve"> 0.0132。</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10.3%</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0.2%</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2.4%</w:t>
            </w:r>
          </w:p>
        </w:tc>
      </w:tr>
      <w:tr>
        <w:tc>
          <w:tcPr/>
          <w:p>
            <w:pPr>
              <w:pStyle w:val="Compact"/>
              <w:jc w:val="left"/>
            </w:pPr>
            <w:r>
              <w:rPr>
                <w:rFonts w:hint="eastAsia"/>
              </w:rPr>
              <w:t xml:space="preserve">二次跳涨风险为高概率</w:t>
            </w:r>
          </w:p>
        </w:tc>
        <w:tc>
          <w:tcPr/>
          <w:p>
            <w:pPr>
              <w:pStyle w:val="Compact"/>
              <w:jc w:val="right"/>
            </w:pPr>
            <w:r>
              <w:t xml:space="preserve">3.4%</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88.85</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95.84</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107.07</w:t>
            </w:r>
          </w:p>
        </w:tc>
      </w:tr>
      <w:tr>
        <w:tc>
          <w:tcPr/>
          <w:p>
            <w:pPr>
              <w:pStyle w:val="Compact"/>
              <w:jc w:val="left"/>
            </w:pPr>
            <w:r>
              <w:rPr>
                <w:rFonts w:hint="eastAsia"/>
              </w:rPr>
              <w:t xml:space="preserve">外推期最高价</w:t>
            </w:r>
            <w:r>
              <w:t xml:space="preserve"> P95</w:t>
            </w:r>
          </w:p>
        </w:tc>
        <w:tc>
          <w:tcPr/>
          <w:p>
            <w:pPr>
              <w:pStyle w:val="Compact"/>
              <w:jc w:val="right"/>
            </w:pPr>
            <w:r>
              <w:t xml:space="preserve">123.24</w:t>
            </w:r>
          </w:p>
        </w:tc>
      </w:tr>
    </w:tbl>
    <w:p>
      <w:pPr>
        <w:pStyle w:val="CaptionedFigure"/>
      </w:pPr>
      <w:r>
        <w:drawing>
          <wp:inline>
            <wp:extent cx="4693920" cy="2654527"/>
            <wp:effectExtent b="0" l="0" r="0" t="0"/>
            <wp:docPr descr="" title="" id="77" name="Picture"/>
            <a:graphic>
              <a:graphicData uri="http://schemas.openxmlformats.org/drawingml/2006/picture">
                <pic:pic>
                  <pic:nvPicPr>
                    <pic:cNvPr descr="蒙特卡洛尾部风险概率.png" id="78" name="Picture"/>
                    <pic:cNvPicPr>
                      <a:picLocks noChangeArrowheads="1" noChangeAspect="1"/>
                    </pic:cNvPicPr>
                  </pic:nvPicPr>
                  <pic:blipFill>
                    <a:blip r:embed="rId76"/>
                    <a:stretch>
                      <a:fillRect/>
                    </a:stretch>
                  </pic:blipFill>
                  <pic:spPr bwMode="auto">
                    <a:xfrm>
                      <a:off x="0" y="0"/>
                      <a:ext cx="4693920" cy="2654527"/>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蒙特卡洛路径第</w:t>
      </w:r>
      <w:r>
        <w:t xml:space="preserve"> 180 </w:t>
      </w:r>
      <w:r>
        <w:rPr>
          <w:rFonts w:hint="eastAsia"/>
        </w:rPr>
        <w:t xml:space="preserve">天中位数为</w:t>
      </w:r>
      <w:r>
        <w:t xml:space="preserve"> 95.84 </w:t>
      </w:r>
      <w:r>
        <w:rPr>
          <w:rFonts w:hint="eastAsia"/>
        </w:rPr>
        <w:t xml:space="preserve">美元/桶，与中性情景</w:t>
      </w:r>
      <w:r>
        <w:t xml:space="preserve"> 93.26 </w:t>
      </w:r>
      <w:r>
        <w:rPr>
          <w:rFonts w:hint="eastAsia"/>
        </w:rPr>
        <w:t xml:space="preserve">美元/桶处在同一数量级。外推期最高价突破</w:t>
      </w:r>
      <w:r>
        <w:t xml:space="preserve"> 120 </w:t>
      </w:r>
      <w:r>
        <w:rPr>
          <w:rFonts w:hint="eastAsia"/>
        </w:rPr>
        <w:t xml:space="preserve">美元/桶的概率为</w:t>
      </w:r>
      <w:r>
        <w:t xml:space="preserve"> </w:t>
      </w:r>
      <w:r>
        <w:rPr>
          <w:rFonts w:hint="eastAsia"/>
        </w:rPr>
        <w:t xml:space="preserve">10.3%，突破</w:t>
      </w:r>
      <w:r>
        <w:t xml:space="preserve"> 130 </w:t>
      </w:r>
      <w:r>
        <w:rPr>
          <w:rFonts w:hint="eastAsia"/>
        </w:rPr>
        <w:t xml:space="preserve">美元/桶的概率为</w:t>
      </w:r>
      <w:r>
        <w:t xml:space="preserve"> </w:t>
      </w:r>
      <w:r>
        <w:rPr>
          <w:rFonts w:hint="eastAsia"/>
        </w:rPr>
        <w:t xml:space="preserve">0.2%。因此，长期风险重点不在中性点预测，而在多因素联动恶化下的尾部组合。</w:t>
      </w:r>
    </w:p>
    <w:p>
      <w:pPr>
        <w:pStyle w:val="BodyText"/>
      </w:pPr>
      <w:r>
        <w:rPr>
          <w:rFonts w:hint="eastAsia"/>
        </w:rPr>
        <w:t xml:space="preserve">状态转移层令</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t xml:space="preserve"> </w:t>
      </w:r>
      <w:r>
        <w:rPr>
          <w:rFonts w:hint="eastAsia"/>
        </w:rPr>
        <w:t xml:space="preserve">在缓和、维持和升级之间切换，转移概率由剩余缺口、SPR</w:t>
      </w:r>
      <w:r>
        <w:t xml:space="preserve"> </w:t>
      </w:r>
      <w:r>
        <w:rPr>
          <w:rFonts w:hint="eastAsia"/>
        </w:rPr>
        <w:t xml:space="preserve">预算消耗、库存消耗、绕道瓶颈、高价压力、GPR</w:t>
      </w:r>
      <w:r>
        <w:t xml:space="preserve"> </w:t>
      </w:r>
      <w:r>
        <w:rPr>
          <w:rFonts w:hint="eastAsia"/>
        </w:rPr>
        <w:t xml:space="preserve">和</w:t>
      </w:r>
      <w:r>
        <w:t xml:space="preserve"> OVX </w:t>
      </w:r>
      <w:r>
        <w:rPr>
          <w:rFonts w:hint="eastAsia"/>
        </w:rPr>
        <w:t xml:space="preserve">在</w:t>
      </w:r>
      <w:r>
        <w:t xml:space="preserve"> logit </w:t>
      </w:r>
      <w:r>
        <w:rPr>
          <w:rFonts w:hint="eastAsia"/>
        </w:rPr>
        <w:t xml:space="preserve">空间修正。3000</w:t>
      </w:r>
      <w:r>
        <w:t xml:space="preserve"> </w:t>
      </w:r>
      <w:r>
        <w:rPr>
          <w:rFonts w:hint="eastAsia"/>
        </w:rPr>
        <w:t xml:space="preserve">条路径显示，第</w:t>
      </w:r>
      <w:r>
        <w:t xml:space="preserve"> 180 </w:t>
      </w:r>
      <w:r>
        <w:rPr>
          <w:rFonts w:hint="eastAsia"/>
        </w:rPr>
        <w:t xml:space="preserve">天价格中位数为</w:t>
      </w:r>
      <w:r>
        <w:t xml:space="preserve"> 95.90 </w:t>
      </w:r>
      <w:r>
        <w:rPr>
          <w:rFonts w:hint="eastAsia"/>
        </w:rPr>
        <w:t xml:space="preserve">美元/桶，5%–95%</w:t>
      </w:r>
      <w:r>
        <w:t xml:space="preserve"> </w:t>
      </w:r>
      <w:r>
        <w:rPr>
          <w:rFonts w:hint="eastAsia"/>
        </w:rPr>
        <w:t xml:space="preserve">区间为</w:t>
      </w:r>
      <w:r>
        <w:t xml:space="preserve"> 90.20–108.95 </w:t>
      </w:r>
      <w:r>
        <w:rPr>
          <w:rFonts w:hint="eastAsia"/>
        </w:rPr>
        <w:t xml:space="preserve">美元/桶；外推期最高价</w:t>
      </w:r>
      <w:r>
        <w:t xml:space="preserve"> P95 </w:t>
      </w:r>
      <w:r>
        <w:rPr>
          <w:rFonts w:hint="eastAsia"/>
        </w:rPr>
        <w:t xml:space="preserve">为</w:t>
      </w:r>
      <w:r>
        <w:t xml:space="preserve"> 129.10 </w:t>
      </w:r>
      <w:r>
        <w:rPr>
          <w:rFonts w:hint="eastAsia"/>
        </w:rPr>
        <w:t xml:space="preserve">美元/桶，突破</w:t>
      </w:r>
      <w:r>
        <w:t xml:space="preserve"> 120 </w:t>
      </w:r>
      <w:r>
        <w:rPr>
          <w:rFonts w:hint="eastAsia"/>
        </w:rPr>
        <w:t xml:space="preserve">美元/桶的条件概率为</w:t>
      </w:r>
      <w:r>
        <w:t xml:space="preserve"> 47.9%。</w:t>
      </w:r>
    </w:p>
    <w:bookmarkEnd w:id="79"/>
    <w:bookmarkStart w:id="80" w:name="外生风险变量与历史稳健性摘要"/>
    <w:p>
      <w:pPr>
        <w:pStyle w:val="Heading2"/>
      </w:pPr>
      <w:r>
        <w:rPr>
          <w:rFonts w:hint="eastAsia"/>
        </w:rPr>
        <w:t xml:space="preserve">外生风险变量与历史稳健性摘要</w:t>
      </w:r>
    </w:p>
    <w:p>
      <w:pPr>
        <w:pStyle w:val="FirstParagraph"/>
      </w:pPr>
      <w:r>
        <w:t xml:space="preserve">GPR </w:t>
      </w:r>
      <w:r>
        <w:rPr>
          <w:rFonts w:hint="eastAsia"/>
        </w:rPr>
        <w:t xml:space="preserve">和</w:t>
      </w:r>
      <w:r>
        <w:t xml:space="preserve"> OVX </w:t>
      </w:r>
      <w:r>
        <w:rPr>
          <w:rFonts w:hint="eastAsia"/>
        </w:rPr>
        <w:t xml:space="preserve">不替代附件真实价格，也不作为短期同日拟合变量。GPR</w:t>
      </w:r>
      <w:r>
        <w:t xml:space="preserve"> </w:t>
      </w:r>
      <w:r>
        <w:rPr>
          <w:rFonts w:hint="eastAsia"/>
        </w:rPr>
        <w:t xml:space="preserve">刻画地缘风险叙事，OVX</w:t>
      </w:r>
      <w:r>
        <w:t xml:space="preserve"> </w:t>
      </w:r>
      <w:r>
        <w:rPr>
          <w:rFonts w:hint="eastAsia"/>
        </w:rPr>
        <w:t xml:space="preserve">反映期权市场对未来波动的定价；二者用于约束长期状态压力和尾部风险。</w:t>
      </w:r>
    </w:p>
    <w:p>
      <w:pPr>
        <w:pStyle w:val="TableCaption"/>
      </w:pPr>
      <w:r>
        <w:rPr>
          <w:rFonts w:hint="eastAsia"/>
        </w:rPr>
        <w:t xml:space="preserve">外生风险变量与历史稳健性摘要</w:t>
      </w:r>
    </w:p>
    <w:tbl>
      <w:tblPr>
        <w:tblStyle w:val="Table"/>
        <w:tblW w:type="pct" w:w="2400"/>
        <w:tblLayout w:type="fixed"/>
        <w:tblLook w:firstRow="1" w:lastRow="0" w:firstColumn="0" w:lastColumn="0" w:noHBand="0" w:noVBand="0" w:val="0020"/>
        <w:tblCaption w:val="外生风险变量与历史稳健性摘要"/>
      </w:tblPr>
      <w:tblGrid>
        <w:gridCol w:w="1584"/>
        <w:gridCol w:w="2217"/>
        <w:gridCol w:w="0"/>
      </w:tblGrid>
      <w:tr>
        <w:trPr>
          <w:tblHeader w:val="on"/>
        </w:trPr>
        <w:tc>
          <w:tcPr/>
          <w:p>
            <w:pPr>
              <w:pStyle w:val="Compact"/>
              <w:jc w:val="left"/>
            </w:pPr>
            <w:r>
              <w:rPr>
                <w:rFonts w:hint="eastAsia"/>
              </w:rPr>
              <w:t xml:space="preserve">证据来源</w:t>
            </w:r>
          </w:p>
        </w:tc>
        <w:tc>
          <w:tcPr/>
          <w:p>
            <w:pPr>
              <w:pStyle w:val="Compact"/>
              <w:jc w:val="left"/>
            </w:pPr>
            <w:r>
              <w:rPr>
                <w:rFonts w:hint="eastAsia"/>
              </w:rPr>
              <w:t xml:space="preserve">关键结果</w:t>
            </w:r>
          </w:p>
        </w:tc>
        <w:tc>
          <w:tcPr/>
          <w:p>
            <w:pPr>
              <w:pStyle w:val="Compact"/>
              <w:jc w:val="left"/>
            </w:pPr>
            <w:r>
              <w:rPr>
                <w:rFonts w:hint="eastAsia"/>
              </w:rPr>
              <w:t xml:space="preserve">模型含义</w:t>
            </w:r>
          </w:p>
        </w:tc>
      </w:tr>
      <w:tr>
        <w:tc>
          <w:tcPr/>
          <w:p>
            <w:pPr>
              <w:pStyle w:val="Compact"/>
              <w:jc w:val="left"/>
            </w:pPr>
            <w:r>
              <w:t xml:space="preserve">GPR </w:t>
            </w:r>
            <w:r>
              <w:rPr>
                <w:rFonts w:hint="eastAsia"/>
              </w:rPr>
              <w:t xml:space="preserve">月度指数</w:t>
            </w:r>
          </w:p>
        </w:tc>
        <w:tc>
          <w:tcPr/>
          <w:p>
            <w:pPr>
              <w:pStyle w:val="Compact"/>
              <w:jc w:val="left"/>
            </w:pPr>
            <w:r>
              <w:t xml:space="preserve">2026 </w:t>
            </w:r>
            <w:r>
              <w:rPr>
                <w:rFonts w:hint="eastAsia"/>
              </w:rPr>
              <w:t xml:space="preserve">年</w:t>
            </w:r>
            <w:r>
              <w:t xml:space="preserve"> 3 </w:t>
            </w:r>
            <w:r>
              <w:rPr>
                <w:rFonts w:hint="eastAsia"/>
              </w:rPr>
              <w:t xml:space="preserve">月历史分位数</w:t>
            </w:r>
            <w:r>
              <w:t xml:space="preserve"> </w:t>
            </w:r>
            <w:r>
              <w:rPr>
                <w:rFonts w:hint="eastAsia"/>
              </w:rPr>
              <w:t xml:space="preserve">98.98%，4</w:t>
            </w:r>
            <w:r>
              <w:t xml:space="preserve"> </w:t>
            </w:r>
            <w:r>
              <w:rPr>
                <w:rFonts w:hint="eastAsia"/>
              </w:rPr>
              <w:t xml:space="preserve">月历史分位数</w:t>
            </w:r>
            <w:r>
              <w:t xml:space="preserve"> </w:t>
            </w:r>
            <w:r>
              <w:rPr>
                <w:rFonts w:hint="eastAsia"/>
              </w:rPr>
              <w:t xml:space="preserve">97.76%；滞后</w:t>
            </w:r>
            <w:r>
              <w:t xml:space="preserve"> 1 </w:t>
            </w:r>
            <w:r>
              <w:rPr>
                <w:rFonts w:hint="eastAsia"/>
              </w:rPr>
              <w:t xml:space="preserve">月</w:t>
            </w:r>
            <w:r>
              <w:t xml:space="preserve"> GPR </w:t>
            </w:r>
            <w:r>
              <w:rPr>
                <w:rFonts w:hint="eastAsia"/>
              </w:rPr>
              <w:t xml:space="preserve">与本月收益相关系数仅</w:t>
            </w:r>
            <w:r>
              <w:t xml:space="preserve"> 0.030</w:t>
            </w:r>
          </w:p>
        </w:tc>
        <w:tc>
          <w:tcPr/>
          <w:p>
            <w:pPr>
              <w:pStyle w:val="Compact"/>
              <w:jc w:val="left"/>
            </w:pPr>
            <w:r>
              <w:rPr>
                <w:rFonts w:hint="eastAsia"/>
              </w:rPr>
              <w:t xml:space="preserve">地缘风险处于罕见高位，但不应包装成强短期收益预测器；适合进入长期风险压力约束。</w:t>
            </w:r>
          </w:p>
        </w:tc>
      </w:tr>
      <w:tr>
        <w:tc>
          <w:tcPr/>
          <w:p>
            <w:pPr>
              <w:pStyle w:val="Compact"/>
              <w:jc w:val="left"/>
            </w:pPr>
            <w:r>
              <w:t xml:space="preserve">OVX </w:t>
            </w:r>
            <w:r>
              <w:rPr>
                <w:rFonts w:hint="eastAsia"/>
              </w:rPr>
              <w:t xml:space="preserve">隐含波动率</w:t>
            </w:r>
          </w:p>
        </w:tc>
        <w:tc>
          <w:tcPr/>
          <w:p>
            <w:pPr>
              <w:pStyle w:val="Compact"/>
              <w:jc w:val="left"/>
            </w:pPr>
            <w:r>
              <w:rPr>
                <w:rFonts w:hint="eastAsia"/>
              </w:rPr>
              <w:t xml:space="preserve">冲突窗口均值</w:t>
            </w:r>
            <w:r>
              <w:t xml:space="preserve"> </w:t>
            </w:r>
            <w:r>
              <w:rPr>
                <w:rFonts w:hint="eastAsia"/>
              </w:rPr>
              <w:t xml:space="preserve">87.07，最大值</w:t>
            </w:r>
            <w:r>
              <w:t xml:space="preserve"> </w:t>
            </w:r>
            <w:r>
              <w:rPr>
                <w:rFonts w:hint="eastAsia"/>
              </w:rPr>
              <w:t xml:space="preserve">120.91，均值历史分位</w:t>
            </w:r>
            <w:r>
              <w:t xml:space="preserve"> </w:t>
            </w:r>
            <w:r>
              <w:rPr>
                <w:rFonts w:hint="eastAsia"/>
              </w:rPr>
              <w:t xml:space="preserve">97.3%；滞后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r>
              <w:t xml:space="preserve"> 0.790</w:t>
            </w:r>
          </w:p>
        </w:tc>
        <w:tc>
          <w:tcPr/>
          <w:p>
            <w:pPr>
              <w:pStyle w:val="Compact"/>
              <w:jc w:val="left"/>
            </w:pPr>
            <w:r>
              <w:rPr>
                <w:rFonts w:hint="eastAsia"/>
              </w:rPr>
              <w:t xml:space="preserve">期权市场确认冲突窗口的高波动风险；适合约束长期波动和尾部概率，而不直接预测方向。</w:t>
            </w:r>
          </w:p>
        </w:tc>
      </w:tr>
      <w:tr>
        <w:tc>
          <w:tcPr/>
          <w:p>
            <w:pPr>
              <w:pStyle w:val="Compact"/>
              <w:jc w:val="left"/>
            </w:pPr>
            <w:r>
              <w:rPr>
                <w:rFonts w:hint="eastAsia"/>
              </w:rPr>
              <w:t xml:space="preserve">历史同长度窗口</w:t>
            </w:r>
          </w:p>
        </w:tc>
        <w:tc>
          <w:tcPr/>
          <w:p>
            <w:pPr>
              <w:pStyle w:val="Compact"/>
              <w:jc w:val="left"/>
            </w:pPr>
            <w:r>
              <w:t xml:space="preserve">2026 </w:t>
            </w:r>
            <w:r>
              <w:rPr>
                <w:rFonts w:hint="eastAsia"/>
              </w:rPr>
              <w:t xml:space="preserve">冲突窗口累计收益率历史分位</w:t>
            </w:r>
            <w:r>
              <w:t xml:space="preserve"> </w:t>
            </w:r>
            <w:r>
              <w:rPr>
                <w:rFonts w:hint="eastAsia"/>
              </w:rPr>
              <w:t xml:space="preserve">99.3%，实现波动率</w:t>
            </w:r>
            <w:r>
              <w:t xml:space="preserve"> </w:t>
            </w:r>
            <w:r>
              <w:rPr>
                <w:rFonts w:hint="eastAsia"/>
              </w:rPr>
              <w:t xml:space="preserve">95.7%，朴素基准</w:t>
            </w:r>
            <w:r>
              <w:t xml:space="preserve"> RMSE 98.5%</w:t>
            </w:r>
          </w:p>
        </w:tc>
        <w:tc>
          <w:tcPr/>
          <w:p>
            <w:pPr>
              <w:pStyle w:val="Compact"/>
              <w:jc w:val="left"/>
            </w:pPr>
            <w:r>
              <w:rPr>
                <w:rFonts w:hint="eastAsia"/>
              </w:rPr>
              <w:t xml:space="preserve">说明该窗口确实是高涨幅、高波动、高预测难度样本；历史数据用于背景分布和扰动尺度校准。</w:t>
            </w:r>
          </w:p>
        </w:tc>
      </w:tr>
    </w:tbl>
    <w:p>
      <w:pPr>
        <w:pStyle w:val="BodyText"/>
      </w:pPr>
      <w:r>
        <w:rPr>
          <w:rFonts w:hint="eastAsia"/>
        </w:rPr>
        <w:t xml:space="preserve">上述结果给出三点判断：外生变量支持</w:t>
      </w:r>
      <w:r>
        <w:rPr>
          <w:rFonts w:hint="eastAsia"/>
        </w:rPr>
        <w:t xml:space="preserve">“冲突窗口风险读数异常高”</w:t>
      </w:r>
      <w:r>
        <w:rPr>
          <w:rFonts w:hint="eastAsia"/>
        </w:rPr>
        <w:t xml:space="preserve">的前提；GPR</w:t>
      </w:r>
      <w:r>
        <w:t xml:space="preserve"> </w:t>
      </w:r>
      <w:r>
        <w:rPr>
          <w:rFonts w:hint="eastAsia"/>
        </w:rPr>
        <w:t xml:space="preserve">和</w:t>
      </w:r>
      <w:r>
        <w:t xml:space="preserve"> OVX </w:t>
      </w:r>
      <w:r>
        <w:rPr>
          <w:rFonts w:hint="eastAsia"/>
        </w:rPr>
        <w:t xml:space="preserve">对方向收益的直接解释力有限，不宜作为短期点预测变量；完整历史数据用于校准波动尺度、基准难度和极端性位置，不替代霍尔木兹封锁机制。</w:t>
      </w:r>
    </w:p>
    <w:bookmarkEnd w:id="80"/>
    <w:bookmarkEnd w:id="81"/>
    <w:bookmarkStart w:id="82"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本文围绕霍尔木兹海峡封锁对国际原油价格的影响，建立短期冲击模型（0–60</w:t>
      </w:r>
      <w:r>
        <w:t xml:space="preserve"> </w:t>
      </w:r>
      <w:r>
        <w:rPr>
          <w:rFonts w:hint="eastAsia"/>
        </w:rPr>
        <w:t xml:space="preserve">天）和中长期油价调节模型（60–180</w:t>
      </w:r>
      <w:r>
        <w:t xml:space="preserve"> </w:t>
      </w:r>
      <w:r>
        <w:rPr>
          <w:rFonts w:hint="eastAsia"/>
        </w:rPr>
        <w:t xml:space="preserve">天）。主要结论如下。</w:t>
      </w:r>
    </w:p>
    <w:p>
      <w:pPr>
        <w:pStyle w:val="BodyText"/>
      </w:pPr>
      <w:r>
        <w:rPr>
          <w:rFonts w:hint="eastAsia"/>
        </w:rPr>
        <w:t xml:space="preserve">在赛题低短期弹性设定下，静态反事实基准给出</w:t>
      </w:r>
      <w:r>
        <w:t xml:space="preserve"> 278–337 </w:t>
      </w:r>
      <w:r>
        <w:rPr>
          <w:rFonts w:hint="eastAsia"/>
        </w:rPr>
        <w:t xml:space="preserve">美元/桶的压力上界；该数值刻画低弹性框架下的边际压力，不代表现实价格必然到达。加入</w:t>
      </w:r>
      <w:r>
        <w:t xml:space="preserve"> </w:t>
      </w:r>
      <w:r>
        <w:rPr>
          <w:rFonts w:hint="eastAsia"/>
        </w:rPr>
        <w:t xml:space="preserve">SPR、商业库存、绕道运输、需求收缩、恐慌衰减、地缘风险溢价和预期修复后，短期冲击模型在冲突窗口内取得</w:t>
      </w:r>
      <w:r>
        <w:t xml:space="preserve"> RMSE 3.38 </w:t>
      </w:r>
      <w:r>
        <w:rPr>
          <w:rFonts w:hint="eastAsia"/>
        </w:rPr>
        <w:t xml:space="preserve">美元/桶、MAE</w:t>
      </w:r>
      <w:r>
        <w:t xml:space="preserve"> 2.76 </w:t>
      </w:r>
      <w:r>
        <w:rPr>
          <w:rFonts w:hint="eastAsia"/>
        </w:rPr>
        <w:t xml:space="preserve">美元/桶，并优于朴素上一日基准和滚动</w:t>
      </w:r>
      <w:r>
        <w:t xml:space="preserve"> ARIMA </w:t>
      </w:r>
      <w:r>
        <w:rPr>
          <w:rFonts w:hint="eastAsia"/>
        </w:rPr>
        <w:t xml:space="preserve">基准。DM</w:t>
      </w:r>
      <w:r>
        <w:t xml:space="preserve"> </w:t>
      </w:r>
      <w:r>
        <w:rPr>
          <w:rFonts w:hint="eastAsia"/>
        </w:rPr>
        <w:t xml:space="preserve">检验、滞后平移、机制消融和参数扰动表明，短期平台并非简单复制昨日价格，而是物理缺口、政策缓冲和市场预期共同再定价的结果。</w:t>
      </w:r>
    </w:p>
    <w:p>
      <w:pPr>
        <w:pStyle w:val="BodyText"/>
      </w:pPr>
      <w:r>
        <w:rPr>
          <w:rFonts w:hint="eastAsia"/>
        </w:rPr>
        <w:t xml:space="preserve">中长期油价调节模型显示，中性情景第</w:t>
      </w:r>
      <w:r>
        <w:t xml:space="preserve"> 180 </w:t>
      </w:r>
      <w:r>
        <w:rPr>
          <w:rFonts w:hint="eastAsia"/>
        </w:rPr>
        <w:t xml:space="preserve">天价格约为</w:t>
      </w:r>
      <w:r>
        <w:t xml:space="preserve"> 93.26 </w:t>
      </w:r>
      <w:r>
        <w:rPr>
          <w:rFonts w:hint="eastAsia"/>
        </w:rPr>
        <w:t xml:space="preserve">美元/桶；悲观情景在供应中断偏大、SPR</w:t>
      </w:r>
      <w:r>
        <w:t xml:space="preserve"> </w:t>
      </w:r>
      <w:r>
        <w:rPr>
          <w:rFonts w:hint="eastAsia"/>
        </w:rPr>
        <w:t xml:space="preserve">等效预算耗尽、绕道恢复缓慢和制度风险溢价持续时，第</w:t>
      </w:r>
      <w:r>
        <w:t xml:space="preserve"> 180 </w:t>
      </w:r>
      <w:r>
        <w:rPr>
          <w:rFonts w:hint="eastAsia"/>
        </w:rPr>
        <w:t xml:space="preserve">天价格约为</w:t>
      </w:r>
      <w:r>
        <w:t xml:space="preserve"> 111.71 </w:t>
      </w:r>
      <w:r>
        <w:rPr>
          <w:rFonts w:hint="eastAsia"/>
        </w:rPr>
        <w:t xml:space="preserve">美元/桶，并保留二次跳涨风险。敏感性分析表明，封锁风险衰减速度、地缘风险权重、供应中断量和制度风险强度是长期结果的主要驱动因素。蒙特卡洛情景树给出第</w:t>
      </w:r>
      <w:r>
        <w:t xml:space="preserve"> 180 </w:t>
      </w:r>
      <w:r>
        <w:rPr>
          <w:rFonts w:hint="eastAsia"/>
        </w:rPr>
        <w:t xml:space="preserve">天价格</w:t>
      </w:r>
      <w:r>
        <w:t xml:space="preserve"> 5%–95% </w:t>
      </w:r>
      <w:r>
        <w:rPr>
          <w:rFonts w:hint="eastAsia"/>
        </w:rPr>
        <w:t xml:space="preserve">区间</w:t>
      </w:r>
      <w:r>
        <w:t xml:space="preserve"> 88.85–107.07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10.3%；状态转移情景树给出第</w:t>
      </w:r>
      <w:r>
        <w:t xml:space="preserve"> 180 </w:t>
      </w:r>
      <w:r>
        <w:rPr>
          <w:rFonts w:hint="eastAsia"/>
        </w:rPr>
        <w:t xml:space="preserve">天价格</w:t>
      </w:r>
      <w:r>
        <w:t xml:space="preserve"> 5%–95% </w:t>
      </w:r>
      <w:r>
        <w:rPr>
          <w:rFonts w:hint="eastAsia"/>
        </w:rPr>
        <w:t xml:space="preserve">区间</w:t>
      </w:r>
      <w:r>
        <w:t xml:space="preserve"> 90.20–108.95 </w:t>
      </w:r>
      <w:r>
        <w:rPr>
          <w:rFonts w:hint="eastAsia"/>
        </w:rPr>
        <w:t xml:space="preserve">美元/桶、外推期最高价</w:t>
      </w:r>
      <w:r>
        <w:t xml:space="preserve"> P95 </w:t>
      </w:r>
      <w:r>
        <w:rPr>
          <w:rFonts w:hint="eastAsia"/>
        </w:rPr>
        <w:t xml:space="preserve">约</w:t>
      </w:r>
      <w:r>
        <w:t xml:space="preserve"> 129.10 </w:t>
      </w:r>
      <w:r>
        <w:rPr>
          <w:rFonts w:hint="eastAsia"/>
        </w:rPr>
        <w:t xml:space="preserve">美元/桶，突破</w:t>
      </w:r>
      <w:r>
        <w:t xml:space="preserve"> 120 </w:t>
      </w:r>
      <w:r>
        <w:rPr>
          <w:rFonts w:hint="eastAsia"/>
        </w:rPr>
        <w:t xml:space="preserve">美元/桶的条件概率约为</w:t>
      </w:r>
      <w:r>
        <w:t xml:space="preserve"> </w:t>
      </w:r>
      <w:r>
        <w:rPr>
          <w:rFonts w:hint="eastAsia"/>
        </w:rPr>
        <w:t xml:space="preserve">47.9%，说明长期结论应重点关注尾部区间和状态切换风险，而不是单一均值线。</w:t>
      </w:r>
    </w:p>
    <w:p>
      <w:pPr>
        <w:pStyle w:val="BodyText"/>
      </w:pPr>
      <w:r>
        <w:rPr>
          <w:rFonts w:hint="eastAsia"/>
        </w:rPr>
        <w:t xml:space="preserve">外部风险变量用于约束风险环境而非替代附件价格：GPR</w:t>
      </w:r>
      <w:r>
        <w:t xml:space="preserve"> </w:t>
      </w:r>
      <w:r>
        <w:rPr>
          <w:rFonts w:hint="eastAsia"/>
        </w:rPr>
        <w:t xml:space="preserve">显示</w:t>
      </w:r>
      <w:r>
        <w:t xml:space="preserve"> 2026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显示冲突窗口隐含波动率均值处于同长度历史窗口约</w:t>
      </w:r>
      <w:r>
        <w:t xml:space="preserve"> 97.3% </w:t>
      </w:r>
      <w:r>
        <w:rPr>
          <w:rFonts w:hint="eastAsia"/>
        </w:rPr>
        <w:t xml:space="preserve">分位；2017–2026</w:t>
      </w:r>
      <w:r>
        <w:t xml:space="preserve"> </w:t>
      </w:r>
      <w:r>
        <w:rPr>
          <w:rFonts w:hint="eastAsia"/>
        </w:rPr>
        <w:t xml:space="preserve">年同长度窗口也表明，本题冲突窗口在累计收益率、波动率和朴素基准误差上均具有显著特殊性。模型适用于霍尔木兹封锁条件路径分析，不宜解释为跨年份通用短线交易器；EIA、JODI、OPEC、GPR</w:t>
      </w:r>
      <w:r>
        <w:t xml:space="preserve"> </w:t>
      </w:r>
      <w:r>
        <w:rPr>
          <w:rFonts w:hint="eastAsia"/>
        </w:rPr>
        <w:t xml:space="preserve">和</w:t>
      </w:r>
      <w:r>
        <w:t xml:space="preserve"> OVX </w:t>
      </w:r>
      <w:r>
        <w:rPr>
          <w:rFonts w:hint="eastAsia"/>
        </w:rPr>
        <w:t xml:space="preserve">只承担数量级校验和长期风险约束。后续若能取得</w:t>
      </w:r>
      <w:r>
        <w:t xml:space="preserve"> IEA </w:t>
      </w:r>
      <w:r>
        <w:rPr>
          <w:rFonts w:hint="eastAsia"/>
        </w:rPr>
        <w:t xml:space="preserve">MODS、油轮保险费、BDTI/TD3C</w:t>
      </w:r>
      <w:r>
        <w:t xml:space="preserve"> </w:t>
      </w:r>
      <w:r>
        <w:rPr>
          <w:rFonts w:hint="eastAsia"/>
        </w:rPr>
        <w:t xml:space="preserve">和期货期限结构等授权数据，可进一步细化库存消耗、运输风险和时变状态转移概率。</w:t>
      </w:r>
    </w:p>
    <w:bookmarkEnd w:id="82"/>
    <w:bookmarkStart w:id="92"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83">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84">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85">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86">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87">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88">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89">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90">
        <w:r>
          <w:rPr>
            <w:rStyle w:val="Hyperlink"/>
          </w:rPr>
          <w:t xml:space="preserve">FRED data page</w:t>
        </w:r>
      </w:hyperlink>
      <w:r>
        <w:t xml:space="preserve">.</w:t>
      </w:r>
    </w:p>
    <w:p>
      <w:pPr>
        <w:pStyle w:val="BodyText"/>
      </w:pPr>
      <w:r>
        <w:t xml:space="preserve">Intercontinental Exchange. ICE Report Center, End of Day and futures settlement reports.</w:t>
      </w:r>
      <w:r>
        <w:t xml:space="preserve"> </w:t>
      </w:r>
      <w:hyperlink r:id="rId91">
        <w:r>
          <w:rPr>
            <w:rStyle w:val="Hyperlink"/>
          </w:rPr>
          <w:t xml:space="preserve">ICE report center</w:t>
        </w:r>
      </w:hyperlink>
      <w:r>
        <w:t xml:space="preserve">.</w:t>
      </w:r>
    </w:p>
    <w:bookmarkEnd w:id="92"/>
    <w:bookmarkStart w:id="147" w:name="附录"/>
    <w:p>
      <w:pPr>
        <w:pStyle w:val="Heading1"/>
      </w:pPr>
      <w:r>
        <w:rPr>
          <w:rFonts w:hint="eastAsia"/>
        </w:rPr>
        <w:t xml:space="preserve">附录</w:t>
      </w:r>
    </w:p>
    <w:p>
      <w:pPr>
        <w:pStyle w:val="FirstParagraph"/>
      </w:pPr>
      <w:r>
        <w:rPr>
          <w:rFonts w:hint="eastAsia"/>
          <w:b/>
          <w:bCs/>
        </w:rPr>
        <w:t xml:space="preserve">结论</w:t>
      </w:r>
      <w:r>
        <w:rPr>
          <w:rFonts w:hint="eastAsia"/>
        </w:rPr>
        <w:t xml:space="preserve">附录保留核心模型实现、关键检验代码和正文未展开的补充证据。</w:t>
      </w:r>
    </w:p>
    <w:bookmarkStart w:id="93" w:name="a-项目材料说明"/>
    <w:p>
      <w:pPr>
        <w:pStyle w:val="Heading2"/>
      </w:pPr>
      <w:r>
        <w:t xml:space="preserve">A </w:t>
      </w:r>
      <w:r>
        <w:rPr>
          <w:rFonts w:hint="eastAsia"/>
        </w:rPr>
        <w:t xml:space="preserve">项目材料说明</w:t>
      </w:r>
    </w:p>
    <w:p>
      <w:pPr>
        <w:pStyle w:val="FirstParagraph"/>
      </w:pPr>
      <w:r>
        <w:rPr>
          <w:rFonts w:hint="eastAsia"/>
        </w:rPr>
        <w:t xml:space="preserve">本文的建模、校验、绘图和论文生成均保存在同一项目目录中。附录只列出与论文结果直接相关的核心目录和关键代码，项目核心结构如下。</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src/</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传统供需基准与短期冲击模型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天长期三情景预测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              </w:t>
      </w:r>
      <w:r>
        <w:rPr>
          <w:rStyle w:val="VerbatimChar"/>
          <w:rFonts w:hint="eastAsia"/>
        </w:rPr>
        <w:t xml:space="preserve">一键构建、R</w:t>
      </w:r>
      <w:r>
        <w:rPr>
          <w:rStyle w:val="VerbatimChar"/>
        </w:rPr>
        <w:t xml:space="preserve"> </w:t>
      </w:r>
      <w:r>
        <w:rPr>
          <w:rStyle w:val="VerbatimChar"/>
          <w:rFonts w:hint="eastAsia"/>
        </w:rPr>
        <w:t xml:space="preserve">审计与</w:t>
      </w:r>
      <w:r>
        <w:rPr>
          <w:rStyle w:val="VerbatimChar"/>
        </w:rPr>
        <w:t xml:space="preserve"> DOCX </w:t>
      </w:r>
      <w:r>
        <w:rPr>
          <w:rStyle w:val="VerbatimChar"/>
          <w:rFonts w:hint="eastAsia"/>
        </w:rPr>
        <w:t xml:space="preserve">后处理脚本</w:t>
      </w:r>
      <w:r>
        <w:br/>
      </w:r>
      <w:r>
        <w:rPr>
          <w:rStyle w:val="VerbatimChar"/>
        </w:rPr>
        <w:t xml:space="preserve">|-- paper/                </w:t>
      </w:r>
      <w:r>
        <w:rPr>
          <w:rStyle w:val="VerbatimChar"/>
          <w:rFonts w:hint="eastAsia"/>
        </w:rPr>
        <w:t xml:space="preserve">总论文</w:t>
      </w:r>
      <w:r>
        <w:rPr>
          <w:rStyle w:val="VerbatimChar"/>
        </w:rPr>
        <w:t xml:space="preserve"> LaTeX </w:t>
      </w:r>
      <w:r>
        <w:rPr>
          <w:rStyle w:val="VerbatimChar"/>
          <w:rFonts w:hint="eastAsia"/>
        </w:rPr>
        <w:t xml:space="preserve">源码、章节和正式图表</w:t>
      </w:r>
      <w:r>
        <w:br/>
      </w:r>
      <w:r>
        <w:rPr>
          <w:rStyle w:val="VerbatimChar"/>
        </w:rPr>
        <w:t xml:space="preserve">|-- output/               </w:t>
      </w:r>
      <w:r>
        <w:rPr>
          <w:rStyle w:val="VerbatimChar"/>
          <w:rFonts w:hint="eastAsia"/>
        </w:rPr>
        <w:t xml:space="preserve">模型结果、校验报告和最终</w:t>
      </w:r>
      <w:r>
        <w:rPr>
          <w:rStyle w:val="VerbatimChar"/>
        </w:rPr>
        <w:t xml:space="preserve"> PDF/DOCX</w:t>
      </w:r>
    </w:p>
    <w:bookmarkEnd w:id="93"/>
    <w:bookmarkStart w:id="94" w:name="b-数据口径"/>
    <w:p>
      <w:pPr>
        <w:pStyle w:val="Heading2"/>
      </w:pPr>
      <w:r>
        <w:t xml:space="preserve">B </w:t>
      </w:r>
      <w:r>
        <w:rPr>
          <w:rFonts w:hint="eastAsia"/>
        </w:rPr>
        <w:t xml:space="preserve">数据口径</w:t>
      </w:r>
    </w:p>
    <w:p>
      <w:pPr>
        <w:pStyle w:val="FirstParagraph"/>
      </w:pPr>
      <w:r>
        <w:rPr>
          <w:rFonts w:hint="eastAsia"/>
        </w:rPr>
        <w:t xml:space="preserve">真实价格数据仅来自赛题附件，并经清洗后形成中文命名数据文件。短期拟合使用附件中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94"/>
    <w:bookmarkStart w:id="113" w:name="c-短期冲击模型补充检验"/>
    <w:p>
      <w:pPr>
        <w:pStyle w:val="Heading2"/>
      </w:pPr>
      <w:r>
        <w:t xml:space="preserve">C </w:t>
      </w:r>
      <w:r>
        <w:rPr>
          <w:rFonts w:hint="eastAsia"/>
        </w:rPr>
        <w:t xml:space="preserve">短期冲击模型补充检验</w:t>
      </w:r>
    </w:p>
    <w:p>
      <w:pPr>
        <w:pStyle w:val="FirstParagraph"/>
      </w:pPr>
      <w:r>
        <w:rPr>
          <w:rFonts w:hint="eastAsia"/>
        </w:rPr>
        <w:t xml:space="preserve">正文第七章保留校准、基准对比和鲁棒性摘要。附录补充给出短期模型的机制贡献、参数剖面、事件窗口、滞后平移、残差分布和局部扰动稳健性图。</w:t>
      </w:r>
    </w:p>
    <w:p>
      <w:pPr>
        <w:pStyle w:val="BodyText"/>
      </w:pPr>
      <w:r>
        <w:rPr>
          <w:rFonts w:hint="eastAsia"/>
          <w:b/>
          <w:bCs/>
        </w:rPr>
        <w:t xml:space="preserve">机制贡献分解。</w:t>
      </w:r>
      <w:r>
        <w:rPr>
          <w:rFonts w:hint="eastAsia"/>
        </w:rPr>
        <w:t xml:space="preserve">短期价格平台不是由单一变量决定，而是物理缺口、风险溢价、政策缓冲和预期修复共同作用。该图用于说明各机制在不同日期上的方向和相对强度。</w:t>
      </w:r>
    </w:p>
    <w:p>
      <w:pPr>
        <w:pStyle w:val="BodyText"/>
      </w:pPr>
      <w:r>
        <w:drawing>
          <wp:inline>
            <wp:extent cx="5120640" cy="2886178"/>
            <wp:effectExtent b="0" l="0" r="0" t="0"/>
            <wp:docPr descr="image" title="" id="96" name="Picture"/>
            <a:graphic>
              <a:graphicData uri="http://schemas.openxmlformats.org/drawingml/2006/picture">
                <pic:pic>
                  <pic:nvPicPr>
                    <pic:cNvPr descr="短期模型机制贡献.png" id="97" name="Picture"/>
                    <pic:cNvPicPr>
                      <a:picLocks noChangeArrowheads="1" noChangeAspect="1"/>
                    </pic:cNvPicPr>
                  </pic:nvPicPr>
                  <pic:blipFill>
                    <a:blip r:embed="rId95"/>
                    <a:stretch>
                      <a:fillRect/>
                    </a:stretch>
                  </pic:blipFill>
                  <pic:spPr bwMode="auto">
                    <a:xfrm>
                      <a:off x="0" y="0"/>
                      <a:ext cx="5120640" cy="2886178"/>
                    </a:xfrm>
                    <a:prstGeom prst="rect">
                      <a:avLst/>
                    </a:prstGeom>
                    <a:noFill/>
                    <a:ln w="9525">
                      <a:noFill/>
                      <a:headEnd/>
                      <a:tailEnd/>
                    </a:ln>
                  </pic:spPr>
                </pic:pic>
              </a:graphicData>
            </a:graphic>
          </wp:inline>
        </w:drawing>
      </w:r>
    </w:p>
    <w:p>
      <w:pPr>
        <w:pStyle w:val="BodyText"/>
      </w:pPr>
      <w:r>
        <w:rPr>
          <w:rFonts w:hint="eastAsia"/>
          <w:b/>
          <w:bCs/>
        </w:rPr>
        <w:t xml:space="preserve">参数剖面检验。</w:t>
      </w:r>
      <w:r>
        <w:rPr>
          <w:rFonts w:hint="eastAsia"/>
        </w:rPr>
        <w:t xml:space="preserve">参数剖面图观察关键参数在最优点附近扰动时误差函数是否平滑变化。若曲线只在某一点突然变好，就可能存在单点调参风险。</w:t>
      </w:r>
    </w:p>
    <w:p>
      <w:pPr>
        <w:pStyle w:val="BodyText"/>
      </w:pPr>
      <w:r>
        <w:drawing>
          <wp:inline>
            <wp:extent cx="5120640" cy="3025832"/>
            <wp:effectExtent b="0" l="0" r="0" t="0"/>
            <wp:docPr descr="image" title="" id="99" name="Picture"/>
            <a:graphic>
              <a:graphicData uri="http://schemas.openxmlformats.org/drawingml/2006/picture">
                <pic:pic>
                  <pic:nvPicPr>
                    <pic:cNvPr descr="短期模型参数剖面图.png" id="100" name="Picture"/>
                    <pic:cNvPicPr>
                      <a:picLocks noChangeArrowheads="1" noChangeAspect="1"/>
                    </pic:cNvPicPr>
                  </pic:nvPicPr>
                  <pic:blipFill>
                    <a:blip r:embed="rId98"/>
                    <a:stretch>
                      <a:fillRect/>
                    </a:stretch>
                  </pic:blipFill>
                  <pic:spPr bwMode="auto">
                    <a:xfrm>
                      <a:off x="0" y="0"/>
                      <a:ext cx="5120640" cy="3025832"/>
                    </a:xfrm>
                    <a:prstGeom prst="rect">
                      <a:avLst/>
                    </a:prstGeom>
                    <a:noFill/>
                    <a:ln w="9525">
                      <a:noFill/>
                      <a:headEnd/>
                      <a:tailEnd/>
                    </a:ln>
                  </pic:spPr>
                </pic:pic>
              </a:graphicData>
            </a:graphic>
          </wp:inline>
        </w:drawing>
      </w:r>
    </w:p>
    <w:p>
      <w:pPr>
        <w:pStyle w:val="BodyText"/>
      </w:pPr>
      <w:r>
        <w:rPr>
          <w:rFonts w:hint="eastAsia"/>
        </w:rPr>
        <w:t xml:space="preserve">附图</w:t>
      </w:r>
      <w:r>
        <w:t xml:space="preserve"> 1 </w:t>
      </w:r>
      <w:r>
        <w:rPr>
          <w:rFonts w:hint="eastAsia"/>
        </w:rPr>
        <w:t xml:space="preserve">和附图</w:t>
      </w:r>
      <w:r>
        <w:t xml:space="preserve"> 2 </w:t>
      </w:r>
      <w:r>
        <w:rPr>
          <w:rFonts w:hint="eastAsia"/>
        </w:rPr>
        <w:t xml:space="preserve">分别回答</w:t>
      </w:r>
      <w:r>
        <w:rPr>
          <w:rFonts w:hint="eastAsia"/>
        </w:rPr>
        <w:t xml:space="preserve">“价格平台由哪些机制推动”</w:t>
      </w:r>
      <w:r>
        <w:rPr>
          <w:rFonts w:hint="eastAsia"/>
        </w:rPr>
        <w:t xml:space="preserve">和</w:t>
      </w:r>
      <w:r>
        <w:rPr>
          <w:rFonts w:hint="eastAsia"/>
        </w:rPr>
        <w:t xml:space="preserve">“参数是否只在单点有效”</w:t>
      </w:r>
      <w:r>
        <w:rPr>
          <w:rFonts w:hint="eastAsia"/>
        </w:rPr>
        <w:t xml:space="preserve">。前者给出机制方向，后者观察目标函数形态，二者共同支撑短期模型的解释性和稳定性。</w:t>
      </w:r>
    </w:p>
    <w:p>
      <w:pPr>
        <w:pStyle w:val="BodyText"/>
      </w:pPr>
      <w:r>
        <w:rPr>
          <w:rFonts w:hint="eastAsia"/>
          <w:b/>
          <w:bCs/>
        </w:rPr>
        <w:t xml:space="preserve">事件窗口检验。</w:t>
      </w:r>
      <w:r>
        <w:rPr>
          <w:rFonts w:hint="eastAsia"/>
        </w:rPr>
        <w:t xml:space="preserve">短期冲击窗口内部并不均匀，初始冲击、高位平台、中期回落和后期二次抬升的拟合难度不同。该图把整体误差拆到事件阶段，避免只用总</w:t>
      </w:r>
      <w:r>
        <w:t xml:space="preserve"> RMSE </w:t>
      </w:r>
      <w:r>
        <w:rPr>
          <w:rFonts w:hint="eastAsia"/>
        </w:rPr>
        <w:t xml:space="preserve">掩盖局部表现。</w:t>
      </w:r>
    </w:p>
    <w:p>
      <w:pPr>
        <w:pStyle w:val="BodyText"/>
      </w:pPr>
      <w:r>
        <w:drawing>
          <wp:inline>
            <wp:extent cx="4480560" cy="2715490"/>
            <wp:effectExtent b="0" l="0" r="0" t="0"/>
            <wp:docPr descr="image" title="" id="102" name="Picture"/>
            <a:graphic>
              <a:graphicData uri="http://schemas.openxmlformats.org/drawingml/2006/picture">
                <pic:pic>
                  <pic:nvPicPr>
                    <pic:cNvPr descr="短期模型事件窗口检验.png" id="103" name="Picture"/>
                    <pic:cNvPicPr>
                      <a:picLocks noChangeArrowheads="1" noChangeAspect="1"/>
                    </pic:cNvPicPr>
                  </pic:nvPicPr>
                  <pic:blipFill>
                    <a:blip r:embed="rId101"/>
                    <a:stretch>
                      <a:fillRect/>
                    </a:stretch>
                  </pic:blipFill>
                  <pic:spPr bwMode="auto">
                    <a:xfrm>
                      <a:off x="0" y="0"/>
                      <a:ext cx="4480560" cy="2715490"/>
                    </a:xfrm>
                    <a:prstGeom prst="rect">
                      <a:avLst/>
                    </a:prstGeom>
                    <a:noFill/>
                    <a:ln w="9525">
                      <a:noFill/>
                      <a:headEnd/>
                      <a:tailEnd/>
                    </a:ln>
                  </pic:spPr>
                </pic:pic>
              </a:graphicData>
            </a:graphic>
          </wp:inline>
        </w:drawing>
      </w:r>
    </w:p>
    <w:p>
      <w:pPr>
        <w:pStyle w:val="BodyText"/>
      </w:pPr>
      <w:r>
        <w:rPr>
          <w:rFonts w:hint="eastAsia"/>
          <w:b/>
          <w:bCs/>
        </w:rPr>
        <w:t xml:space="preserve">滞后平移检验。</w:t>
      </w:r>
      <w:r>
        <w:rPr>
          <w:rFonts w:hint="eastAsia"/>
        </w:rPr>
        <w:t xml:space="preserve">时间序列模型容易出现</w:t>
      </w:r>
      <w:r>
        <w:rPr>
          <w:rFonts w:hint="eastAsia"/>
        </w:rPr>
        <w:t xml:space="preserve">“把昨天当今天”</w:t>
      </w:r>
      <w:r>
        <w:rPr>
          <w:rFonts w:hint="eastAsia"/>
        </w:rPr>
        <w:t xml:space="preserve">的滞后拟合。该检验将预测曲线进行平移比较；原始位置误差最低，说明模型不是简单复制滞后价格路径。</w:t>
      </w:r>
    </w:p>
    <w:p>
      <w:pPr>
        <w:pStyle w:val="BodyText"/>
      </w:pPr>
      <w:r>
        <w:drawing>
          <wp:inline>
            <wp:extent cx="4160520" cy="2408722"/>
            <wp:effectExtent b="0" l="0" r="0" t="0"/>
            <wp:docPr descr="image" title="" id="105" name="Picture"/>
            <a:graphic>
              <a:graphicData uri="http://schemas.openxmlformats.org/drawingml/2006/picture">
                <pic:pic>
                  <pic:nvPicPr>
                    <pic:cNvPr descr="短期模型滞后平移检验.png" id="106" name="Picture"/>
                    <pic:cNvPicPr>
                      <a:picLocks noChangeArrowheads="1" noChangeAspect="1"/>
                    </pic:cNvPicPr>
                  </pic:nvPicPr>
                  <pic:blipFill>
                    <a:blip r:embed="rId104"/>
                    <a:stretch>
                      <a:fillRect/>
                    </a:stretch>
                  </pic:blipFill>
                  <pic:spPr bwMode="auto">
                    <a:xfrm>
                      <a:off x="0" y="0"/>
                      <a:ext cx="4160520" cy="2408722"/>
                    </a:xfrm>
                    <a:prstGeom prst="rect">
                      <a:avLst/>
                    </a:prstGeom>
                    <a:noFill/>
                    <a:ln w="9525">
                      <a:noFill/>
                      <a:headEnd/>
                      <a:tailEnd/>
                    </a:ln>
                  </pic:spPr>
                </pic:pic>
              </a:graphicData>
            </a:graphic>
          </wp:inline>
        </w:drawing>
      </w:r>
    </w:p>
    <w:p>
      <w:pPr>
        <w:pStyle w:val="BodyText"/>
      </w:pPr>
      <w:r>
        <w:rPr>
          <w:rFonts w:hint="eastAsia"/>
          <w:b/>
          <w:bCs/>
        </w:rPr>
        <w:t xml:space="preserve">残差分段分布。</w:t>
      </w:r>
      <w:r>
        <w:rPr>
          <w:rFonts w:hint="eastAsia"/>
        </w:rPr>
        <w:t xml:space="preserve">残差分布用于判断误差集中在哪些阶段。中期平台阶段残差更分散，说明平台震荡和情绪再定价仍是短期模型的主要误差来源。</w:t>
      </w:r>
    </w:p>
    <w:p>
      <w:pPr>
        <w:pStyle w:val="BodyText"/>
      </w:pPr>
      <w:r>
        <w:drawing>
          <wp:inline>
            <wp:extent cx="4480560" cy="2741279"/>
            <wp:effectExtent b="0" l="0" r="0" t="0"/>
            <wp:docPr descr="image" title="" id="108" name="Picture"/>
            <a:graphic>
              <a:graphicData uri="http://schemas.openxmlformats.org/drawingml/2006/picture">
                <pic:pic>
                  <pic:nvPicPr>
                    <pic:cNvPr descr="短期残差分段分布图.png" id="109" name="Picture"/>
                    <pic:cNvPicPr>
                      <a:picLocks noChangeArrowheads="1" noChangeAspect="1"/>
                    </pic:cNvPicPr>
                  </pic:nvPicPr>
                  <pic:blipFill>
                    <a:blip r:embed="rId107"/>
                    <a:stretch>
                      <a:fillRect/>
                    </a:stretch>
                  </pic:blipFill>
                  <pic:spPr bwMode="auto">
                    <a:xfrm>
                      <a:off x="0" y="0"/>
                      <a:ext cx="4480560" cy="2741279"/>
                    </a:xfrm>
                    <a:prstGeom prst="rect">
                      <a:avLst/>
                    </a:prstGeom>
                    <a:noFill/>
                    <a:ln w="9525">
                      <a:noFill/>
                      <a:headEnd/>
                      <a:tailEnd/>
                    </a:ln>
                  </pic:spPr>
                </pic:pic>
              </a:graphicData>
            </a:graphic>
          </wp:inline>
        </w:drawing>
      </w:r>
    </w:p>
    <w:p>
      <w:pPr>
        <w:pStyle w:val="BodyText"/>
      </w:pPr>
      <w:r>
        <w:rPr>
          <w:rFonts w:hint="eastAsia"/>
          <w:b/>
          <w:bCs/>
        </w:rPr>
        <w:t xml:space="preserve">局部扰动稳健性。</w:t>
      </w:r>
      <w:r>
        <w:rPr>
          <w:rFonts w:hint="eastAsia"/>
        </w:rPr>
        <w:t xml:space="preserve">稳健性带展示当前参数邻域内的预测路径范围。若扰动后路径仍围绕真实价格平台展开，说明结论不依赖某一个极窄的参数组合。</w:t>
      </w:r>
    </w:p>
    <w:p>
      <w:pPr>
        <w:pStyle w:val="BodyText"/>
      </w:pPr>
      <w:r>
        <w:drawing>
          <wp:inline>
            <wp:extent cx="5334000" cy="2812472"/>
            <wp:effectExtent b="0" l="0" r="0" t="0"/>
            <wp:docPr descr="image" title="" id="111" name="Picture"/>
            <a:graphic>
              <a:graphicData uri="http://schemas.openxmlformats.org/drawingml/2006/picture">
                <pic:pic>
                  <pic:nvPicPr>
                    <pic:cNvPr descr="短期模型稳健性带.png" id="112" name="Picture"/>
                    <pic:cNvPicPr>
                      <a:picLocks noChangeArrowheads="1" noChangeAspect="1"/>
                    </pic:cNvPicPr>
                  </pic:nvPicPr>
                  <pic:blipFill>
                    <a:blip r:embed="rId110"/>
                    <a:stretch>
                      <a:fillRect/>
                    </a:stretch>
                  </pic:blipFill>
                  <pic:spPr bwMode="auto">
                    <a:xfrm>
                      <a:off x="0" y="0"/>
                      <a:ext cx="5334000" cy="2812472"/>
                    </a:xfrm>
                    <a:prstGeom prst="rect">
                      <a:avLst/>
                    </a:prstGeom>
                    <a:noFill/>
                    <a:ln w="9525">
                      <a:noFill/>
                      <a:headEnd/>
                      <a:tailEnd/>
                    </a:ln>
                  </pic:spPr>
                </pic:pic>
              </a:graphicData>
            </a:graphic>
          </wp:inline>
        </w:drawing>
      </w:r>
    </w:p>
    <w:p>
      <w:pPr>
        <w:pStyle w:val="BodyText"/>
      </w:pPr>
      <w:r>
        <w:rPr>
          <w:rFonts w:hint="eastAsia"/>
        </w:rPr>
        <w:t xml:space="preserve">以上六组补充检验依次对应机制来源、参数形态、阶段误差、滞后排查、残差分布和局部扰动。它们共同把正文的短期拟合结论拆成可复核证据链，说明模型优势来自机制组合，而不是单点调参或滞后复制。</w:t>
      </w:r>
    </w:p>
    <w:bookmarkEnd w:id="113"/>
    <w:bookmarkStart w:id="138" w:name="d-敏感性与外生风险补充检验"/>
    <w:p>
      <w:pPr>
        <w:pStyle w:val="Heading2"/>
      </w:pPr>
      <w:r>
        <w:t xml:space="preserve">D </w:t>
      </w:r>
      <w:r>
        <w:rPr>
          <w:rFonts w:hint="eastAsia"/>
        </w:rPr>
        <w:t xml:space="preserve">敏感性与外生风险补充检验</w:t>
      </w:r>
    </w:p>
    <w:p>
      <w:pPr>
        <w:pStyle w:val="FirstParagraph"/>
      </w:pPr>
      <w:r>
        <w:rPr>
          <w:rFonts w:hint="eastAsia"/>
        </w:rPr>
        <w:t xml:space="preserve">正文第九章只保留参数排序、尾部风险和外生风险摘要。附录在短期模型检验之后补充长期敏感性和外生风险证据，主要用于说明扰动尺度从何而来、外部风险变量如何进入解释，以及</w:t>
      </w:r>
      <w:r>
        <w:t xml:space="preserve"> 2026 </w:t>
      </w:r>
      <w:r>
        <w:rPr>
          <w:rFonts w:hint="eastAsia"/>
        </w:rPr>
        <w:t xml:space="preserve">年冲突窗口相对历史窗口是否具有特殊性。</w:t>
      </w:r>
    </w:p>
    <w:p>
      <w:pPr>
        <w:pStyle w:val="BodyText"/>
      </w:pPr>
      <w:r>
        <w:rPr>
          <w:rFonts w:hint="eastAsia"/>
          <w:b/>
          <w:bCs/>
        </w:rPr>
        <w:t xml:space="preserve">历史波动参数校准。</w:t>
      </w:r>
      <w:r>
        <w:rPr>
          <w:rFonts w:hint="eastAsia"/>
        </w:rPr>
        <w:t xml:space="preserve">长期蒙特卡洛扰动不应凭经验设置，因此先用</w:t>
      </w:r>
      <w:r>
        <w:t xml:space="preserve"> 2017–2025 </w:t>
      </w:r>
      <w:r>
        <w:rPr>
          <w:rFonts w:hint="eastAsia"/>
        </w:rPr>
        <w:t xml:space="preserve">年同长度历史窗口估计波动、最大回撤和误差分布。该图给出扰动尺度的可追溯来源。</w:t>
      </w:r>
    </w:p>
    <w:p>
      <w:pPr>
        <w:pStyle w:val="BodyText"/>
      </w:pPr>
      <w:r>
        <w:drawing>
          <wp:inline>
            <wp:extent cx="5120640" cy="1966325"/>
            <wp:effectExtent b="0" l="0" r="0" t="0"/>
            <wp:docPr descr="image" title="" id="115" name="Picture"/>
            <a:graphic>
              <a:graphicData uri="http://schemas.openxmlformats.org/drawingml/2006/picture">
                <pic:pic>
                  <pic:nvPicPr>
                    <pic:cNvPr descr="历史波动参数校准.png" id="116" name="Picture"/>
                    <pic:cNvPicPr>
                      <a:picLocks noChangeArrowheads="1" noChangeAspect="1"/>
                    </pic:cNvPicPr>
                  </pic:nvPicPr>
                  <pic:blipFill>
                    <a:blip r:embed="rId114"/>
                    <a:stretch>
                      <a:fillRect/>
                    </a:stretch>
                  </pic:blipFill>
                  <pic:spPr bwMode="auto">
                    <a:xfrm>
                      <a:off x="0" y="0"/>
                      <a:ext cx="5120640" cy="1966325"/>
                    </a:xfrm>
                    <a:prstGeom prst="rect">
                      <a:avLst/>
                    </a:prstGeom>
                    <a:noFill/>
                    <a:ln w="9525">
                      <a:noFill/>
                      <a:headEnd/>
                      <a:tailEnd/>
                    </a:ln>
                  </pic:spPr>
                </pic:pic>
              </a:graphicData>
            </a:graphic>
          </wp:inline>
        </w:drawing>
      </w:r>
    </w:p>
    <w:p>
      <w:pPr>
        <w:pStyle w:val="BodyText"/>
      </w:pPr>
      <w:r>
        <w:rPr>
          <w:rFonts w:hint="eastAsia"/>
        </w:rPr>
        <w:t xml:space="preserve">附图</w:t>
      </w:r>
      <w:r>
        <w:t xml:space="preserve"> 7 </w:t>
      </w:r>
      <w:r>
        <w:rPr>
          <w:rFonts w:hint="eastAsia"/>
        </w:rPr>
        <w:t xml:space="preserve">的作用是把长期随机扰动落回历史经验区间：模型并非任意扩大波动，而是用同长度窗口的收益波动和回撤分布约束后续情景树的扰动尺度。</w:t>
      </w:r>
    </w:p>
    <w:p>
      <w:pPr>
        <w:pStyle w:val="BodyText"/>
      </w:pPr>
      <w:r>
        <w:rPr>
          <w:rFonts w:hint="eastAsia"/>
          <w:b/>
          <w:bCs/>
        </w:rPr>
        <w:t xml:space="preserve">传统蒙特卡洛路径云。</w:t>
      </w:r>
      <w:r>
        <w:rPr>
          <w:rFonts w:hint="eastAsia"/>
        </w:rPr>
        <w:t xml:space="preserve">该图展示不引入状态转移结构时，多参数联合扰动形成的价格路径云。它作为长期情景树的朴素随机模拟参照，用来区分普通参数扰动和状态切换风险。</w:t>
      </w:r>
    </w:p>
    <w:p>
      <w:pPr>
        <w:pStyle w:val="BodyText"/>
      </w:pPr>
      <w:r>
        <w:drawing>
          <wp:inline>
            <wp:extent cx="4693920" cy="2545854"/>
            <wp:effectExtent b="0" l="0" r="0" t="0"/>
            <wp:docPr descr="image" title="" id="118" name="Picture"/>
            <a:graphic>
              <a:graphicData uri="http://schemas.openxmlformats.org/drawingml/2006/picture">
                <pic:pic>
                  <pic:nvPicPr>
                    <pic:cNvPr descr="传统蒙特卡洛路径云图.png" id="119" name="Picture"/>
                    <pic:cNvPicPr>
                      <a:picLocks noChangeArrowheads="1" noChangeAspect="1"/>
                    </pic:cNvPicPr>
                  </pic:nvPicPr>
                  <pic:blipFill>
                    <a:blip r:embed="rId117"/>
                    <a:stretch>
                      <a:fillRect/>
                    </a:stretch>
                  </pic:blipFill>
                  <pic:spPr bwMode="auto">
                    <a:xfrm>
                      <a:off x="0" y="0"/>
                      <a:ext cx="4693920" cy="2545854"/>
                    </a:xfrm>
                    <a:prstGeom prst="rect">
                      <a:avLst/>
                    </a:prstGeom>
                    <a:noFill/>
                    <a:ln w="9525">
                      <a:noFill/>
                      <a:headEnd/>
                      <a:tailEnd/>
                    </a:ln>
                  </pic:spPr>
                </pic:pic>
              </a:graphicData>
            </a:graphic>
          </wp:inline>
        </w:drawing>
      </w:r>
    </w:p>
    <w:p>
      <w:pPr>
        <w:pStyle w:val="BodyText"/>
      </w:pPr>
      <w:r>
        <w:rPr>
          <w:b/>
          <w:bCs/>
        </w:rPr>
        <w:t xml:space="preserve">GPR </w:t>
      </w:r>
      <w:r>
        <w:rPr>
          <w:rFonts w:hint="eastAsia"/>
          <w:b/>
          <w:bCs/>
        </w:rPr>
        <w:t xml:space="preserve">地缘风险指数滞后审计。</w:t>
      </w:r>
      <w:r>
        <w:t xml:space="preserve">GPR </w:t>
      </w:r>
      <w:r>
        <w:rPr>
          <w:rFonts w:hint="eastAsia"/>
        </w:rPr>
        <w:t xml:space="preserve">不直接替代附件价格，也不用于同日解释同日价格。这里检验滞后风险指数与布伦特收益的关系，确认其更适合作为风险环境变量。</w:t>
      </w:r>
    </w:p>
    <w:p>
      <w:pPr>
        <w:pStyle w:val="BodyText"/>
      </w:pPr>
      <w:r>
        <w:drawing>
          <wp:inline>
            <wp:extent cx="4693920" cy="2514599"/>
            <wp:effectExtent b="0" l="0" r="0" t="0"/>
            <wp:docPr descr="image" title="" id="121" name="Picture"/>
            <a:graphic>
              <a:graphicData uri="http://schemas.openxmlformats.org/drawingml/2006/picture">
                <pic:pic>
                  <pic:nvPicPr>
                    <pic:cNvPr descr="地缘风险指数滞后审计.png" id="122" name="Picture"/>
                    <pic:cNvPicPr>
                      <a:picLocks noChangeArrowheads="1" noChangeAspect="1"/>
                    </pic:cNvPicPr>
                  </pic:nvPicPr>
                  <pic:blipFill>
                    <a:blip r:embed="rId120"/>
                    <a:stretch>
                      <a:fillRect/>
                    </a:stretch>
                  </pic:blipFill>
                  <pic:spPr bwMode="auto">
                    <a:xfrm>
                      <a:off x="0" y="0"/>
                      <a:ext cx="4693920" cy="2514599"/>
                    </a:xfrm>
                    <a:prstGeom prst="rect">
                      <a:avLst/>
                    </a:prstGeom>
                    <a:noFill/>
                    <a:ln w="9525">
                      <a:noFill/>
                      <a:headEnd/>
                      <a:tailEnd/>
                    </a:ln>
                  </pic:spPr>
                </pic:pic>
              </a:graphicData>
            </a:graphic>
          </wp:inline>
        </w:drawing>
      </w:r>
    </w:p>
    <w:p>
      <w:pPr>
        <w:pStyle w:val="BodyText"/>
      </w:pPr>
      <w:r>
        <w:rPr>
          <w:rFonts w:hint="eastAsia"/>
          <w:b/>
          <w:bCs/>
        </w:rPr>
        <w:t xml:space="preserve">滞后</w:t>
      </w:r>
      <w:r>
        <w:rPr>
          <w:b/>
          <w:bCs/>
        </w:rPr>
        <w:t xml:space="preserve"> GPR </w:t>
      </w:r>
      <w:r>
        <w:rPr>
          <w:rFonts w:hint="eastAsia"/>
          <w:b/>
          <w:bCs/>
        </w:rPr>
        <w:t xml:space="preserve">与月度收益。</w:t>
      </w:r>
      <w:r>
        <w:rPr>
          <w:rFonts w:hint="eastAsia"/>
        </w:rPr>
        <w:t xml:space="preserve">该散点关系说明，滞后</w:t>
      </w:r>
      <w:r>
        <w:t xml:space="preserve"> 1 </w:t>
      </w:r>
      <w:r>
        <w:rPr>
          <w:rFonts w:hint="eastAsia"/>
        </w:rPr>
        <w:t xml:space="preserve">月</w:t>
      </w:r>
      <w:r>
        <w:t xml:space="preserve"> GPR </w:t>
      </w:r>
      <w:r>
        <w:rPr>
          <w:rFonts w:hint="eastAsia"/>
        </w:rPr>
        <w:t xml:space="preserve">与布伦特月度收益的线性解释力有限。因此正文只将</w:t>
      </w:r>
      <w:r>
        <w:t xml:space="preserve"> GPR </w:t>
      </w:r>
      <w:r>
        <w:rPr>
          <w:rFonts w:hint="eastAsia"/>
        </w:rPr>
        <w:t xml:space="preserve">用作长期风险溢价和状态转移概率的约束变量。</w:t>
      </w:r>
    </w:p>
    <w:p>
      <w:pPr>
        <w:pStyle w:val="BodyText"/>
      </w:pPr>
      <w:r>
        <w:drawing>
          <wp:inline>
            <wp:extent cx="4160520" cy="2836718"/>
            <wp:effectExtent b="0" l="0" r="0" t="0"/>
            <wp:docPr descr="image" title="" id="124" name="Picture"/>
            <a:graphic>
              <a:graphicData uri="http://schemas.openxmlformats.org/drawingml/2006/picture">
                <pic:pic>
                  <pic:nvPicPr>
                    <pic:cNvPr descr="滞后GPR与布伦特收益关系.png" id="125" name="Picture"/>
                    <pic:cNvPicPr>
                      <a:picLocks noChangeArrowheads="1" noChangeAspect="1"/>
                    </pic:cNvPicPr>
                  </pic:nvPicPr>
                  <pic:blipFill>
                    <a:blip r:embed="rId123"/>
                    <a:stretch>
                      <a:fillRect/>
                    </a:stretch>
                  </pic:blipFill>
                  <pic:spPr bwMode="auto">
                    <a:xfrm>
                      <a:off x="0" y="0"/>
                      <a:ext cx="4160520" cy="2836718"/>
                    </a:xfrm>
                    <a:prstGeom prst="rect">
                      <a:avLst/>
                    </a:prstGeom>
                    <a:noFill/>
                    <a:ln w="9525">
                      <a:noFill/>
                      <a:headEnd/>
                      <a:tailEnd/>
                    </a:ln>
                  </pic:spPr>
                </pic:pic>
              </a:graphicData>
            </a:graphic>
          </wp:inline>
        </w:drawing>
      </w:r>
    </w:p>
    <w:p>
      <w:pPr>
        <w:pStyle w:val="BodyText"/>
      </w:pPr>
      <w:r>
        <w:rPr>
          <w:b/>
          <w:bCs/>
        </w:rPr>
        <w:t xml:space="preserve">OVX </w:t>
      </w:r>
      <w:r>
        <w:rPr>
          <w:rFonts w:hint="eastAsia"/>
          <w:b/>
          <w:bCs/>
        </w:rPr>
        <w:t xml:space="preserve">隐含波动率滞后检验。</w:t>
      </w:r>
      <w:r>
        <w:t xml:space="preserve">OVX </w:t>
      </w:r>
      <w:r>
        <w:rPr>
          <w:rFonts w:hint="eastAsia"/>
        </w:rPr>
        <w:t xml:space="preserve">反映市场对原油期权波动率的定价预期，适合刻画不确定性和尾部风险。该图用于确认</w:t>
      </w:r>
      <w:r>
        <w:t xml:space="preserve"> OVX </w:t>
      </w:r>
      <w:r>
        <w:rPr>
          <w:rFonts w:hint="eastAsia"/>
        </w:rPr>
        <w:t xml:space="preserve">主要约束长期波动和风险状态，而不是直接给出油价涨跌方向。</w:t>
      </w:r>
    </w:p>
    <w:p>
      <w:pPr>
        <w:pStyle w:val="BodyText"/>
      </w:pPr>
      <w:r>
        <w:drawing>
          <wp:inline>
            <wp:extent cx="5120640" cy="3278591"/>
            <wp:effectExtent b="0" l="0" r="0" t="0"/>
            <wp:docPr descr="image" title="" id="127" name="Picture"/>
            <a:graphic>
              <a:graphicData uri="http://schemas.openxmlformats.org/drawingml/2006/picture">
                <pic:pic>
                  <pic:nvPicPr>
                    <pic:cNvPr descr="OVX隐含波动率滞后检验.png" id="128" name="Picture"/>
                    <pic:cNvPicPr>
                      <a:picLocks noChangeArrowheads="1" noChangeAspect="1"/>
                    </pic:cNvPicPr>
                  </pic:nvPicPr>
                  <pic:blipFill>
                    <a:blip r:embed="rId126"/>
                    <a:stretch>
                      <a:fillRect/>
                    </a:stretch>
                  </pic:blipFill>
                  <pic:spPr bwMode="auto">
                    <a:xfrm>
                      <a:off x="0" y="0"/>
                      <a:ext cx="5120640" cy="3278591"/>
                    </a:xfrm>
                    <a:prstGeom prst="rect">
                      <a:avLst/>
                    </a:prstGeom>
                    <a:noFill/>
                    <a:ln w="9525">
                      <a:noFill/>
                      <a:headEnd/>
                      <a:tailEnd/>
                    </a:ln>
                  </pic:spPr>
                </pic:pic>
              </a:graphicData>
            </a:graphic>
          </wp:inline>
        </w:drawing>
      </w:r>
    </w:p>
    <w:p>
      <w:pPr>
        <w:pStyle w:val="BodyText"/>
      </w:pPr>
      <w:r>
        <w:rPr>
          <w:rFonts w:hint="eastAsia"/>
          <w:b/>
          <w:bCs/>
        </w:rPr>
        <w:t xml:space="preserve">历史同长度窗口极端性。</w:t>
      </w:r>
      <w:r>
        <w:rPr>
          <w:rFonts w:hint="eastAsia"/>
        </w:rPr>
        <w:t xml:space="preserve">将</w:t>
      </w:r>
      <w:r>
        <w:t xml:space="preserve"> 2026 </w:t>
      </w:r>
      <w:r>
        <w:rPr>
          <w:rFonts w:hint="eastAsia"/>
        </w:rPr>
        <w:t xml:space="preserve">年冲突窗口放回</w:t>
      </w:r>
      <w:r>
        <w:t xml:space="preserve"> 2017–2025 </w:t>
      </w:r>
      <w:r>
        <w:rPr>
          <w:rFonts w:hint="eastAsia"/>
        </w:rPr>
        <w:t xml:space="preserve">年同长度窗口中比较，可以判断本题样本是否处于异常高涨幅、高波动或高预测难度区间。</w:t>
      </w:r>
    </w:p>
    <w:p>
      <w:pPr>
        <w:pStyle w:val="BodyText"/>
      </w:pPr>
      <w:r>
        <w:drawing>
          <wp:inline>
            <wp:extent cx="5120640" cy="2801859"/>
            <wp:effectExtent b="0" l="0" r="0" t="0"/>
            <wp:docPr descr="image" title="" id="130" name="Picture"/>
            <a:graphic>
              <a:graphicData uri="http://schemas.openxmlformats.org/drawingml/2006/picture">
                <pic:pic>
                  <pic:nvPicPr>
                    <pic:cNvPr descr="历史窗口极端性检验.png" id="131" name="Picture"/>
                    <pic:cNvPicPr>
                      <a:picLocks noChangeArrowheads="1" noChangeAspect="1"/>
                    </pic:cNvPicPr>
                  </pic:nvPicPr>
                  <pic:blipFill>
                    <a:blip r:embed="rId129"/>
                    <a:stretch>
                      <a:fillRect/>
                    </a:stretch>
                  </pic:blipFill>
                  <pic:spPr bwMode="auto">
                    <a:xfrm>
                      <a:off x="0" y="0"/>
                      <a:ext cx="5120640" cy="2801859"/>
                    </a:xfrm>
                    <a:prstGeom prst="rect">
                      <a:avLst/>
                    </a:prstGeom>
                    <a:noFill/>
                    <a:ln w="9525">
                      <a:noFill/>
                      <a:headEnd/>
                      <a:tailEnd/>
                    </a:ln>
                  </pic:spPr>
                </pic:pic>
              </a:graphicData>
            </a:graphic>
          </wp:inline>
        </w:drawing>
      </w:r>
    </w:p>
    <w:p>
      <w:pPr>
        <w:pStyle w:val="BodyText"/>
      </w:pPr>
      <w:r>
        <w:rPr>
          <w:rFonts w:hint="eastAsia"/>
        </w:rPr>
        <w:t xml:space="preserve">附图</w:t>
      </w:r>
      <w:r>
        <w:t xml:space="preserve"> 11 </w:t>
      </w:r>
      <w:r>
        <w:rPr>
          <w:rFonts w:hint="eastAsia"/>
        </w:rPr>
        <w:t xml:space="preserve">和附图</w:t>
      </w:r>
      <w:r>
        <w:t xml:space="preserve"> 12 </w:t>
      </w:r>
      <w:r>
        <w:rPr>
          <w:rFonts w:hint="eastAsia"/>
        </w:rPr>
        <w:t xml:space="preserve">分别从市场定价风险与历史窗口位置说明同一件事：2026</w:t>
      </w:r>
      <w:r>
        <w:t xml:space="preserve"> </w:t>
      </w:r>
      <w:r>
        <w:rPr>
          <w:rFonts w:hint="eastAsia"/>
        </w:rPr>
        <w:t xml:space="preserve">年冲突窗口不是普通平稳波动段，因此长期模型需要显式保留状态切换和尾部区间，而不能只给一条确定性均值线。</w:t>
      </w:r>
    </w:p>
    <w:p>
      <w:pPr>
        <w:pStyle w:val="BodyText"/>
      </w:pPr>
      <w:r>
        <w:rPr>
          <w:rFonts w:hint="eastAsia"/>
          <w:b/>
          <w:bCs/>
        </w:rPr>
        <w:t xml:space="preserve">历史基准误差分布。</w:t>
      </w:r>
      <w:r>
        <w:rPr>
          <w:rFonts w:hint="eastAsia"/>
        </w:rPr>
        <w:t xml:space="preserve">该图比较历史同长度窗口上的基准误差分布，用于说明</w:t>
      </w:r>
      <w:r>
        <w:t xml:space="preserve"> 2026 </w:t>
      </w:r>
      <w:r>
        <w:rPr>
          <w:rFonts w:hint="eastAsia"/>
        </w:rPr>
        <w:t xml:space="preserve">年冲突窗口相对普通市场阶段的预测难度。</w:t>
      </w:r>
    </w:p>
    <w:p>
      <w:pPr>
        <w:pStyle w:val="BodyText"/>
      </w:pPr>
      <w:r>
        <w:drawing>
          <wp:inline>
            <wp:extent cx="5120640" cy="2508068"/>
            <wp:effectExtent b="0" l="0" r="0" t="0"/>
            <wp:docPr descr="image" title="" id="133" name="Picture"/>
            <a:graphic>
              <a:graphicData uri="http://schemas.openxmlformats.org/drawingml/2006/picture">
                <pic:pic>
                  <pic:nvPicPr>
                    <pic:cNvPr descr="R历史基准误差分布图.png" id="134" name="Picture"/>
                    <pic:cNvPicPr>
                      <a:picLocks noChangeArrowheads="1" noChangeAspect="1"/>
                    </pic:cNvPicPr>
                  </pic:nvPicPr>
                  <pic:blipFill>
                    <a:blip r:embed="rId132"/>
                    <a:stretch>
                      <a:fillRect/>
                    </a:stretch>
                  </pic:blipFill>
                  <pic:spPr bwMode="auto">
                    <a:xfrm>
                      <a:off x="0" y="0"/>
                      <a:ext cx="5120640" cy="2508068"/>
                    </a:xfrm>
                    <a:prstGeom prst="rect">
                      <a:avLst/>
                    </a:prstGeom>
                    <a:noFill/>
                    <a:ln w="9525">
                      <a:noFill/>
                      <a:headEnd/>
                      <a:tailEnd/>
                    </a:ln>
                  </pic:spPr>
                </pic:pic>
              </a:graphicData>
            </a:graphic>
          </wp:inline>
        </w:drawing>
      </w:r>
    </w:p>
    <w:p>
      <w:pPr>
        <w:pStyle w:val="BodyText"/>
      </w:pPr>
      <w:r>
        <w:rPr>
          <w:rFonts w:hint="eastAsia"/>
          <w:b/>
          <w:bCs/>
        </w:rPr>
        <w:t xml:space="preserve">库存与供需缺口风险。</w:t>
      </w:r>
      <w:r>
        <w:rPr>
          <w:rFonts w:hint="eastAsia"/>
        </w:rPr>
        <w:t xml:space="preserve">该图展示中长期外推中商业库存剩余率和剩余缺口风险的同步变化，说明悲观路径的尾部风险主要来自</w:t>
      </w:r>
      <w:r>
        <w:t xml:space="preserve"> SPR </w:t>
      </w:r>
      <w:r>
        <w:rPr>
          <w:rFonts w:hint="eastAsia"/>
        </w:rPr>
        <w:t xml:space="preserve">等效预算耗尽、库存缓冲下降和剩余缺口同时存在。</w:t>
      </w:r>
    </w:p>
    <w:p>
      <w:pPr>
        <w:pStyle w:val="BodyText"/>
      </w:pPr>
      <w:r>
        <w:drawing>
          <wp:inline>
            <wp:extent cx="5334000" cy="4541178"/>
            <wp:effectExtent b="0" l="0" r="0" t="0"/>
            <wp:docPr descr="image" title="" id="136" name="Picture"/>
            <a:graphic>
              <a:graphicData uri="http://schemas.openxmlformats.org/drawingml/2006/picture">
                <pic:pic>
                  <pic:nvPicPr>
                    <pic:cNvPr descr="库存与供需缺口风险.png" id="137" name="Picture"/>
                    <pic:cNvPicPr>
                      <a:picLocks noChangeArrowheads="1" noChangeAspect="1"/>
                    </pic:cNvPicPr>
                  </pic:nvPicPr>
                  <pic:blipFill>
                    <a:blip r:embed="rId135"/>
                    <a:stretch>
                      <a:fillRect/>
                    </a:stretch>
                  </pic:blipFill>
                  <pic:spPr bwMode="auto">
                    <a:xfrm>
                      <a:off x="0" y="0"/>
                      <a:ext cx="5334000" cy="4541178"/>
                    </a:xfrm>
                    <a:prstGeom prst="rect">
                      <a:avLst/>
                    </a:prstGeom>
                    <a:noFill/>
                    <a:ln w="9525">
                      <a:noFill/>
                      <a:headEnd/>
                      <a:tailEnd/>
                    </a:ln>
                  </pic:spPr>
                </pic:pic>
              </a:graphicData>
            </a:graphic>
          </wp:inline>
        </w:drawing>
      </w:r>
    </w:p>
    <w:p>
      <w:pPr>
        <w:pStyle w:val="BodyText"/>
      </w:pPr>
      <w:r>
        <w:rPr>
          <w:rFonts w:hint="eastAsia"/>
        </w:rPr>
        <w:t xml:space="preserve">上述补充图共同说明，长期外推中的随机扰动、风险变量与库存缺口并非孤立设定：历史窗口提供扰动尺度，GPR</w:t>
      </w:r>
      <w:r>
        <w:t xml:space="preserve"> </w:t>
      </w:r>
      <w:r>
        <w:rPr>
          <w:rFonts w:hint="eastAsia"/>
        </w:rPr>
        <w:t xml:space="preserve">与</w:t>
      </w:r>
      <w:r>
        <w:t xml:space="preserve"> OVX </w:t>
      </w:r>
      <w:r>
        <w:rPr>
          <w:rFonts w:hint="eastAsia"/>
        </w:rPr>
        <w:t xml:space="preserve">提供外生风险约束，库存和剩余缺口则刻画尾部二次跳涨的物理来源。因此正文把长期结果写成条件路径、分位区间和尾部概率，而不是只给一条确定性均值预测线。</w:t>
      </w:r>
    </w:p>
    <w:bookmarkEnd w:id="138"/>
    <w:bookmarkStart w:id="139" w:name="e-短期冲击模型核心代码"/>
    <w:p>
      <w:pPr>
        <w:pStyle w:val="Heading2"/>
      </w:pPr>
      <w:r>
        <w:t xml:space="preserve">E </w:t>
      </w:r>
      <w:r>
        <w:rPr>
          <w:rFonts w:hint="eastAsia"/>
        </w:rPr>
        <w:t xml:space="preserve">短期冲击模型核心代码</w:t>
      </w:r>
    </w:p>
    <w:p>
      <w:pPr>
        <w:pStyle w:val="FirstParagraph"/>
      </w:pPr>
      <w:r>
        <w:rPr>
          <w:rFonts w:hint="eastAsia"/>
        </w:rPr>
        <w:t xml:space="preserve">代码</w:t>
      </w:r>
      <w:r>
        <w:t xml:space="preserve"> </w:t>
      </w:r>
      <w:hyperlink w:anchor="lst:dynamic-recursion">
        <w:r>
          <w:rPr>
            <w:rStyle w:val="Hyperlink"/>
          </w:rPr>
          <w:t xml:space="preserve">[lst:dynamic-recursion]</w:t>
        </w:r>
      </w:hyperlink>
      <w:r>
        <w:t xml:space="preserve"> </w:t>
      </w:r>
      <w:r>
        <w:rPr>
          <w:rFonts w:hint="eastAsia"/>
        </w:rPr>
        <w:t xml:space="preserve">展示短期冲击模型的核心实现。</w:t>
      </w:r>
    </w:p>
    <w:p>
      <w:pPr>
        <w:pStyle w:val="BodyText"/>
      </w:pPr>
      <w:r>
        <w:t xml:space="preserve">lst:dynamic-recursion</w:t>
      </w:r>
      <w:r>
        <w:t xml:space="preserve">python</w:t>
      </w:r>
      <w:r>
        <w:rPr>
          <w:rFonts w:hint="eastAsia"/>
        </w:rPr>
        <w:t xml:space="preserve">短期冲击模型核心实现</w:t>
      </w:r>
      <w:r>
        <w:t xml:space="preserve"> </w:t>
      </w:r>
      <w:r>
        <w:t xml:space="preserve">def simulate_dynamic_model(event_df, assumptions, behavior):</w:t>
      </w:r>
      <w:r>
        <w:t xml:space="preserve"> </w:t>
      </w:r>
      <w:r>
        <w:t xml:space="preserve">base_price = float(event_df.iloc[0]["pre_close"])</w:t>
      </w:r>
      <w:r>
        <w:t xml:space="preserve"> </w:t>
      </w:r>
      <w:r>
        <w:t xml:space="preserve">previous_price = base_price</w:t>
      </w:r>
      <w:r>
        <w:t xml:space="preserve"> </w:t>
      </w:r>
      <w:r>
        <w:t xml:space="preserve">previous_fear_excess = assumptions.fear_initial</w:t>
      </w:r>
      <w:r>
        <w:t xml:space="preserve"> </w:t>
      </w:r>
      <w:r>
        <w:t xml:space="preserve">inventory_remaining = assumptions.commercial_inventory</w:t>
      </w:r>
      <w:r>
        <w:t xml:space="preserve"> </w:t>
      </w:r>
      <w:r>
        <w:t xml:space="preserve">gap_closure_day = None</w:t>
      </w:r>
      <w:r>
        <w:t xml:space="preserve"> </w:t>
      </w:r>
      <w:r>
        <w:t xml:space="preserve">rows = []</w:t>
      </w:r>
    </w:p>
    <w:p>
      <w:pPr>
        <w:pStyle w:val="BodyText"/>
      </w:pPr>
      <w:r>
        <w:t xml:space="preserve">for step_index, actual_row in enumerate(event_df.itertuples(index=False)):</w:t>
      </w:r>
      <w:r>
        <w:t xml:space="preserve"> </w:t>
      </w:r>
      <w:r>
        <w:t xml:space="preserve">day_index = int((actual_row.trade_date - event_df["trade_date"].min()).days)</w:t>
      </w:r>
      <w:r>
        <w:t xml:space="preserve"> </w:t>
      </w:r>
      <w:r>
        <w:t xml:space="preserve">elasticity = interpolate_elasticity(day_index, assumptions)</w:t>
      </w:r>
      <w:r>
        <w:t xml:space="preserve"> </w:t>
      </w:r>
      <w:r>
        <w:t xml:space="preserve">price_ratio = max(previous_price / base_price, 0.1)</w:t>
      </w:r>
    </w:p>
    <w:p>
      <w:pPr>
        <w:pStyle w:val="BodyText"/>
      </w:pPr>
      <w:r>
        <w:t xml:space="preserve"># </w:t>
      </w:r>
      <w:r>
        <w:rPr>
          <w:rFonts w:hint="eastAsia"/>
        </w:rPr>
        <w:t xml:space="preserve">需求侧：价格弹性与高油价需求收缩共同作用</w:t>
      </w:r>
      <w:r>
        <w:t xml:space="preserve"> </w:t>
      </w:r>
      <w:r>
        <w:t xml:space="preserve">price_adjusted_demand = assumptions.base_demand * (price_ratio ** elasticity)</w:t>
      </w:r>
      <w:r>
        <w:t xml:space="preserve"> </w:t>
      </w:r>
      <w:r>
        <w:t xml:space="preserve">demand_decline = ramp(day_index, 0, assumptions.demand_decline_ramp_days,</w:t>
      </w:r>
      <w:r>
        <w:t xml:space="preserve"> </w:t>
      </w:r>
      <w:r>
        <w:t xml:space="preserve">assumptions.observed_demand_decline)</w:t>
      </w:r>
      <w:r>
        <w:t xml:space="preserve"> </w:t>
      </w:r>
      <w:r>
        <w:t xml:space="preserve">effective_demand = max(price_adjusted_demand - demand_decline,</w:t>
      </w:r>
      <w:r>
        <w:t xml:space="preserve"> </w:t>
      </w:r>
      <w:r>
        <w:t xml:space="preserve">assumptions.base_demand * 0.70)</w:t>
      </w:r>
    </w:p>
    <w:p>
      <w:pPr>
        <w:pStyle w:val="BodyText"/>
      </w:pPr>
      <w:r>
        <w:t xml:space="preserve"># </w:t>
      </w:r>
      <w:r>
        <w:rPr>
          <w:rFonts w:hint="eastAsia"/>
        </w:rPr>
        <w:t xml:space="preserve">供给侧：基础供应扣除中断后，加入</w:t>
      </w:r>
      <w:r>
        <w:t xml:space="preserve"> </w:t>
      </w:r>
      <w:r>
        <w:rPr>
          <w:rFonts w:hint="eastAsia"/>
        </w:rPr>
        <w:t xml:space="preserve">SPR、绕道运输和库存缓冲</w:t>
      </w:r>
      <w:r>
        <w:t xml:space="preserve"> </w:t>
      </w:r>
      <w:r>
        <w:t xml:space="preserve">spr_release = ramp(day_index, assumptions.spr_delay_days,</w:t>
      </w:r>
      <w:r>
        <w:t xml:space="preserve"> </w:t>
      </w:r>
      <w:r>
        <w:t xml:space="preserve">assumptions.spr_ramp_days, assumptions.spr_max_release)</w:t>
      </w:r>
      <w:r>
        <w:t xml:space="preserve"> </w:t>
      </w:r>
      <w:r>
        <w:t xml:space="preserve">route_supply = ramp(day_index, assumptions.route_start_day,</w:t>
      </w:r>
      <w:r>
        <w:t xml:space="preserve"> </w:t>
      </w:r>
      <w:r>
        <w:t xml:space="preserve">assumptions.route_ramp_days, assumptions.route_max_capacity)</w:t>
      </w:r>
      <w:r>
        <w:t xml:space="preserve"> </w:t>
      </w:r>
      <w:r>
        <w:t xml:space="preserve">supply_without_inventory = (assumptions.base_supply</w:t>
      </w:r>
      <w:r>
        <w:t xml:space="preserve"> </w:t>
      </w:r>
      <w:r>
        <w:t xml:space="preserve">- assumptions.supply_interruption</w:t>
      </w:r>
      <w:r>
        <w:t xml:space="preserve"> </w:t>
      </w:r>
      <w:r>
        <w:t xml:space="preserve">+ spr_release + route_supply)</w:t>
      </w:r>
    </w:p>
    <w:p>
      <w:pPr>
        <w:pStyle w:val="BodyText"/>
      </w:pPr>
      <w:r>
        <w:t xml:space="preserve">raw_gap = max(effective_demand - supply_without_inventory, 0.0)</w:t>
      </w:r>
      <w:r>
        <w:t xml:space="preserve"> </w:t>
      </w:r>
      <w:r>
        <w:t xml:space="preserve">inventory_buffer = min(raw_gap * behavior.inventory_response,</w:t>
      </w:r>
      <w:r>
        <w:t xml:space="preserve"> </w:t>
      </w:r>
      <w:r>
        <w:t xml:space="preserve">assumptions.inventory_daily_cap,</w:t>
      </w:r>
      <w:r>
        <w:t xml:space="preserve"> </w:t>
      </w:r>
      <w:r>
        <w:t xml:space="preserve">inventory_remaining)</w:t>
      </w:r>
      <w:r>
        <w:t xml:space="preserve"> </w:t>
      </w:r>
      <w:r>
        <w:t xml:space="preserve">inventory_remaining -= inventory_buffer</w:t>
      </w:r>
      <w:r>
        <w:t xml:space="preserve"> </w:t>
      </w:r>
      <w:r>
        <w:t xml:space="preserve">effective_supply = supply_without_inventory + inventory_buffer</w:t>
      </w:r>
      <w:r>
        <w:t xml:space="preserve"> </w:t>
      </w:r>
      <w:r>
        <w:t xml:space="preserve">residual_gap = max(effective_demand - effective_supply, 0.0)</w:t>
      </w:r>
      <w:r>
        <w:t xml:space="preserve"> </w:t>
      </w:r>
      <w:r>
        <w:t xml:space="preserve">if gap_closure_day is None and residual_gap &lt;= assumptions.base_demand * 0.005:</w:t>
      </w:r>
      <w:r>
        <w:t xml:space="preserve"> </w:t>
      </w:r>
      <w:r>
        <w:t xml:space="preserve">gap_closure_day = day_index</w:t>
      </w:r>
    </w:p>
    <w:p>
      <w:pPr>
        <w:pStyle w:val="BodyText"/>
      </w:pPr>
      <w:r>
        <w:t xml:space="preserve"># </w:t>
      </w:r>
      <w:r>
        <w:rPr>
          <w:rFonts w:hint="eastAsia"/>
        </w:rPr>
        <w:t xml:space="preserve">价格形成层：物理缺口、地缘风险、恐慌溢价与市场缓冲折价</w:t>
      </w:r>
      <w:r>
        <w:t xml:space="preserve"> </w:t>
      </w:r>
      <w:r>
        <w:t xml:space="preserve">fear_excess = assumptions.fear_initial * np.exp(-assumptions.fear_decay * day_index)</w:t>
      </w:r>
      <w:r>
        <w:t xml:space="preserve"> </w:t>
      </w:r>
      <w:r>
        <w:t xml:space="preserve">shortage_pressure = (base_price * behavior.pressure_scale</w:t>
      </w:r>
      <w:r>
        <w:t xml:space="preserve"> </w:t>
      </w:r>
      <w:r>
        <w:t xml:space="preserve">* (residual_gap / assumptions.base_demand)</w:t>
      </w:r>
      <w:r>
        <w:t xml:space="preserve"> </w:t>
      </w:r>
      <w:r>
        <w:t xml:space="preserve">/ max(abs(elasticity), 0.01))</w:t>
      </w:r>
      <w:r>
        <w:t xml:space="preserve"> </w:t>
      </w:r>
      <w:r>
        <w:t xml:space="preserve">blockade_risk_premium = (base_price * behavior.risk_weight</w:t>
      </w:r>
      <w:r>
        <w:t xml:space="preserve"> </w:t>
      </w:r>
      <w:r>
        <w:t xml:space="preserve">* (assumptions.supply_interruption / assumptions.base_demand)</w:t>
      </w:r>
      <w:r>
        <w:t xml:space="preserve"> </w:t>
      </w:r>
      <w:r>
        <w:t xml:space="preserve">* (1 - np.exp(-day_index / 7))</w:t>
      </w:r>
      <w:r>
        <w:t xml:space="preserve"> </w:t>
      </w:r>
      <w:r>
        <w:t xml:space="preserve">* np.exp(-BLOCKADE_RISK_DECAY * day_index))</w:t>
      </w:r>
      <w:r>
        <w:t xml:space="preserve"> </w:t>
      </w:r>
      <w:r>
        <w:t xml:space="preserve">panic_premium = base_price * 0.45 * fear_excess</w:t>
      </w:r>
    </w:p>
    <w:p>
      <w:pPr>
        <w:pStyle w:val="BodyText"/>
      </w:pPr>
      <w:r>
        <w:t xml:space="preserve">target_price = (base_price + shortage_pressure + blockade_risk_premium</w:t>
      </w:r>
      <w:r>
        <w:t xml:space="preserve"> </w:t>
      </w:r>
      <w:r>
        <w:t xml:space="preserve">+ panic_premium</w:t>
      </w:r>
      <w:r>
        <w:t xml:space="preserve"> </w:t>
      </w:r>
      <w:r>
        <w:t xml:space="preserve">- buffer_confirmation_discount(day_index, gap_closure_day,</w:t>
      </w:r>
      <w:r>
        <w:t xml:space="preserve"> </w:t>
      </w:r>
      <w:r>
        <w:t xml:space="preserve">base_price, behavior)</w:t>
      </w:r>
      <w:r>
        <w:t xml:space="preserve"> </w:t>
      </w:r>
      <w:r>
        <w:t xml:space="preserve">- expectation_relief_discount(day_index, base_price, behavior))</w:t>
      </w:r>
    </w:p>
    <w:p>
      <w:pPr>
        <w:pStyle w:val="BodyText"/>
      </w:pPr>
      <w:r>
        <w:t xml:space="preserve">simulated_price = previous_price + behavior.adjustment_speed * (target_price - previous_price)</w:t>
      </w:r>
      <w:r>
        <w:t xml:space="preserve"> </w:t>
      </w:r>
      <w:r>
        <w:t xml:space="preserve">simulated_price += 2.5 * (fear_excess - previous_fear_excess)</w:t>
      </w:r>
      <w:r>
        <w:t xml:space="preserve"> </w:t>
      </w:r>
      <w:r>
        <w:t xml:space="preserve">rows.append(</w:t>
      </w:r>
      <w:r>
        <w:t xml:space="preserve">"day_index": day_index, "simulated_price": simulated_price</w:t>
      </w:r>
      <w:r>
        <w:t xml:space="preserve">)</w:t>
      </w:r>
      <w:r>
        <w:t xml:space="preserve"> </w:t>
      </w:r>
      <w:r>
        <w:t xml:space="preserve">previous_price = simulated_price</w:t>
      </w:r>
      <w:r>
        <w:t xml:space="preserve"> </w:t>
      </w:r>
      <w:r>
        <w:t xml:space="preserve">previous_fear_excess = fear_excess</w:t>
      </w:r>
    </w:p>
    <w:p>
      <w:pPr>
        <w:pStyle w:val="BodyText"/>
      </w:pPr>
      <w:r>
        <w:t xml:space="preserve">return pd.DataFrame(rows)</w:t>
      </w:r>
    </w:p>
    <w:bookmarkEnd w:id="139"/>
    <w:bookmarkStart w:id="140" w:name="f-参数校准模块"/>
    <w:p>
      <w:pPr>
        <w:pStyle w:val="Heading2"/>
      </w:pPr>
      <w:r>
        <w:t xml:space="preserve">F </w:t>
      </w:r>
      <w:r>
        <w:rPr>
          <w:rFonts w:hint="eastAsia"/>
        </w:rPr>
        <w:t xml:space="preserve">参数校准模块</w:t>
      </w:r>
    </w:p>
    <w:p>
      <w:pPr>
        <w:pStyle w:val="FirstParagraph"/>
      </w:pPr>
      <w:r>
        <w:rPr>
          <w:rFonts w:hint="eastAsia"/>
        </w:rPr>
        <w:t xml:space="preserve">代码</w:t>
      </w:r>
      <w:r>
        <w:t xml:space="preserve"> </w:t>
      </w:r>
      <w:hyperlink w:anchor="lst:calibration">
        <w:r>
          <w:rPr>
            <w:rStyle w:val="Hyperlink"/>
          </w:rPr>
          <w:t xml:space="preserve">[lst:calibration]</w:t>
        </w:r>
      </w:hyperlink>
      <w:r>
        <w:t xml:space="preserve"> </w:t>
      </w:r>
      <w:r>
        <w:rPr>
          <w:rFonts w:hint="eastAsia"/>
        </w:rPr>
        <w:t xml:space="preserve">给出参数校准流程。本文在固定机制结构下，综合使用差分进化、局部稳定性搜索和拟合质量精修选择代表性参数。</w:t>
      </w:r>
    </w:p>
    <w:p>
      <w:pPr>
        <w:pStyle w:val="BodyText"/>
      </w:pPr>
      <w:r>
        <w:t xml:space="preserve">lst:calibration</w:t>
      </w:r>
      <w:r>
        <w:t xml:space="preserve">python</w:t>
      </w:r>
      <w:r>
        <w:rPr>
          <w:rFonts w:hint="eastAsia"/>
        </w:rPr>
        <w:t xml:space="preserve">参数校准与局部稳健性搜索</w:t>
      </w:r>
      <w:r>
        <w:t xml:space="preserve"> </w:t>
      </w:r>
      <w:r>
        <w:t xml:space="preserve">def refine_with_continuous_search(event_df, base_assumptions):</w:t>
      </w:r>
      <w:r>
        <w:t xml:space="preserve"> </w:t>
      </w:r>
      <w:r>
        <w:t xml:space="preserve">def objective(values):</w:t>
      </w:r>
      <w:r>
        <w:t xml:space="preserve"> </w:t>
      </w:r>
      <w:r>
        <w:t xml:space="preserve">assumptions, behavior = decode_continuous_parameters(values, base_assumptions)</w:t>
      </w:r>
      <w:r>
        <w:t xml:space="preserve"> </w:t>
      </w:r>
      <w:r>
        <w:t xml:space="preserve">simulation = dynamic.simulate_dynamic_model(event_df, assumptions, behavior)</w:t>
      </w:r>
      <w:r>
        <w:t xml:space="preserve"> </w:t>
      </w:r>
      <w:r>
        <w:t xml:space="preserve">metrics = evaluate_simulation(simulation)</w:t>
      </w:r>
    </w:p>
    <w:p>
      <w:pPr>
        <w:pStyle w:val="BodyText"/>
      </w:pPr>
      <w:r>
        <w:t xml:space="preserve"># </w:t>
      </w:r>
      <w:r>
        <w:rPr>
          <w:rFonts w:hint="eastAsia"/>
        </w:rPr>
        <w:t xml:space="preserve">综合得分同时考虑整体误差、峰值误差、末日误差和平台解释能力</w:t>
      </w:r>
      <w:r>
        <w:t xml:space="preserve"> </w:t>
      </w:r>
      <w:r>
        <w:t xml:space="preserve">return </w:t>
      </w:r>
      <w:r>
        <w:rPr>
          <w:rFonts w:hint="eastAsia"/>
        </w:rPr>
        <w:t xml:space="preserve">metrics["综合得分"]</w:t>
      </w:r>
      <w:r>
        <w:t xml:space="preserve"> + excellence_penalty(metrics)</w:t>
      </w:r>
    </w:p>
    <w:p>
      <w:pPr>
        <w:pStyle w:val="BodyText"/>
      </w:pPr>
      <w:r>
        <w:t xml:space="preserve">result = differential_evolution(</w:t>
      </w:r>
      <w:r>
        <w:t xml:space="preserve"> </w:t>
      </w:r>
      <w:r>
        <w:t xml:space="preserve">objective,</w:t>
      </w:r>
      <w:r>
        <w:t xml:space="preserve"> </w:t>
      </w:r>
      <w:r>
        <w:t xml:space="preserve">CONTINUOUS_PARAMETER_BOUNDS,</w:t>
      </w:r>
      <w:r>
        <w:t xml:space="preserve"> </w:t>
      </w:r>
      <w:r>
        <w:t xml:space="preserve">seed=RANDOM_SEED,</w:t>
      </w:r>
      <w:r>
        <w:t xml:space="preserve"> </w:t>
      </w:r>
      <w:r>
        <w:t xml:space="preserve">maxiter=LOCAL_REFINEMENT_MAXITER,</w:t>
      </w:r>
      <w:r>
        <w:t xml:space="preserve"> </w:t>
      </w:r>
      <w:r>
        <w:t xml:space="preserve">popsize=LOCAL_REFINEMENT_POPSIZE,</w:t>
      </w:r>
      <w:r>
        <w:t xml:space="preserve"> </w:t>
      </w:r>
      <w:r>
        <w:t xml:space="preserve">polish=True,</w:t>
      </w:r>
      <w:r>
        <w:t xml:space="preserve"> </w:t>
      </w:r>
      <w:r>
        <w:t xml:space="preserve">workers=1,</w:t>
      </w:r>
      <w:r>
        <w:t xml:space="preserve"> </w:t>
      </w:r>
      <w:r>
        <w:t xml:space="preserve">tol=0.002,</w:t>
      </w:r>
      <w:r>
        <w:t xml:space="preserve"> </w:t>
      </w:r>
      <w:r>
        <w:t xml:space="preserve">)</w:t>
      </w:r>
    </w:p>
    <w:p>
      <w:pPr>
        <w:pStyle w:val="BodyText"/>
      </w:pPr>
      <w:r>
        <w:t xml:space="preserve">assumptions, behavior = decode_continuous_parameters(result.x, base_assumptions)</w:t>
      </w:r>
      <w:r>
        <w:t xml:space="preserve"> </w:t>
      </w:r>
      <w:r>
        <w:t xml:space="preserve">simulation = dynamic.simulate_dynamic_model(event_df, assumptions, behavior)</w:t>
      </w:r>
      <w:r>
        <w:t xml:space="preserve"> </w:t>
      </w:r>
      <w:r>
        <w:t xml:space="preserve">metrics = evaluate_simulation(simulation)</w:t>
      </w:r>
      <w:r>
        <w:t xml:space="preserve"> </w:t>
      </w:r>
      <w:r>
        <w:rPr>
          <w:rFonts w:hint="eastAsia"/>
        </w:rPr>
        <w:t xml:space="preserve">metrics["局部精修目标值"]</w:t>
      </w:r>
      <w:r>
        <w:t xml:space="preserve"> = float(result.fun)</w:t>
      </w:r>
      <w:r>
        <w:t xml:space="preserve"> </w:t>
      </w:r>
      <w:r>
        <w:t xml:space="preserve">return assumptions, behavior, simulation, metrics</w:t>
      </w:r>
    </w:p>
    <w:p>
      <w:pPr>
        <w:pStyle w:val="BodyText"/>
      </w:pPr>
      <w:r>
        <w:t xml:space="preserve">def calibrate(event_df, base_assumptions):</w:t>
      </w:r>
      <w:r>
        <w:t xml:space="preserve"> </w:t>
      </w:r>
      <w:r>
        <w:t xml:space="preserve">rows, simulations = [],</w:t>
      </w:r>
      <w:r>
        <w:t xml:space="preserve"> </w:t>
      </w:r>
      <w:r>
        <w:t xml:space="preserve">for candidate_id, (assumptions, behavior) in enumerate(sampled_parameter_sets(base_assumptions)):</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"candidate_id": candidate_id, "candidate_source": "seeded_random",</w:t>
      </w:r>
      <w:r>
        <w:t xml:space="preserve"> </w:t>
      </w:r>
      <w:r>
        <w:t xml:space="preserve">**metrics</w:t>
      </w:r>
      <w:r>
        <w:t xml:space="preserve">)</w:t>
      </w:r>
      <w:r>
        <w:t xml:space="preserve"> </w:t>
      </w:r>
      <w:r>
        <w:t xml:space="preserve">simulations[candidate_id] = simulation</w:t>
      </w:r>
    </w:p>
    <w:p>
      <w:pPr>
        <w:pStyle w:val="BodyText"/>
      </w:pPr>
      <w:r>
        <w:t xml:space="preserve"># </w:t>
      </w:r>
      <w:r>
        <w:rPr>
          <w:rFonts w:hint="eastAsia"/>
        </w:rPr>
        <w:t xml:space="preserve">在随机搜索基础上继续做连续精修、局部稳健性搜索和拟合质量精修</w:t>
      </w:r>
      <w:r>
        <w:t xml:space="preserve"> </w:t>
      </w:r>
      <w:r>
        <w:t xml:space="preserve">refined = refine_with_continuous_search(event_df, base_assumptions)</w:t>
      </w:r>
      <w:r>
        <w:t xml:space="preserve"> </w:t>
      </w:r>
      <w:r>
        <w:t xml:space="preserve">stable = refine_with_local_stability_search(event_df, base_assumptions,</w:t>
      </w:r>
      <w:r>
        <w:t xml:space="preserve"> </w:t>
      </w:r>
      <w:r>
        <w:t xml:space="preserve">refined[0], refined[1])</w:t>
      </w:r>
      <w:r>
        <w:t xml:space="preserve"> </w:t>
      </w:r>
      <w:r>
        <w:t xml:space="preserve">final = refine_with_fit_quality_search(event_df, base_assumptions,</w:t>
      </w:r>
      <w:r>
        <w:t xml:space="preserve"> </w:t>
      </w:r>
      <w:r>
        <w:t xml:space="preserve">stable[0], stable[1])</w:t>
      </w:r>
      <w:r>
        <w:t xml:space="preserve"> </w:t>
      </w:r>
      <w:r>
        <w:t xml:space="preserve">return select_representative_candidates(rows, simulations, final)</w:t>
      </w:r>
    </w:p>
    <w:bookmarkEnd w:id="140"/>
    <w:bookmarkStart w:id="141" w:name="g-中长期油价调节模型递推与政策缓冲"/>
    <w:p>
      <w:pPr>
        <w:pStyle w:val="Heading2"/>
      </w:pPr>
      <w:r>
        <w:t xml:space="preserve">G </w:t>
      </w:r>
      <w:r>
        <w:rPr>
          <w:rFonts w:hint="eastAsia"/>
        </w:rPr>
        <w:t xml:space="preserve">中长期油价调节模型递推与政策缓冲</w:t>
      </w:r>
    </w:p>
    <w:p>
      <w:pPr>
        <w:pStyle w:val="FirstParagraph"/>
      </w:pPr>
      <w:r>
        <w:rPr>
          <w:rFonts w:hint="eastAsia"/>
        </w:rPr>
        <w:t xml:space="preserve">代码</w:t>
      </w:r>
      <w:r>
        <w:t xml:space="preserve"> </w:t>
      </w:r>
      <w:hyperlink w:anchor="lst:future-recursion">
        <w:r>
          <w:rPr>
            <w:rStyle w:val="Hyperlink"/>
          </w:rPr>
          <w:t xml:space="preserve">[lst:future-recursion]</w:t>
        </w:r>
      </w:hyperlink>
      <w:r>
        <w:t xml:space="preserve"> </w:t>
      </w:r>
      <w:r>
        <w:rPr>
          <w:rFonts w:hint="eastAsia"/>
        </w:rPr>
        <w:t xml:space="preserve">展示长期外推中</w:t>
      </w:r>
      <w:r>
        <w:t xml:space="preserve"> SPR </w:t>
      </w:r>
      <w:r>
        <w:rPr>
          <w:rFonts w:hint="eastAsia"/>
        </w:rPr>
        <w:t xml:space="preserve">自适应释放与供需再平衡的处理。该模块避免把战略储备释放机械设为满额，而是根据剩余缺口、价格压力、时间衰减和剩余等效预算动态收缩释放强度。</w:t>
      </w:r>
    </w:p>
    <w:p>
      <w:pPr>
        <w:pStyle w:val="BodyText"/>
      </w:pPr>
      <w:r>
        <w:t xml:space="preserve">lst:future-recursion</w:t>
      </w:r>
      <w:r>
        <w:t xml:space="preserve">python</w:t>
      </w:r>
      <w:r>
        <w:rPr>
          <w:rFonts w:hint="eastAsia"/>
        </w:rPr>
        <w:t xml:space="preserve">中长期油价调节模型中的</w:t>
      </w:r>
      <w:r>
        <w:t xml:space="preserve"> SPR </w:t>
      </w:r>
      <w:r>
        <w:rPr>
          <w:rFonts w:hint="eastAsia"/>
        </w:rPr>
        <w:t xml:space="preserve">自适应释放</w:t>
      </w:r>
      <w:r>
        <w:t xml:space="preserve"> </w:t>
      </w:r>
      <w:r>
        <w:t xml:space="preserve">def adaptive_spr_release(day_index, scheduled_spr, gross_gap_before_spr,</w:t>
      </w:r>
      <w:r>
        <w:t xml:space="preserve"> </w:t>
      </w:r>
      <w:r>
        <w:t xml:space="preserve">previous_price, base_price, assumptions):</w:t>
      </w:r>
      <w:r>
        <w:t xml:space="preserve"> </w:t>
      </w:r>
      <w:r>
        <w:t xml:space="preserve">if scheduled_spr &lt;= 0:</w:t>
      </w:r>
      <w:r>
        <w:t xml:space="preserve"> </w:t>
      </w:r>
      <w:r>
        <w:t xml:space="preserve">return 0.0, 0.0</w:t>
      </w:r>
    </w:p>
    <w:p>
      <w:pPr>
        <w:pStyle w:val="BodyText"/>
      </w:pPr>
      <w:r>
        <w:t xml:space="preserve"># </w:t>
      </w:r>
      <w:r>
        <w:rPr>
          <w:rFonts w:hint="eastAsia"/>
        </w:rPr>
        <w:t xml:space="preserve">当物理缺口已基本覆盖时，SPR</w:t>
      </w:r>
      <w:r>
        <w:t xml:space="preserve"> </w:t>
      </w:r>
      <w:r>
        <w:rPr>
          <w:rFonts w:hint="eastAsia"/>
        </w:rPr>
        <w:t xml:space="preserve">不再机械满额释放</w:t>
      </w:r>
      <w:r>
        <w:t xml:space="preserve"> </w:t>
      </w:r>
      <w:r>
        <w:t xml:space="preserve">reserve_buffer = assumptions.base_demand * GAP_CLOSURE_SHARE</w:t>
      </w:r>
      <w:r>
        <w:t xml:space="preserve"> </w:t>
      </w:r>
      <w:r>
        <w:t xml:space="preserve">coverage_need = max(gross_gap_before_spr + reserve_buffer, 0.0)</w:t>
      </w:r>
      <w:r>
        <w:t xml:space="preserve"> </w:t>
      </w:r>
      <w:r>
        <w:t xml:space="preserve">demand_based_release = min(scheduled_spr, coverage_need)</w:t>
      </w:r>
    </w:p>
    <w:p>
      <w:pPr>
        <w:pStyle w:val="BodyText"/>
      </w:pPr>
      <w:r>
        <w:t xml:space="preserve">stress_ratio = np.clip(gross_gap_before_spr / max(assumptions.supply_interruption, 1.0),</w:t>
      </w:r>
      <w:r>
        <w:t xml:space="preserve"> </w:t>
      </w:r>
      <w:r>
        <w:t xml:space="preserve">0.0, 1.0)</w:t>
      </w:r>
      <w:r>
        <w:t xml:space="preserve"> </w:t>
      </w:r>
      <w:r>
        <w:t xml:space="preserve">price_stress = np.clip((previous_price / base_price - SPR_PRICE_STRESS_START_RATIO)</w:t>
      </w:r>
      <w:r>
        <w:t xml:space="preserve"> </w:t>
      </w:r>
      <w:r>
        <w:t xml:space="preserve">/ SPR_PRICE_STRESS_WIDTH, 0.0, 1.0)</w:t>
      </w:r>
      <w:r>
        <w:t xml:space="preserve"> </w:t>
      </w:r>
      <w:r>
        <w:t xml:space="preserve">minimum_policy_share = SPR_MIN_POLICY_SHARE + SPR_PRICE_POLICY_SHARE * price_stress</w:t>
      </w:r>
      <w:r>
        <w:t xml:space="preserve"> </w:t>
      </w:r>
      <w:r>
        <w:t xml:space="preserve">stress_share = max(minimum_policy_share, stress_ratio)</w:t>
      </w:r>
    </w:p>
    <w:p>
      <w:pPr>
        <w:pStyle w:val="BodyText"/>
      </w:pPr>
      <w:r>
        <w:t xml:space="preserve">time_taper = 1.0</w:t>
      </w:r>
      <w:r>
        <w:t xml:space="preserve"> </w:t>
      </w:r>
      <w:r>
        <w:t xml:space="preserve">if day_index &gt; SPR_TAPER_START_DAY:</w:t>
      </w:r>
      <w:r>
        <w:t xml:space="preserve"> </w:t>
      </w:r>
      <w:r>
        <w:t xml:space="preserve">time_taper = SPR_TAPER_FLOOR + (1 - SPR_TAPER_FLOOR) * np.exp(</w:t>
      </w:r>
      <w:r>
        <w:t xml:space="preserve"> </w:t>
      </w:r>
      <w:r>
        <w:t xml:space="preserve">-(day_index - SPR_TAPER_START_DAY) / SPR_TAPER_DECAY_DAYS</w:t>
      </w:r>
      <w:r>
        <w:t xml:space="preserve"> </w:t>
      </w:r>
      <w:r>
        <w:t xml:space="preserve">)</w:t>
      </w:r>
    </w:p>
    <w:p>
      <w:pPr>
        <w:pStyle w:val="BodyText"/>
      </w:pPr>
      <w:r>
        <w:t xml:space="preserve">actual_release = max(demand_based_release, scheduled_spr * stress_share * time_taper)</w:t>
      </w:r>
      <w:r>
        <w:t xml:space="preserve"> </w:t>
      </w:r>
      <w:r>
        <w:t xml:space="preserve">actual_release = float(min(scheduled_spr, actual_release))</w:t>
      </w:r>
      <w:r>
        <w:t xml:space="preserve"> </w:t>
      </w:r>
      <w:r>
        <w:t xml:space="preserve">return actual_release, actual_release / scheduled_spr</w:t>
      </w:r>
    </w:p>
    <w:p>
      <w:pPr>
        <w:pStyle w:val="BodyText"/>
      </w:pPr>
      <w:r>
        <w:t xml:space="preserve">def simulate_future_from_prefix(prefix, future_frame, assumptions, behavior, base_price):</w:t>
      </w:r>
      <w:r>
        <w:t xml:space="preserve"> </w:t>
      </w:r>
      <w:r>
        <w:t xml:space="preserve">spr_budget_total, spr_future_budget, spr_remaining = initialize_spr_budget(prefix, assumptions)</w:t>
      </w:r>
      <w:r>
        <w:t xml:space="preserve"> </w:t>
      </w:r>
      <w:r>
        <w:t xml:space="preserve">inventory_remaining = float(prefix.iloc[-1]["inventory_remaining"])</w:t>
      </w:r>
    </w:p>
    <w:p>
      <w:pPr>
        <w:pStyle w:val="BodyText"/>
      </w:pPr>
      <w:r>
        <w:t xml:space="preserve">for _, row in future_frame.iterrows():</w:t>
      </w:r>
      <w:r>
        <w:t xml:space="preserve"> </w:t>
      </w:r>
      <w:r>
        <w:t xml:space="preserve">scheduled_spr = ramp(row["day_index"], assumptions.spr_delay_days,</w:t>
      </w:r>
      <w:r>
        <w:t xml:space="preserve"> </w:t>
      </w:r>
      <w:r>
        <w:t xml:space="preserve">assumptions.spr_ramp_days, assumptions.spr_max_release)</w:t>
      </w:r>
      <w:r>
        <w:t xml:space="preserve"> </w:t>
      </w:r>
      <w:r>
        <w:t xml:space="preserve">spr_release, taper_ratio = adaptive_spr_release(...)</w:t>
      </w:r>
      <w:r>
        <w:t xml:space="preserve"> </w:t>
      </w:r>
      <w:r>
        <w:t xml:space="preserve">spr_release = min(spr_release, spr_remaining)</w:t>
      </w:r>
      <w:r>
        <w:t xml:space="preserve"> </w:t>
      </w:r>
      <w:r>
        <w:t xml:space="preserve">spr_remaining = max(spr_remaining - spr_release, 0.0)</w:t>
      </w:r>
    </w:p>
    <w:p>
      <w:pPr>
        <w:pStyle w:val="BodyText"/>
      </w:pPr>
      <w:r>
        <w:t xml:space="preserve"># </w:t>
      </w:r>
      <w:r>
        <w:rPr>
          <w:rFonts w:hint="eastAsia"/>
        </w:rPr>
        <w:t xml:space="preserve">当</w:t>
      </w:r>
      <w:r>
        <w:t xml:space="preserve"> SPR </w:t>
      </w:r>
      <w:r>
        <w:rPr>
          <w:rFonts w:hint="eastAsia"/>
        </w:rPr>
        <w:t xml:space="preserve">接近耗尽且剩余缺口仍存在时，加入二次跳涨压力</w:t>
      </w:r>
      <w:r>
        <w:t xml:space="preserve"> </w:t>
      </w:r>
      <w:r>
        <w:t xml:space="preserve">exhaustion_premium, exhaustion_pressure = spr_exhaustion_premium(</w:t>
      </w:r>
      <w:r>
        <w:t xml:space="preserve"> </w:t>
      </w:r>
      <w:r>
        <w:t xml:space="preserve">spr_remaining, spr_future_budget, residual_gap, base_price, assumptions</w:t>
      </w:r>
      <w:r>
        <w:t xml:space="preserve"> </w:t>
      </w:r>
      <w:r>
        <w:t xml:space="preserve">)</w:t>
      </w:r>
      <w:r>
        <w:t xml:space="preserve"> </w:t>
      </w:r>
      <w:r>
        <w:t xml:space="preserve">target_price = base_price + shortage_pressure + risk_premium  + exhaustion_premium - buffer_discount - relief_discount</w:t>
      </w:r>
    </w:p>
    <w:bookmarkEnd w:id="141"/>
    <w:bookmarkStart w:id="142" w:name="h-长期状态转移递推"/>
    <w:p>
      <w:pPr>
        <w:pStyle w:val="Heading2"/>
      </w:pPr>
      <w:r>
        <w:t xml:space="preserve">H </w:t>
      </w:r>
      <w:r>
        <w:rPr>
          <w:rFonts w:hint="eastAsia"/>
        </w:rPr>
        <w:t xml:space="preserve">长期状态转移递推</w:t>
      </w:r>
    </w:p>
    <w:p>
      <w:pPr>
        <w:pStyle w:val="FirstParagraph"/>
      </w:pPr>
      <w:r>
        <w:rPr>
          <w:rFonts w:hint="eastAsia"/>
        </w:rPr>
        <w:t xml:space="preserve">代码</w:t>
      </w:r>
      <w:r>
        <w:t xml:space="preserve"> </w:t>
      </w:r>
      <w:hyperlink w:anchor="lst:state-transition-probability">
        <w:r>
          <w:rPr>
            <w:rStyle w:val="Hyperlink"/>
          </w:rPr>
          <w:t xml:space="preserve">[lst:state-transition-probability]</w:t>
        </w:r>
      </w:hyperlink>
      <w:r>
        <w:t xml:space="preserve"> </w:t>
      </w:r>
      <w:r>
        <w:rPr>
          <w:rFonts w:hint="eastAsia"/>
        </w:rPr>
        <w:t xml:space="preserve">展示长期预测中状态转移概率的递推方式。基础矩阵先给出缓和、维持、升级三类状态之间的常规切换概率，再映射到</w:t>
      </w:r>
      <w:r>
        <w:t xml:space="preserve"> logit </w:t>
      </w:r>
      <w:r>
        <w:rPr>
          <w:rFonts w:hint="eastAsia"/>
        </w:rPr>
        <w:t xml:space="preserve">空间，由物理压力和</w:t>
      </w:r>
      <w:r>
        <w:t xml:space="preserve"> GPR/OVX </w:t>
      </w:r>
      <w:r>
        <w:rPr>
          <w:rFonts w:hint="eastAsia"/>
        </w:rPr>
        <w:t xml:space="preserve">综合风险压力对升级倾向进行温和修正；后期缓和不再按日历时间机械触发，而由恢复证据门控。</w:t>
      </w:r>
    </w:p>
    <w:p>
      <w:pPr>
        <w:pStyle w:val="BodyText"/>
      </w:pPr>
      <w:r>
        <w:t xml:space="preserve">lst:state-transition-probability</w:t>
      </w:r>
      <w:r>
        <w:t xml:space="preserve">python</w:t>
      </w:r>
      <w:r>
        <w:rPr>
          <w:rFonts w:hint="eastAsia"/>
        </w:rPr>
        <w:t xml:space="preserve">长期状态转移概率递推</w:t>
      </w:r>
      <w:r>
        <w:t xml:space="preserve"> </w:t>
      </w:r>
      <w:r>
        <w:t xml:space="preserve">def transition_probabilities(current_state, day_index, risk_constraints,</w:t>
      </w:r>
      <w:r>
        <w:t xml:space="preserve"> </w:t>
      </w:r>
      <w:r>
        <w:t xml:space="preserve">physical_pressure, recovery_evidence):</w:t>
      </w:r>
      <w:r>
        <w:t xml:space="preserve"> </w:t>
      </w:r>
      <w:r>
        <w:t xml:space="preserve">base_probs = TRANSITION_MATRIX[STATE_INDEX[current_state]].copy()</w:t>
      </w:r>
      <w:r>
        <w:t xml:space="preserve"> </w:t>
      </w:r>
      <w:r>
        <w:t xml:space="preserve">logits = np.log(np.clip(base_probs, 1e-6, 1.0))</w:t>
      </w:r>
    </w:p>
    <w:p>
      <w:pPr>
        <w:pStyle w:val="BodyText"/>
      </w:pPr>
      <w:r>
        <w:t xml:space="preserve"># </w:t>
      </w:r>
      <w:r>
        <w:rPr>
          <w:rFonts w:hint="eastAsia"/>
        </w:rPr>
        <w:t xml:space="preserve">市场风险主要影响外推早中期；物理压力来自剩余缺口、SPR、库存和绕道</w:t>
      </w:r>
      <w:r>
        <w:t xml:space="preserve"> </w:t>
      </w:r>
      <w:r>
        <w:t xml:space="preserve">early_risk_decay = np.clip(1.0 - max(day_index - 60, 0) / 150.0,</w:t>
      </w:r>
      <w:r>
        <w:t xml:space="preserve"> </w:t>
      </w:r>
      <w:r>
        <w:t xml:space="preserve">0.25, 1.0)</w:t>
      </w:r>
      <w:r>
        <w:t xml:space="preserve"> </w:t>
      </w:r>
      <w:r>
        <w:t xml:space="preserve">risk_shift = risk_constraints.combined_pressure * early_risk_decay * 0.75</w:t>
      </w:r>
      <w:r>
        <w:t xml:space="preserve"> </w:t>
      </w:r>
      <w:r>
        <w:t xml:space="preserve">physical_shift = np.clip(physical_pressure, 0.0, 1.0) * 0.80</w:t>
      </w:r>
      <w:r>
        <w:t xml:space="preserve"> </w:t>
      </w:r>
      <w:r>
        <w:t xml:space="preserve">logits[STATE_INDEX["escalation"]] += 0.16 * risk_shift + 0.24 * physical_shift</w:t>
      </w:r>
      <w:r>
        <w:t xml:space="preserve"> </w:t>
      </w:r>
      <w:r>
        <w:t xml:space="preserve">logits[STATE_INDEX["easing"]] -= 0.11 * risk_shift + 0.18 * physical_shift</w:t>
      </w:r>
    </w:p>
    <w:p>
      <w:pPr>
        <w:pStyle w:val="BodyText"/>
      </w:pPr>
      <w:r>
        <w:t xml:space="preserve">if current_state == "escalation":</w:t>
      </w:r>
      <w:r>
        <w:t xml:space="preserve"> </w:t>
      </w:r>
      <w:r>
        <w:t xml:space="preserve">logits[STATE_INDEX["escalation"]] += 0.07 * risk_shift + 0.11 * physical_shift</w:t>
      </w:r>
      <w:r>
        <w:t xml:space="preserve"> </w:t>
      </w:r>
      <w:r>
        <w:t xml:space="preserve">elif current_state == "easing":</w:t>
      </w:r>
      <w:r>
        <w:t xml:space="preserve"> </w:t>
      </w:r>
      <w:r>
        <w:t xml:space="preserve">logits[STATE_INDEX["neutral"]] += 0.04 * risk_shift</w:t>
      </w:r>
    </w:p>
    <w:p>
      <w:pPr>
        <w:pStyle w:val="BodyText"/>
      </w:pPr>
      <w:r>
        <w:t xml:space="preserve"># </w:t>
      </w:r>
      <w:r>
        <w:rPr>
          <w:rFonts w:hint="eastAsia"/>
        </w:rPr>
        <w:t xml:space="preserve">后期缓和由恢复证据门控，而不是只由日期触发</w:t>
      </w:r>
      <w:r>
        <w:t xml:space="preserve"> </w:t>
      </w:r>
      <w:r>
        <w:t xml:space="preserve">recovery_gate = np.clip((recovery_evidence - 0.45) / 0.35, 0.0, 1.0)</w:t>
      </w:r>
      <w:r>
        <w:t xml:space="preserve"> </w:t>
      </w:r>
      <w:r>
        <w:t xml:space="preserve">stress_brake = np.clip(1.0 - 0.75 * physical_shift, 0.0, 1.0)</w:t>
      </w:r>
      <w:r>
        <w:t xml:space="preserve"> </w:t>
      </w:r>
      <w:r>
        <w:t xml:space="preserve">conditional_easing = 0.75 * recovery_gate * stress_brake</w:t>
      </w:r>
      <w:r>
        <w:t xml:space="preserve"> </w:t>
      </w:r>
      <w:r>
        <w:t xml:space="preserve">if day_index &gt;= 120:</w:t>
      </w:r>
      <w:r>
        <w:t xml:space="preserve"> </w:t>
      </w:r>
      <w:r>
        <w:t xml:space="preserve">logits[STATE_INDEX["easing"]] += 0.26 * conditional_easing</w:t>
      </w:r>
      <w:r>
        <w:t xml:space="preserve"> </w:t>
      </w:r>
      <w:r>
        <w:t xml:space="preserve">logits[STATE_INDEX["escalation"]] -= 0.24 * conditional_easing</w:t>
      </w:r>
      <w:r>
        <w:t xml:space="preserve"> </w:t>
      </w:r>
      <w:r>
        <w:t xml:space="preserve">if day_index &gt;= 150:</w:t>
      </w:r>
      <w:r>
        <w:t xml:space="preserve"> </w:t>
      </w:r>
      <w:r>
        <w:t xml:space="preserve">logits[STATE_INDEX["easing"]] += 0.18 * conditional_easing</w:t>
      </w:r>
      <w:r>
        <w:t xml:space="preserve"> </w:t>
      </w:r>
      <w:r>
        <w:t xml:space="preserve">logits[STATE_INDEX["neutral"]] -= 0.07 * conditional_easing</w:t>
      </w:r>
      <w:r>
        <w:t xml:space="preserve"> </w:t>
      </w:r>
      <w:r>
        <w:t xml:space="preserve">logits[STATE_INDEX["escalation"]] -= 0.11 * conditional_easing</w:t>
      </w:r>
    </w:p>
    <w:p>
      <w:pPr>
        <w:pStyle w:val="BodyText"/>
      </w:pPr>
      <w:r>
        <w:t xml:space="preserve">exp_values = np.exp(logits - np.max(logits))</w:t>
      </w:r>
      <w:r>
        <w:t xml:space="preserve"> </w:t>
      </w:r>
      <w:r>
        <w:t xml:space="preserve">return exp_values / exp_values.sum()</w:t>
      </w:r>
    </w:p>
    <w:p>
      <w:pPr>
        <w:pStyle w:val="BodyText"/>
      </w:pPr>
      <w:r>
        <w:rPr>
          <w:rFonts w:hint="eastAsia"/>
        </w:rPr>
        <w:t xml:space="preserve">代码</w:t>
      </w:r>
      <w:r>
        <w:t xml:space="preserve"> </w:t>
      </w:r>
      <w:hyperlink w:anchor="lst:state-transition-path">
        <w:r>
          <w:rPr>
            <w:rStyle w:val="Hyperlink"/>
          </w:rPr>
          <w:t xml:space="preserve">[lst:state-transition-path]</w:t>
        </w:r>
      </w:hyperlink>
      <w:r>
        <w:t xml:space="preserve"> </w:t>
      </w:r>
      <w:r>
        <w:rPr>
          <w:rFonts w:hint="eastAsia"/>
        </w:rPr>
        <w:t xml:space="preserve">展示状态转移路径的价格递推。每条样本路径先抽取下一期市场状态，再根据状态选择对应中心情景，并叠加历史波动率约束下的扰动和状态切换跳跃，由此得到长期条件区间和尾部风险。</w:t>
      </w:r>
    </w:p>
    <w:p>
      <w:pPr>
        <w:pStyle w:val="BodyText"/>
      </w:pPr>
      <w:r>
        <w:t xml:space="preserve">lst:state-transition-path</w:t>
      </w:r>
      <w:r>
        <w:t xml:space="preserve">python</w:t>
      </w:r>
      <w:r>
        <w:rPr>
          <w:rFonts w:hint="eastAsia"/>
        </w:rPr>
        <w:t xml:space="preserve">状态转移路径价格递推</w:t>
      </w:r>
      <w:r>
        <w:t xml:space="preserve"> </w:t>
      </w:r>
      <w:r>
        <w:t xml:space="preserve">def simulate_path(rng, sample_id, dates, center_price_lookup, start_price,</w:t>
      </w:r>
      <w:r>
        <w:t xml:space="preserve"> </w:t>
      </w:r>
      <w:r>
        <w:t xml:space="preserve">daily_sigma, transition_jump_sigma_scale, risk_constraints,</w:t>
      </w:r>
      <w:r>
        <w:t xml:space="preserve"> </w:t>
      </w:r>
      <w:r>
        <w:t xml:space="preserve">physical_pressure_lookup, recovery_evidence_lookup):</w:t>
      </w:r>
      <w:r>
        <w:t xml:space="preserve"> </w:t>
      </w:r>
      <w:r>
        <w:t xml:space="preserve">state = "neutral"</w:t>
      </w:r>
      <w:r>
        <w:t xml:space="preserve"> </w:t>
      </w:r>
      <w:r>
        <w:t xml:space="preserve">previous_price = start_price</w:t>
      </w:r>
      <w:r>
        <w:t xml:space="preserve"> </w:t>
      </w:r>
      <w:r>
        <w:t xml:space="preserve">previous_noise = 0.0</w:t>
      </w:r>
      <w:r>
        <w:t xml:space="preserve"> </w:t>
      </w:r>
      <w:r>
        <w:t xml:space="preserve">rows = []</w:t>
      </w:r>
    </w:p>
    <w:p>
      <w:pPr>
        <w:pStyle w:val="BodyText"/>
      </w:pPr>
      <w:r>
        <w:t xml:space="preserve">for _, base_row in dates.iterrows():</w:t>
      </w:r>
      <w:r>
        <w:t xml:space="preserve"> </w:t>
      </w:r>
      <w:r>
        <w:t xml:space="preserve">day_index = int(base_row["day_index"])</w:t>
      </w:r>
      <w:r>
        <w:t xml:space="preserve"> </w:t>
      </w:r>
      <w:r>
        <w:t xml:space="preserve">physical_pressure = physical_pressure_lookup.get(day_index, 0.0)</w:t>
      </w:r>
      <w:r>
        <w:t xml:space="preserve"> </w:t>
      </w:r>
      <w:r>
        <w:t xml:space="preserve">recovery_evidence = recovery_evidence_lookup.get(day_index, 0.0)</w:t>
      </w:r>
      <w:r>
        <w:t xml:space="preserve"> </w:t>
      </w:r>
      <w:r>
        <w:t xml:space="preserve">next_state = sample_next_state(rng, state, day_index, risk_constraints,</w:t>
      </w:r>
      <w:r>
        <w:t xml:space="preserve"> </w:t>
      </w:r>
      <w:r>
        <w:t xml:space="preserve">physical_pressure_lookup,</w:t>
      </w:r>
      <w:r>
        <w:t xml:space="preserve"> </w:t>
      </w:r>
      <w:r>
        <w:t xml:space="preserve">recovery_evidence_lookup)</w:t>
      </w:r>
      <w:r>
        <w:t xml:space="preserve"> </w:t>
      </w:r>
      <w:r>
        <w:t xml:space="preserve">spec = STATES[STATE_INDEX[next_state]]</w:t>
      </w:r>
      <w:r>
        <w:t xml:space="preserve"> </w:t>
      </w:r>
      <w:r>
        <w:t xml:space="preserve">target_price = center_price_lookup[spec.center_scenario][day_index]</w:t>
      </w:r>
    </w:p>
    <w:p>
      <w:pPr>
        <w:pStyle w:val="BodyText"/>
      </w:pPr>
      <w:r>
        <w:t xml:space="preserve">noise_scale = max(previous_price * daily_sigma</w:t>
      </w:r>
      <w:r>
        <w:t xml:space="preserve"> </w:t>
      </w:r>
      <w:r>
        <w:t xml:space="preserve">* spec.volatility_multiplier, 0.15)</w:t>
      </w:r>
      <w:r>
        <w:t xml:space="preserve"> </w:t>
      </w:r>
      <w:r>
        <w:t xml:space="preserve">innovation = rng.normal(0.0, noise_scale)</w:t>
      </w:r>
      <w:r>
        <w:t xml:space="preserve"> </w:t>
      </w:r>
      <w:r>
        <w:t xml:space="preserve">previous_noise = 0.30 * previous_noise + innovation</w:t>
      </w:r>
      <w:r>
        <w:t xml:space="preserve"> </w:t>
      </w:r>
      <w:r>
        <w:t xml:space="preserve">transition_jump = 0.0</w:t>
      </w:r>
      <w:r>
        <w:t xml:space="preserve"> </w:t>
      </w:r>
      <w:r>
        <w:t xml:space="preserve">if next_state != state:</w:t>
      </w:r>
      <w:r>
        <w:t xml:space="preserve"> </w:t>
      </w:r>
      <w:r>
        <w:t xml:space="preserve">transition_jump = rng.normal(spec.transition_jump_mean,</w:t>
      </w:r>
      <w:r>
        <w:t xml:space="preserve"> </w:t>
      </w:r>
      <w:r>
        <w:t xml:space="preserve">spec.transition_jump_sigma</w:t>
      </w:r>
      <w:r>
        <w:t xml:space="preserve"> </w:t>
      </w:r>
      <w:r>
        <w:t xml:space="preserve">* transition_jump_sigma_scale)</w:t>
      </w:r>
    </w:p>
    <w:p>
      <w:pPr>
        <w:pStyle w:val="BodyText"/>
      </w:pPr>
      <w:r>
        <w:t xml:space="preserve">price = 0.82 * previous_price + 0.18 * target_price</w:t>
      </w:r>
      <w:r>
        <w:t xml:space="preserve"> </w:t>
      </w:r>
      <w:r>
        <w:t xml:space="preserve">price = np.clip(price + previous_noise + transition_jump, 70.0, 145.0)</w:t>
      </w:r>
      <w:r>
        <w:t xml:space="preserve"> </w:t>
      </w:r>
      <w:r>
        <w:t xml:space="preserve">rows.append(</w:t>
      </w:r>
      <w:r>
        <w:t xml:space="preserve">"sample_id": sample_id, "day_index": day_index,</w:t>
      </w:r>
      <w:r>
        <w:t xml:space="preserve"> </w:t>
      </w:r>
      <w:r>
        <w:t xml:space="preserve">"trade_date": base_row["trade_date"], </w:t>
      </w:r>
      <w:r>
        <w:rPr>
          <w:rFonts w:hint="eastAsia"/>
        </w:rPr>
        <w:t xml:space="preserve">"状态":</w:t>
      </w:r>
      <w:r>
        <w:t xml:space="preserve"> spec.label,</w:t>
      </w:r>
      <w:r>
        <w:t xml:space="preserve"> </w:t>
      </w:r>
      <w:r>
        <w:t xml:space="preserve">"forecast_price": price</w:t>
      </w:r>
      <w:r>
        <w:t xml:space="preserve">)</w:t>
      </w:r>
      <w:r>
        <w:t xml:space="preserve"> </w:t>
      </w:r>
      <w:r>
        <w:t xml:space="preserve">state = next_state</w:t>
      </w:r>
      <w:r>
        <w:t xml:space="preserve"> </w:t>
      </w:r>
      <w:r>
        <w:t xml:space="preserve">previous_price = price</w:t>
      </w:r>
    </w:p>
    <w:p>
      <w:pPr>
        <w:pStyle w:val="BodyText"/>
      </w:pPr>
      <w:r>
        <w:t xml:space="preserve">return pd.DataFrame(rows)</w:t>
      </w:r>
    </w:p>
    <w:bookmarkEnd w:id="142"/>
    <w:bookmarkStart w:id="143" w:name="i-蒙特卡洛情景预测"/>
    <w:p>
      <w:pPr>
        <w:pStyle w:val="Heading2"/>
      </w:pPr>
      <w:r>
        <w:t xml:space="preserve">I </w:t>
      </w:r>
      <w:r>
        <w:rPr>
          <w:rFonts w:hint="eastAsia"/>
        </w:rPr>
        <w:t xml:space="preserve">蒙特卡洛情景预测</w:t>
      </w:r>
    </w:p>
    <w:p>
      <w:pPr>
        <w:pStyle w:val="FirstParagraph"/>
      </w:pPr>
      <w:r>
        <w:rPr>
          <w:rFonts w:hint="eastAsia"/>
        </w:rPr>
        <w:t xml:space="preserve">代码</w:t>
      </w:r>
      <w:r>
        <w:t xml:space="preserve"> </w:t>
      </w:r>
      <w:hyperlink w:anchor="lst:monte-carlo">
        <w:r>
          <w:rPr>
            <w:rStyle w:val="Hyperlink"/>
          </w:rPr>
          <w:t xml:space="preserve">[lst:monte-carlo]</w:t>
        </w:r>
      </w:hyperlink>
      <w:r>
        <w:t xml:space="preserve"> </w:t>
      </w:r>
      <w:r>
        <w:rPr>
          <w:rFonts w:hint="eastAsia"/>
        </w:rPr>
        <w:t xml:space="preserve">展示长期蒙特卡洛情景树的核心思想。模型以压力指数为主轴，同时扰动供应中断、SPR</w:t>
      </w:r>
      <w:r>
        <w:t xml:space="preserve"> </w:t>
      </w:r>
      <w:r>
        <w:rPr>
          <w:rFonts w:hint="eastAsia"/>
        </w:rPr>
        <w:t xml:space="preserve">释放、绕道能力、需求弹性、风险权重和不确定性溢价，由此得到长期价格区间和尾部风险概率。</w:t>
      </w:r>
    </w:p>
    <w:p>
      <w:pPr>
        <w:pStyle w:val="BodyText"/>
      </w:pPr>
      <w:r>
        <w:t xml:space="preserve">lst:monte-carlo</w:t>
      </w:r>
      <w:r>
        <w:t xml:space="preserve">python</w:t>
      </w:r>
      <w:r>
        <w:rPr>
          <w:rFonts w:hint="eastAsia"/>
        </w:rPr>
        <w:t xml:space="preserve">蒙特卡洛情景树参数抽样</w:t>
      </w:r>
      <w:r>
        <w:t xml:space="preserve"> </w:t>
      </w:r>
      <w:r>
        <w:t xml:space="preserve">def sample_parameters(rng, base_assumptions, base_behavior, historical_factors):</w:t>
      </w:r>
      <w:r>
        <w:t xml:space="preserve"> </w:t>
      </w:r>
      <w:r>
        <w:t xml:space="preserve">raw_stress = float(rng.beta(2.1, 2.3))</w:t>
      </w:r>
      <w:r>
        <w:t xml:space="preserve"> </w:t>
      </w:r>
      <w:r>
        <w:t xml:space="preserve">stress = float(np.clip(raw_stress + rng.normal(</w:t>
      </w:r>
      <w:r>
        <w:t xml:space="preserve"> </w:t>
      </w:r>
      <w:r>
        <w:t xml:space="preserve">0.0, historical_factors.monte_carlo_stress_noise_sigma), 0.0, 1.0))</w:t>
      </w:r>
    </w:p>
    <w:p>
      <w:pPr>
        <w:pStyle w:val="BodyText"/>
      </w:pPr>
      <w:r>
        <w:t xml:space="preserve">supply_interruption = np.clip(1400 + 400 * stress + rng.normal(0, 35), 1400, 1800)</w:t>
      </w:r>
      <w:r>
        <w:t xml:space="preserve"> </w:t>
      </w:r>
      <w:r>
        <w:t xml:space="preserve">spr_max_release = np.clip(700 - 500 * (stress ** 1.08) + rng.normal(0, 30), 200, 700)</w:t>
      </w:r>
      <w:r>
        <w:t xml:space="preserve"> </w:t>
      </w:r>
      <w:r>
        <w:t xml:space="preserve">route_max_capacity = np.clip(360 - 210 * stress + rng.normal(0, 22), 150, 420)</w:t>
      </w:r>
      <w:r>
        <w:t xml:space="preserve"> </w:t>
      </w:r>
      <w:r>
        <w:t xml:space="preserve">long_elasticity = np.clip(-0.35 + 0.25 * stress + rng.normal(0, 0.018),</w:t>
      </w:r>
      <w:r>
        <w:t xml:space="preserve"> </w:t>
      </w:r>
      <w:r>
        <w:t xml:space="preserve">-0.35, -0.10)</w:t>
      </w:r>
    </w:p>
    <w:p>
      <w:pPr>
        <w:pStyle w:val="BodyText"/>
      </w:pPr>
      <w:r>
        <w:t xml:space="preserve">risk_weight = np.clip(base_behavior.risk_weight * (0.74 + 0.62 * stress</w:t>
      </w:r>
      <w:r>
        <w:t xml:space="preserve"> </w:t>
      </w:r>
      <w:r>
        <w:t xml:space="preserve">+ rng.normal(0, 0.06)),</w:t>
      </w:r>
      <w:r>
        <w:t xml:space="preserve"> </w:t>
      </w:r>
      <w:r>
        <w:t xml:space="preserve">1.65, 3.35)</w:t>
      </w:r>
      <w:r>
        <w:t xml:space="preserve"> </w:t>
      </w:r>
      <w:r>
        <w:t xml:space="preserve">uncertainty_scale = 0.64 + 0.78 * stress + rng.normal(0, 0.06)</w:t>
      </w:r>
      <w:r>
        <w:t xml:space="preserve"> </w:t>
      </w:r>
      <w:r>
        <w:t xml:space="preserve">uncertainty_floor = np.clip(base_behavior.uncertainty_floor * uncertainty_scale,</w:t>
      </w:r>
      <w:r>
        <w:t xml:space="preserve"> </w:t>
      </w:r>
      <w:r>
        <w:t xml:space="preserve">0.13, 0.36)</w:t>
      </w:r>
    </w:p>
    <w:p>
      <w:pPr>
        <w:pStyle w:val="BodyText"/>
      </w:pPr>
      <w:r>
        <w:t xml:space="preserve">assumptions = replace(base_assumptions,</w:t>
      </w:r>
      <w:r>
        <w:t xml:space="preserve"> </w:t>
      </w:r>
      <w:r>
        <w:t xml:space="preserve">supply_interruption=supply_interruption,</w:t>
      </w:r>
      <w:r>
        <w:t xml:space="preserve"> </w:t>
      </w:r>
      <w:r>
        <w:t xml:space="preserve">spr_max_release=spr_max_release,</w:t>
      </w:r>
      <w:r>
        <w:t xml:space="preserve"> </w:t>
      </w:r>
      <w:r>
        <w:t xml:space="preserve">route_max_capacity=route_max_capacity,</w:t>
      </w:r>
      <w:r>
        <w:t xml:space="preserve"> </w:t>
      </w:r>
      <w:r>
        <w:t xml:space="preserve">long_elasticity=long_elasticity)</w:t>
      </w:r>
      <w:r>
        <w:t xml:space="preserve"> </w:t>
      </w:r>
      <w:r>
        <w:t xml:space="preserve">behavior = replace(base_behavior,</w:t>
      </w:r>
      <w:r>
        <w:t xml:space="preserve"> </w:t>
      </w:r>
      <w:r>
        <w:t xml:space="preserve">risk_weight=risk_weight,</w:t>
      </w:r>
      <w:r>
        <w:t xml:space="preserve"> </w:t>
      </w:r>
      <w:r>
        <w:t xml:space="preserve">uncertainty_floor=uncertainty_floor)</w:t>
      </w:r>
      <w:r>
        <w:t xml:space="preserve"> </w:t>
      </w:r>
      <w:r>
        <w:t xml:space="preserve">return assumptions, behavior,</w:t>
      </w:r>
      <w:r>
        <w:t xml:space="preserve"> </w:t>
      </w:r>
      <w:r>
        <w:t xml:space="preserve">"stress_index": stress</w:t>
      </w:r>
    </w:p>
    <w:p>
      <w:pPr>
        <w:pStyle w:val="BodyText"/>
      </w:pPr>
      <w:r>
        <w:t xml:space="preserve">def run_monte_carlo(n_samples):</w:t>
      </w:r>
      <w:r>
        <w:t xml:space="preserve"> </w:t>
      </w:r>
      <w:r>
        <w:t xml:space="preserve">forecast_frame, prefix, base_assumptions, base_behavior = load_baseline()</w:t>
      </w:r>
      <w:r>
        <w:t xml:space="preserve"> </w:t>
      </w:r>
      <w:r>
        <w:t xml:space="preserve">historical_factors = load_historical_model_factors()</w:t>
      </w:r>
      <w:r>
        <w:t xml:space="preserve"> </w:t>
      </w:r>
      <w:r>
        <w:t xml:space="preserve">rng = np.random.default_rng(RANDOM_SEED)</w:t>
      </w:r>
      <w:r>
        <w:t xml:space="preserve"> </w:t>
      </w:r>
      <w:r>
        <w:t xml:space="preserve">paths, metric_rows = [], []</w:t>
      </w:r>
    </w:p>
    <w:p>
      <w:pPr>
        <w:pStyle w:val="BodyText"/>
      </w:pPr>
      <w:r>
        <w:t xml:space="preserve">for sample_id in range(1, n_samples + 1):</w:t>
      </w:r>
      <w:r>
        <w:t xml:space="preserve"> </w:t>
      </w:r>
      <w:r>
        <w:t xml:space="preserve">assumptions, behavior, meta = sample_parameters(</w:t>
      </w:r>
      <w:r>
        <w:t xml:space="preserve"> </w:t>
      </w:r>
      <w:r>
        <w:t xml:space="preserve">rng, base_assumptions, base_behavior, historical_factors)</w:t>
      </w:r>
      <w:r>
        <w:t xml:space="preserve"> </w:t>
      </w:r>
      <w:r>
        <w:t xml:space="preserve">path = simulate_one_sample(forecast_frame, prefix, assumptions, behavior)</w:t>
      </w:r>
      <w:r>
        <w:t xml:space="preserve"> </w:t>
      </w:r>
      <w:r>
        <w:t xml:space="preserve">paths.append(path)</w:t>
      </w:r>
      <w:r>
        <w:t xml:space="preserve"> </w:t>
      </w:r>
      <w:r>
        <w:t xml:space="preserve">metric_rows.append(summarize_sample(path, prefix, meta))</w:t>
      </w:r>
    </w:p>
    <w:p>
      <w:pPr>
        <w:pStyle w:val="BodyText"/>
      </w:pPr>
      <w:r>
        <w:t xml:space="preserve">metrics = pd.DataFrame(metric_rows)</w:t>
      </w:r>
      <w:r>
        <w:t xml:space="preserve"> </w:t>
      </w:r>
      <w:r>
        <w:t xml:space="preserve">return metrics, build_quantiles(paths), build_tail_risk(metrics)</w:t>
      </w:r>
    </w:p>
    <w:bookmarkEnd w:id="143"/>
    <w:bookmarkStart w:id="144" w:name="j-机制消融与统计检验"/>
    <w:p>
      <w:pPr>
        <w:pStyle w:val="Heading2"/>
      </w:pPr>
      <w:r>
        <w:t xml:space="preserve">J </w:t>
      </w:r>
      <w:r>
        <w:rPr>
          <w:rFonts w:hint="eastAsia"/>
        </w:rPr>
        <w:t xml:space="preserve">机制消融与统计检验</w:t>
      </w:r>
    </w:p>
    <w:p>
      <w:pPr>
        <w:pStyle w:val="FirstParagraph"/>
      </w:pPr>
      <w:r>
        <w:rPr>
          <w:rFonts w:hint="eastAsia"/>
        </w:rPr>
        <w:t xml:space="preserve">代码</w:t>
      </w:r>
      <w:r>
        <w:t xml:space="preserve"> </w:t>
      </w:r>
      <w:hyperlink w:anchor="lst:ablation">
        <w:r>
          <w:rPr>
            <w:rStyle w:val="Hyperlink"/>
          </w:rPr>
          <w:t xml:space="preserve">[lst:ablation]</w:t>
        </w:r>
      </w:hyperlink>
      <w:r>
        <w:t xml:space="preserve"> </w:t>
      </w:r>
      <w:r>
        <w:rPr>
          <w:rFonts w:hint="eastAsia"/>
        </w:rPr>
        <w:t xml:space="preserve">用于逐项关闭模型机制，检验主结论是否依赖某一个单独设定。</w:t>
      </w:r>
    </w:p>
    <w:p>
      <w:pPr>
        <w:pStyle w:val="BodyText"/>
      </w:pPr>
      <w:r>
        <w:t xml:space="preserve">lst:ablation</w:t>
      </w:r>
      <w:r>
        <w:t xml:space="preserve">python</w:t>
      </w:r>
      <w:r>
        <w:rPr>
          <w:rFonts w:hint="eastAsia"/>
        </w:rPr>
        <w:t xml:space="preserve">机制消融实验设计</w:t>
      </w:r>
      <w:r>
        <w:t xml:space="preserve"> </w:t>
      </w:r>
      <w:r>
        <w:t xml:space="preserve">VARIANTS = [</w:t>
      </w:r>
      <w:r>
        <w:t xml:space="preserve"> </w:t>
      </w:r>
      <w:r>
        <w:rPr>
          <w:rFonts w:hint="eastAsia"/>
        </w:rPr>
        <w:t xml:space="preserve">("完整统一模型",</w:t>
      </w:r>
      <w:r>
        <w:t xml:space="preserve"> </w:t>
      </w:r>
      <w:r>
        <w:rPr>
          <w:rFonts w:hint="eastAsia"/>
        </w:rPr>
        <w:t xml:space="preserve">"题面物理机制</w:t>
      </w:r>
      <w:r>
        <w:t xml:space="preserve"> + </w:t>
      </w:r>
      <w:r>
        <w:rPr>
          <w:rFonts w:hint="eastAsia"/>
        </w:rPr>
        <w:t xml:space="preserve">市场价格形成机制",</w:t>
      </w:r>
      <w:r>
        <w:t xml:space="preserve"> base_variant),</w:t>
      </w:r>
      <w:r>
        <w:t xml:space="preserve"> </w:t>
      </w:r>
      <w:r>
        <w:rPr>
          <w:rFonts w:hint="eastAsia"/>
        </w:rPr>
        <w:t xml:space="preserve">("去除SPR释放",</w:t>
      </w:r>
      <w:r>
        <w:t xml:space="preserve"> </w:t>
      </w:r>
      <w:r>
        <w:rPr>
          <w:rFonts w:hint="eastAsia"/>
        </w:rPr>
        <w:t xml:space="preserve">"关闭战略石油储备释放",</w:t>
      </w:r>
      <w:r>
        <w:t xml:space="preserve"> no_spr),</w:t>
      </w:r>
      <w:r>
        <w:t xml:space="preserve"> </w:t>
      </w:r>
      <w:r>
        <w:rPr>
          <w:rFonts w:hint="eastAsia"/>
        </w:rPr>
        <w:t xml:space="preserve">("去除商业库存缓冲",</w:t>
      </w:r>
      <w:r>
        <w:t xml:space="preserve"> </w:t>
      </w:r>
      <w:r>
        <w:rPr>
          <w:rFonts w:hint="eastAsia"/>
        </w:rPr>
        <w:t xml:space="preserve">"关闭库存吸收缺口能力",</w:t>
      </w:r>
      <w:r>
        <w:t xml:space="preserve"> no_inventory),</w:t>
      </w:r>
      <w:r>
        <w:t xml:space="preserve"> </w:t>
      </w:r>
      <w:r>
        <w:rPr>
          <w:rFonts w:hint="eastAsia"/>
        </w:rPr>
        <w:t xml:space="preserve">("去除绕道运输",</w:t>
      </w:r>
      <w:r>
        <w:t xml:space="preserve"> </w:t>
      </w:r>
      <w:r>
        <w:rPr>
          <w:rFonts w:hint="eastAsia"/>
        </w:rPr>
        <w:t xml:space="preserve">"关闭绕道运输恢复能力",</w:t>
      </w:r>
      <w:r>
        <w:t xml:space="preserve"> no_reroute),</w:t>
      </w:r>
      <w:r>
        <w:t xml:space="preserve"> </w:t>
      </w:r>
      <w:r>
        <w:rPr>
          <w:rFonts w:hint="eastAsia"/>
        </w:rPr>
        <w:t xml:space="preserve">("去除需求收缩",</w:t>
      </w:r>
      <w:r>
        <w:t xml:space="preserve"> </w:t>
      </w:r>
      <w:r>
        <w:rPr>
          <w:rFonts w:hint="eastAsia"/>
        </w:rPr>
        <w:t xml:space="preserve">"关闭高油价需求下降",</w:t>
      </w:r>
      <w:r>
        <w:t xml:space="preserve"> no_demand_contraction),</w:t>
      </w:r>
      <w:r>
        <w:t xml:space="preserve"> </w:t>
      </w:r>
      <w:r>
        <w:rPr>
          <w:rFonts w:hint="eastAsia"/>
        </w:rPr>
        <w:t xml:space="preserve">("去除风险与不确定性溢价",</w:t>
      </w:r>
      <w:r>
        <w:t xml:space="preserve"> </w:t>
      </w:r>
      <w:r>
        <w:rPr>
          <w:rFonts w:hint="eastAsia"/>
        </w:rPr>
        <w:t xml:space="preserve">"关闭地缘风险和不确定性平台",</w:t>
      </w:r>
      <w:r>
        <w:t xml:space="preserve"> no_risk_uncertainty),</w:t>
      </w:r>
      <w:r>
        <w:t xml:space="preserve"> </w:t>
      </w:r>
      <w:r>
        <w:rPr>
          <w:rFonts w:hint="eastAsia"/>
        </w:rPr>
        <w:t xml:space="preserve">("去除缓冲确认折价",</w:t>
      </w:r>
      <w:r>
        <w:t xml:space="preserve"> </w:t>
      </w:r>
      <w:r>
        <w:rPr>
          <w:rFonts w:hint="eastAsia"/>
        </w:rPr>
        <w:t xml:space="preserve">"关闭市场确认缓冲后的降温",</w:t>
      </w:r>
      <w:r>
        <w:t xml:space="preserve"> no_buffer_confirmation),</w:t>
      </w:r>
      <w:r>
        <w:t xml:space="preserve"> </w:t>
      </w:r>
      <w:r>
        <w:rPr>
          <w:rFonts w:hint="eastAsia"/>
        </w:rPr>
        <w:t xml:space="preserve">("去除预期修复折价",</w:t>
      </w:r>
      <w:r>
        <w:t xml:space="preserve"> </w:t>
      </w:r>
      <w:r>
        <w:rPr>
          <w:rFonts w:hint="eastAsia"/>
        </w:rPr>
        <w:t xml:space="preserve">"关闭中后期预期修复再定价",</w:t>
      </w:r>
      <w:r>
        <w:t xml:space="preserve"> no_expectation_relief),</w:t>
      </w:r>
      <w:r>
        <w:t xml:space="preserve"> </w:t>
      </w:r>
      <w:r>
        <w:t xml:space="preserve">]</w:t>
      </w:r>
    </w:p>
    <w:p>
      <w:pPr>
        <w:pStyle w:val="BodyText"/>
      </w:pPr>
      <w:r>
        <w:t xml:space="preserve">def run_ablation(event_df, base_assumptions, base_behavior):</w:t>
      </w:r>
      <w:r>
        <w:t xml:space="preserve"> </w:t>
      </w:r>
      <w:r>
        <w:t xml:space="preserve">rows = []</w:t>
      </w:r>
      <w:r>
        <w:t xml:space="preserve"> </w:t>
      </w:r>
      <w:r>
        <w:t xml:space="preserve">for name, note, variant_fn in VARIANTS:</w:t>
      </w:r>
      <w:r>
        <w:t xml:space="preserve"> </w:t>
      </w:r>
      <w:r>
        <w:t xml:space="preserve">assumptions, behavior = variant_fn(base_assumptions, base_behavior)</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 </w:t>
      </w:r>
      <w:r>
        <w:rPr>
          <w:rFonts w:hint="eastAsia"/>
        </w:rPr>
        <w:t xml:space="preserve">"消融实验":</w:t>
      </w:r>
      <w:r>
        <w:t xml:space="preserve"> name,</w:t>
      </w:r>
      <w:r>
        <w:t xml:space="preserve"> </w:t>
      </w:r>
      <w:r>
        <w:rPr>
          <w:rFonts w:hint="eastAsia"/>
        </w:rPr>
        <w:t xml:space="preserve">"说明":</w:t>
      </w:r>
      <w:r>
        <w:t xml:space="preserve"> note,</w:t>
      </w:r>
      <w:r>
        <w:t xml:space="preserve"> </w:t>
      </w:r>
      <w:r>
        <w:t xml:space="preserve">"RMSE": metrics["RMSE"],</w:t>
      </w:r>
      <w:r>
        <w:t xml:space="preserve"> </w:t>
      </w:r>
      <w:r>
        <w:t xml:space="preserve">"MAE": metrics["MAE"],</w:t>
      </w:r>
      <w:r>
        <w:t xml:space="preserve"> </w:t>
      </w:r>
      <w:r>
        <w:rPr>
          <w:rFonts w:hint="eastAsia"/>
        </w:rPr>
        <w:t xml:space="preserve">"峰值误差":</w:t>
      </w:r>
      <w:r>
        <w:t xml:space="preserve"> </w:t>
      </w:r>
      <w:r>
        <w:rPr>
          <w:rFonts w:hint="eastAsia"/>
        </w:rPr>
        <w:t xml:space="preserve">metrics["峰值误差"],</w:t>
      </w:r>
      <w:r>
        <w:t xml:space="preserve"> </w:t>
      </w:r>
      <w:r>
        <w:t xml:space="preserve">)</w:t>
      </w:r>
      <w:r>
        <w:t xml:space="preserve"> </w:t>
      </w:r>
      <w:r>
        <w:t xml:space="preserve">return pd.DataFrame(rows)</w:t>
      </w:r>
    </w:p>
    <w:bookmarkEnd w:id="144"/>
    <w:bookmarkStart w:id="145" w:name="k-独立计量检验补充"/>
    <w:p>
      <w:pPr>
        <w:pStyle w:val="Heading2"/>
      </w:pPr>
      <w:r>
        <w:t xml:space="preserve">K </w:t>
      </w:r>
      <w:r>
        <w:rPr>
          <w:rFonts w:hint="eastAsia"/>
        </w:rPr>
        <w:t xml:space="preserve">独立计量检验补充</w:t>
      </w:r>
    </w:p>
    <w:p>
      <w:pPr>
        <w:pStyle w:val="FirstParagraph"/>
      </w:pPr>
      <w:r>
        <w:rPr>
          <w:rFonts w:hint="eastAsia"/>
        </w:rPr>
        <w:t xml:space="preserve">代码</w:t>
      </w:r>
      <w:r>
        <w:t xml:space="preserve"> </w:t>
      </w:r>
      <w:hyperlink w:anchor="lst:r-audit">
        <w:r>
          <w:rPr>
            <w:rStyle w:val="Hyperlink"/>
          </w:rPr>
          <w:t xml:space="preserve">[lst:r-audit]</w:t>
        </w:r>
      </w:hyperlink>
      <w:r>
        <w:t xml:space="preserve"> </w:t>
      </w:r>
      <w:r>
        <w:rPr>
          <w:rFonts w:hint="eastAsia"/>
        </w:rPr>
        <w:t xml:space="preserve">给出</w:t>
      </w:r>
      <w:r>
        <w:t xml:space="preserve"> R </w:t>
      </w:r>
      <w:r>
        <w:rPr>
          <w:rFonts w:hint="eastAsia"/>
        </w:rPr>
        <w:t xml:space="preserve">语言独立计量检验的核心逻辑。Python</w:t>
      </w:r>
      <w:r>
        <w:t xml:space="preserve"> </w:t>
      </w:r>
      <w:r>
        <w:rPr>
          <w:rFonts w:hint="eastAsia"/>
        </w:rPr>
        <w:t xml:space="preserve">负责机制递推和情景生成，R</w:t>
      </w:r>
      <w:r>
        <w:t xml:space="preserve"> </w:t>
      </w:r>
      <w:r>
        <w:rPr>
          <w:rFonts w:hint="eastAsia"/>
        </w:rPr>
        <w:t xml:space="preserve">侧用于复核主模型相对朴素基准的误差优势、残差相关性和稳健标准误结果，从而降低单一实现口径带来的偏差风险。</w:t>
      </w:r>
    </w:p>
    <w:p>
      <w:pPr>
        <w:pStyle w:val="BodyText"/>
      </w:pPr>
      <w:r>
        <w:t xml:space="preserve">lst:r-audit</w:t>
      </w:r>
      <w:r>
        <w:t xml:space="preserve">r</w:t>
      </w:r>
      <w:r>
        <w:t xml:space="preserve">R </w:t>
      </w:r>
      <w:r>
        <w:rPr>
          <w:rFonts w:hint="eastAsia"/>
        </w:rPr>
        <w:t xml:space="preserve">语言计量审计核心代码</w:t>
      </w:r>
      <w:r>
        <w:t xml:space="preserve"> </w:t>
      </w:r>
      <w:r>
        <w:t xml:space="preserve">model_df &lt;- read_csv(calibrated_path, show_col_types = FALSE)</w:t>
      </w:r>
      <w:r>
        <w:t xml:space="preserve"> </w:t>
      </w:r>
      <w:r>
        <w:t xml:space="preserve">arrange(trade_date)</w:t>
      </w:r>
      <w:r>
        <w:t xml:space="preserve"> </w:t>
      </w:r>
      <w:r>
        <w:t xml:space="preserve">mutate(</w:t>
      </w:r>
      <w:r>
        <w:t xml:space="preserve"> </w:t>
      </w:r>
      <w:r>
        <w:t xml:space="preserve">naive_forecast = lag(actual_price),</w:t>
      </w:r>
      <w:r>
        <w:t xml:space="preserve"> </w:t>
      </w:r>
      <w:r>
        <w:t xml:space="preserve">model_error = simulated_price - actual_price,</w:t>
      </w:r>
      <w:r>
        <w:t xml:space="preserve"> </w:t>
      </w:r>
      <w:r>
        <w:t xml:space="preserve">naive_error = naive_forecast - actual_price</w:t>
      </w:r>
      <w:r>
        <w:t xml:space="preserve"> </w:t>
      </w:r>
      <w:r>
        <w:t xml:space="preserve">)</w:t>
      </w:r>
      <w:r>
        <w:t xml:space="preserve"> </w:t>
      </w:r>
      <w:r>
        <w:t xml:space="preserve">filter(!is.na(naive_forecast))</w:t>
      </w:r>
    </w:p>
    <w:p>
      <w:pPr>
        <w:pStyle w:val="BodyText"/>
      </w:pPr>
      <w:r>
        <w:t xml:space="preserve">model_error &lt;- model_df</w:t>
      </w:r>
      <m:oMath>
        <m:r>
          <m:t>m</m:t>
        </m:r>
        <m:r>
          <m:t>o</m:t>
        </m:r>
        <m:r>
          <m:t>d</m:t>
        </m:r>
        <m:r>
          <m:t>e</m:t>
        </m:r>
        <m:sSub>
          <m:e>
            <m:r>
              <m:t>l</m:t>
            </m:r>
          </m:e>
          <m:sub>
            <m:r>
              <m:t>e</m:t>
            </m:r>
          </m:sub>
        </m:sSub>
        <m:r>
          <m:t>r</m:t>
        </m:r>
        <m:r>
          <m:t>r</m:t>
        </m:r>
        <m:r>
          <m:t>o</m:t>
        </m:r>
        <m:r>
          <m:t>r</m:t>
        </m:r>
        <m:r>
          <m:t>n</m:t>
        </m:r>
        <m:r>
          <m:t>a</m:t>
        </m:r>
        <m:r>
          <m:t>i</m:t>
        </m:r>
        <m:r>
          <m:t>v</m:t>
        </m:r>
        <m:sSub>
          <m:e>
            <m:r>
              <m:t>e</m:t>
            </m:r>
          </m:e>
          <m:sub>
            <m:r>
              <m:t>e</m:t>
            </m:r>
          </m:sub>
        </m:sSub>
        <m:r>
          <m:t>r</m:t>
        </m:r>
        <m:r>
          <m:t>r</m:t>
        </m:r>
        <m:r>
          <m:t>o</m:t>
        </m:r>
        <m:r>
          <m:t>r</m:t>
        </m:r>
        <m:r>
          <m:rPr>
            <m:sty m:val="p"/>
          </m:rPr>
          <m:t>&lt;</m:t>
        </m:r>
        <m:r>
          <m:rPr>
            <m:sty m:val="p"/>
          </m:rPr>
          <m:t>−</m:t>
        </m:r>
        <m:r>
          <m:t>m</m:t>
        </m:r>
        <m:r>
          <m:t>o</m:t>
        </m:r>
        <m:r>
          <m:t>d</m:t>
        </m:r>
        <m:r>
          <m:t>e</m:t>
        </m:r>
        <m:sSub>
          <m:e>
            <m:r>
              <m:t>l</m:t>
            </m:r>
          </m:e>
          <m:sub>
            <m:r>
              <m:t>d</m:t>
            </m:r>
          </m:sub>
        </m:sSub>
        <m:r>
          <m:t>f</m:t>
        </m:r>
      </m:oMath>
      <w:r>
        <w:t xml:space="preserve">naive_error</w:t>
      </w:r>
    </w:p>
    <w:p>
      <w:pPr>
        <w:pStyle w:val="BodyText"/>
      </w:pPr>
      <w:r>
        <w:t xml:space="preserve"># Diebold-Mariano </w:t>
      </w:r>
      <w:r>
        <w:rPr>
          <w:rFonts w:hint="eastAsia"/>
        </w:rPr>
        <w:t xml:space="preserve">检验：模型损失是否显著低于朴素上一日基准</w:t>
      </w:r>
      <w:r>
        <w:t xml:space="preserve"> </w:t>
      </w:r>
      <w:r>
        <w:t xml:space="preserve">dm_sq &lt;- forecast::dm.test(model_error, naive_error,</w:t>
      </w:r>
      <w:r>
        <w:t xml:space="preserve"> </w:t>
      </w:r>
      <w:r>
        <w:t xml:space="preserve">alternative = "less", h = 1, power = 2)</w:t>
      </w:r>
      <w:r>
        <w:t xml:space="preserve"> </w:t>
      </w:r>
      <w:r>
        <w:t xml:space="preserve">dm_abs &lt;- forecast::dm.test(model_error, naive_error,</w:t>
      </w:r>
      <w:r>
        <w:t xml:space="preserve"> </w:t>
      </w:r>
      <w:r>
        <w:t xml:space="preserve">alternative = "less", h = 1, power = 1)</w:t>
      </w:r>
    </w:p>
    <w:p>
      <w:pPr>
        <w:pStyle w:val="BodyText"/>
      </w:pPr>
      <w:r>
        <w:t xml:space="preserve"># </w:t>
      </w:r>
      <w:r>
        <w:rPr>
          <w:rFonts w:hint="eastAsia"/>
        </w:rPr>
        <w:t xml:space="preserve">校准回归与</w:t>
      </w:r>
      <w:r>
        <w:t xml:space="preserve"> Newey-West </w:t>
      </w:r>
      <w:r>
        <w:rPr>
          <w:rFonts w:hint="eastAsia"/>
        </w:rPr>
        <w:t xml:space="preserve">稳健标准误</w:t>
      </w:r>
      <w:r>
        <w:t xml:space="preserve"> </w:t>
      </w:r>
      <w:r>
        <w:t xml:space="preserve">calibration_lm &lt;- lm(actual_price   simulated_price, data = model_df)</w:t>
      </w:r>
      <w:r>
        <w:t xml:space="preserve"> </w:t>
      </w:r>
      <w:r>
        <w:t xml:space="preserve">calibration_hac &lt;- lmtest::coeftest(</w:t>
      </w:r>
      <w:r>
        <w:t xml:space="preserve"> </w:t>
      </w:r>
      <w:r>
        <w:t xml:space="preserve">calibration_lm,</w:t>
      </w:r>
      <w:r>
        <w:t xml:space="preserve"> </w:t>
      </w:r>
      <w:r>
        <w:t xml:space="preserve">vcov. = sandwich::NeweyWest(calibration_lm, lag = 3,</w:t>
      </w:r>
      <w:r>
        <w:t xml:space="preserve"> </w:t>
      </w:r>
      <w:r>
        <w:t xml:space="preserve">prewhite = FALSE, adjust = TRUE)</w:t>
      </w:r>
      <w:r>
        <w:t xml:space="preserve"> </w:t>
      </w:r>
      <w:r>
        <w:t xml:space="preserve">)</w:t>
      </w:r>
    </w:p>
    <w:p>
      <w:pPr>
        <w:pStyle w:val="BodyText"/>
      </w:pPr>
      <w:r>
        <w:t xml:space="preserve"># </w:t>
      </w:r>
      <w:r>
        <w:rPr>
          <w:rFonts w:hint="eastAsia"/>
        </w:rPr>
        <w:t xml:space="preserve">残差自相关、条件异方差和波动聚集检验</w:t>
      </w:r>
      <w:r>
        <w:t xml:space="preserve"> </w:t>
      </w:r>
      <w:r>
        <w:t xml:space="preserve">lb_resid_5 &lt;- Box.test(model_error, lag = 5, type = "Ljung-Box")</w:t>
      </w:r>
      <w:r>
        <w:t xml:space="preserve"> </w:t>
      </w:r>
      <w:r>
        <w:t xml:space="preserve">lb_sq_5 &lt;- Box.test(model_error^2, lag = 5, type = "Ljung-Box")</w:t>
      </w:r>
      <w:r>
        <w:t xml:space="preserve"> </w:t>
      </w:r>
      <w:r>
        <w:t xml:space="preserve">arch_test &lt;- FinTS::ArchTest(model_error, lags = 5)</w:t>
      </w:r>
    </w:p>
    <w:p>
      <w:pPr>
        <w:pStyle w:val="BodyText"/>
      </w:pPr>
      <w:r>
        <w:rPr>
          <w:rFonts w:hint="eastAsia"/>
        </w:rPr>
        <w:t xml:space="preserve">代码</w:t>
      </w:r>
      <w:r>
        <w:t xml:space="preserve"> </w:t>
      </w:r>
      <w:hyperlink w:anchor="lst:sensitivity-specs">
        <w:r>
          <w:rPr>
            <w:rStyle w:val="Hyperlink"/>
          </w:rPr>
          <w:t xml:space="preserve">[lst:sensitivity-specs]</w:t>
        </w:r>
      </w:hyperlink>
      <w:r>
        <w:t xml:space="preserve"> </w:t>
      </w:r>
      <w:r>
        <w:rPr>
          <w:rFonts w:hint="eastAsia"/>
        </w:rPr>
        <w:t xml:space="preserve">展示敏感性分析的扰动设置。扰动对象覆盖题面物理层、政策缓冲层、需求层、行为层和长期机制透明层</w:t>
      </w:r>
    </w:p>
    <w:p>
      <w:pPr>
        <w:pStyle w:val="BodyText"/>
      </w:pPr>
      <w:r>
        <w:t xml:space="preserve">lst:sensitivity-specs</w:t>
      </w:r>
      <w:r>
        <w:t xml:space="preserve">python</w:t>
      </w:r>
      <w:r>
        <w:rPr>
          <w:rFonts w:hint="eastAsia"/>
        </w:rPr>
        <w:t xml:space="preserve">敏感性分析扰动参数设置</w:t>
      </w:r>
      <w:r>
        <w:t xml:space="preserve"> </w:t>
      </w:r>
      <w:r>
        <w:t xml:space="preserve">SENSITIVITY_SPECS = [</w:t>
      </w:r>
      <w:r>
        <w:t xml:space="preserve"> </w:t>
      </w:r>
      <w:r>
        <w:t xml:space="preserve">"key": "supply_interruption", </w:t>
      </w:r>
      <w:r>
        <w:rPr>
          <w:rFonts w:hint="eastAsia"/>
        </w:rPr>
        <w:t xml:space="preserve">"参数":</w:t>
      </w:r>
      <w:r>
        <w:t xml:space="preserve"> </w:t>
      </w:r>
      <w:r>
        <w:rPr>
          <w:rFonts w:hint="eastAsia"/>
        </w:rPr>
        <w:t xml:space="preserve">"供应中断量",</w:t>
      </w:r>
      <w:r>
        <w:t xml:space="preserve"> </w:t>
      </w:r>
      <w:r>
        <w:rPr>
          <w:rFonts w:hint="eastAsia"/>
        </w:rPr>
        <w:t xml:space="preserve">"层级":</w:t>
      </w:r>
      <w:r>
        <w:t xml:space="preserve"> </w:t>
      </w:r>
      <w:r>
        <w:rPr>
          <w:rFonts w:hint="eastAsia"/>
        </w:rPr>
        <w:t xml:space="preserve">"题面物理层",</w:t>
      </w:r>
      <w:r>
        <w:t xml:space="preserve"> </w:t>
      </w:r>
      <w:r>
        <w:rPr>
          <w:rFonts w:hint="eastAsia"/>
        </w:rPr>
        <w:t xml:space="preserve">"扰动":</w:t>
      </w:r>
      <w:r>
        <w:t xml:space="preserve"> [1400, 1493, 1600, 1800],</w:t>
      </w:r>
      <w:r>
        <w:t xml:space="preserve"> </w:t>
      </w:r>
      <w:r>
        <w:rPr>
          <w:rFonts w:hint="eastAsia"/>
        </w:rPr>
        <w:t xml:space="preserve">"解释":</w:t>
      </w:r>
      <w:r>
        <w:t xml:space="preserve"> </w:t>
      </w:r>
      <w:r>
        <w:rPr>
          <w:rFonts w:hint="eastAsia"/>
        </w:rPr>
        <w:t xml:space="preserve">"封锁实际造成的供应缺口。"</w:t>
      </w:r>
      <w:r>
        <w:t xml:space="preserve">,</w:t>
      </w:r>
      <w:r>
        <w:t xml:space="preserve"> </w:t>
      </w:r>
      <w:r>
        <w:t xml:space="preserve">"key": "spr_max_release", </w:t>
      </w:r>
      <w:r>
        <w:rPr>
          <w:rFonts w:hint="eastAsia"/>
        </w:rPr>
        <w:t xml:space="preserve">"参数":</w:t>
      </w:r>
      <w:r>
        <w:t xml:space="preserve"> </w:t>
      </w:r>
      <w:r>
        <w:rPr>
          <w:rFonts w:hint="eastAsia"/>
        </w:rPr>
        <w:t xml:space="preserve">"SPR释放上限",</w:t>
      </w:r>
      <w:r>
        <w:t xml:space="preserve"> </w:t>
      </w:r>
      <w:r>
        <w:rPr>
          <w:rFonts w:hint="eastAsia"/>
        </w:rPr>
        <w:t xml:space="preserve">"层级":</w:t>
      </w:r>
      <w:r>
        <w:t xml:space="preserve"> </w:t>
      </w:r>
      <w:r>
        <w:rPr>
          <w:rFonts w:hint="eastAsia"/>
        </w:rPr>
        <w:t xml:space="preserve">"题面政策缓冲层",</w:t>
      </w:r>
      <w:r>
        <w:t xml:space="preserve"> </w:t>
      </w:r>
      <w:r>
        <w:rPr>
          <w:rFonts w:hint="eastAsia"/>
        </w:rPr>
        <w:t xml:space="preserve">"扰动":</w:t>
      </w:r>
      <w:r>
        <w:t xml:space="preserve"> [200, 450, 670, 700],</w:t>
      </w:r>
      <w:r>
        <w:t xml:space="preserve"> </w:t>
      </w:r>
      <w:r>
        <w:rPr>
          <w:rFonts w:hint="eastAsia"/>
        </w:rPr>
        <w:t xml:space="preserve">"解释":</w:t>
      </w:r>
      <w:r>
        <w:t xml:space="preserve"> </w:t>
      </w:r>
      <w:r>
        <w:rPr>
          <w:rFonts w:hint="eastAsia"/>
        </w:rPr>
        <w:t xml:space="preserve">"战略石油储备释放能力。"</w:t>
      </w:r>
      <w:r>
        <w:t xml:space="preserve">,</w:t>
      </w:r>
      <w:r>
        <w:t xml:space="preserve"> </w:t>
      </w:r>
      <w:r>
        <w:t xml:space="preserve">"key": "route_max_capacity", </w:t>
      </w:r>
      <w:r>
        <w:rPr>
          <w:rFonts w:hint="eastAsia"/>
        </w:rPr>
        <w:t xml:space="preserve">"参数":</w:t>
      </w:r>
      <w:r>
        <w:t xml:space="preserve"> </w:t>
      </w:r>
      <w:r>
        <w:rPr>
          <w:rFonts w:hint="eastAsia"/>
        </w:rPr>
        <w:t xml:space="preserve">"绕道运输能力",</w:t>
      </w:r>
      <w:r>
        <w:t xml:space="preserve"> </w:t>
      </w:r>
      <w:r>
        <w:rPr>
          <w:rFonts w:hint="eastAsia"/>
        </w:rPr>
        <w:t xml:space="preserve">"层级":</w:t>
      </w:r>
      <w:r>
        <w:t xml:space="preserve"> </w:t>
      </w:r>
      <w:r>
        <w:rPr>
          <w:rFonts w:hint="eastAsia"/>
        </w:rPr>
        <w:t xml:space="preserve">"题面物理缓冲层",</w:t>
      </w:r>
      <w:r>
        <w:t xml:space="preserve"> </w:t>
      </w:r>
      <w:r>
        <w:rPr>
          <w:rFonts w:hint="eastAsia"/>
        </w:rPr>
        <w:t xml:space="preserve">"扰动":</w:t>
      </w:r>
      <w:r>
        <w:t xml:space="preserve"> [150, 237, 300, 420],</w:t>
      </w:r>
      <w:r>
        <w:t xml:space="preserve"> </w:t>
      </w:r>
      <w:r>
        <w:rPr>
          <w:rFonts w:hint="eastAsia"/>
        </w:rPr>
        <w:t xml:space="preserve">"解释":</w:t>
      </w:r>
      <w:r>
        <w:t xml:space="preserve"> </w:t>
      </w:r>
      <w:r>
        <w:rPr>
          <w:rFonts w:hint="eastAsia"/>
        </w:rPr>
        <w:t xml:space="preserve">"绕道和替代航线形成的额外供给能力。"</w:t>
      </w:r>
      <w:r>
        <w:t xml:space="preserve">,</w:t>
      </w:r>
      <w:r>
        <w:t xml:space="preserve"> </w:t>
      </w:r>
      <w:r>
        <w:t xml:space="preserve">"key": "long_elasticity", </w:t>
      </w:r>
      <w:r>
        <w:rPr>
          <w:rFonts w:hint="eastAsia"/>
        </w:rPr>
        <w:t xml:space="preserve">"参数":</w:t>
      </w:r>
      <w:r>
        <w:t xml:space="preserve"> </w:t>
      </w:r>
      <w:r>
        <w:rPr>
          <w:rFonts w:hint="eastAsia"/>
        </w:rPr>
        <w:t xml:space="preserve">"长期需求弹性",</w:t>
      </w:r>
      <w:r>
        <w:t xml:space="preserve"> </w:t>
      </w:r>
      <w:r>
        <w:rPr>
          <w:rFonts w:hint="eastAsia"/>
        </w:rPr>
        <w:t xml:space="preserve">"层级":</w:t>
      </w:r>
      <w:r>
        <w:t xml:space="preserve"> </w:t>
      </w:r>
      <w:r>
        <w:rPr>
          <w:rFonts w:hint="eastAsia"/>
        </w:rPr>
        <w:t xml:space="preserve">"题面需求层",</w:t>
      </w:r>
      <w:r>
        <w:t xml:space="preserve"> </w:t>
      </w:r>
      <w:r>
        <w:rPr>
          <w:rFonts w:hint="eastAsia"/>
        </w:rPr>
        <w:t xml:space="preserve">"扰动":</w:t>
      </w:r>
      <w:r>
        <w:t xml:space="preserve"> [-0.35, -0.25, -0.18, -0.10],</w:t>
      </w:r>
      <w:r>
        <w:t xml:space="preserve"> </w:t>
      </w:r>
      <w:r>
        <w:rPr>
          <w:rFonts w:hint="eastAsia"/>
        </w:rPr>
        <w:t xml:space="preserve">"解释":</w:t>
      </w:r>
      <w:r>
        <w:t xml:space="preserve"> </w:t>
      </w:r>
      <w:r>
        <w:rPr>
          <w:rFonts w:hint="eastAsia"/>
        </w:rPr>
        <w:t xml:space="preserve">"高油价持续后需求收缩强弱。"</w:t>
      </w:r>
      <w:r>
        <w:t xml:space="preserve">,</w:t>
      </w:r>
      <w:r>
        <w:t xml:space="preserve"> </w:t>
      </w:r>
      <w:r>
        <w:t xml:space="preserve">"key": "risk_weight", </w:t>
      </w:r>
      <w:r>
        <w:rPr>
          <w:rFonts w:hint="eastAsia"/>
        </w:rPr>
        <w:t xml:space="preserve">"参数":</w:t>
      </w:r>
      <w:r>
        <w:t xml:space="preserve"> </w:t>
      </w:r>
      <w:r>
        <w:rPr>
          <w:rFonts w:hint="eastAsia"/>
        </w:rPr>
        <w:t xml:space="preserve">"地缘风险权重",</w:t>
      </w:r>
      <w:r>
        <w:t xml:space="preserve"> </w:t>
      </w:r>
      <w:r>
        <w:rPr>
          <w:rFonts w:hint="eastAsia"/>
        </w:rPr>
        <w:t xml:space="preserve">"层级":</w:t>
      </w:r>
      <w:r>
        <w:t xml:space="preserve"> </w:t>
      </w:r>
      <w:r>
        <w:rPr>
          <w:rFonts w:hint="eastAsia"/>
        </w:rPr>
        <w:t xml:space="preserve">"市场价格形成层",</w:t>
      </w:r>
      <w:r>
        <w:t xml:space="preserve"> </w:t>
      </w:r>
      <w:r>
        <w:rPr>
          <w:rFonts w:hint="eastAsia"/>
        </w:rPr>
        <w:t xml:space="preserve">"扰动":</w:t>
      </w:r>
      <w:r>
        <w:t xml:space="preserve"> [1.85, 2.22, 2.46, 2.95],</w:t>
      </w:r>
      <w:r>
        <w:t xml:space="preserve"> </w:t>
      </w:r>
      <w:r>
        <w:rPr>
          <w:rFonts w:hint="eastAsia"/>
        </w:rPr>
        <w:t xml:space="preserve">"解释":</w:t>
      </w:r>
      <w:r>
        <w:t xml:space="preserve"> </w:t>
      </w:r>
      <w:r>
        <w:rPr>
          <w:rFonts w:hint="eastAsia"/>
        </w:rPr>
        <w:t xml:space="preserve">"市场定价地缘风险溢价的强度。"</w:t>
      </w:r>
      <w:r>
        <w:t xml:space="preserve">,</w:t>
      </w:r>
      <w:r>
        <w:t xml:space="preserve"> </w:t>
      </w:r>
      <w:r>
        <w:t xml:space="preserve">"key": "uncertainty_floor", </w:t>
      </w:r>
      <w:r>
        <w:rPr>
          <w:rFonts w:hint="eastAsia"/>
        </w:rPr>
        <w:t xml:space="preserve">"参数":</w:t>
      </w:r>
      <w:r>
        <w:t xml:space="preserve"> </w:t>
      </w:r>
      <w:r>
        <w:rPr>
          <w:rFonts w:hint="eastAsia"/>
        </w:rPr>
        <w:t xml:space="preserve">"制度风险强度",</w:t>
      </w:r>
      <w:r>
        <w:t xml:space="preserve"> </w:t>
      </w:r>
      <w:r>
        <w:rPr>
          <w:rFonts w:hint="eastAsia"/>
        </w:rPr>
        <w:t xml:space="preserve">"层级":</w:t>
      </w:r>
      <w:r>
        <w:t xml:space="preserve"> </w:t>
      </w:r>
      <w:r>
        <w:rPr>
          <w:rFonts w:hint="eastAsia"/>
        </w:rPr>
        <w:t xml:space="preserve">"长期机制透明层",</w:t>
      </w:r>
      <w:r>
        <w:t xml:space="preserve"> </w:t>
      </w:r>
      <w:r>
        <w:rPr>
          <w:rFonts w:hint="eastAsia"/>
        </w:rPr>
        <w:t xml:space="preserve">"扰动":</w:t>
      </w:r>
      <w:r>
        <w:t xml:space="preserve"> [0.17, 0.22, 0.247, 0.30],</w:t>
      </w:r>
      <w:r>
        <w:t xml:space="preserve"> </w:t>
      </w:r>
      <w:r>
        <w:rPr>
          <w:rFonts w:hint="eastAsia"/>
        </w:rPr>
        <w:t xml:space="preserve">"解释":</w:t>
      </w:r>
      <w:r>
        <w:t xml:space="preserve"> </w:t>
      </w:r>
      <w:r>
        <w:rPr>
          <w:rFonts w:hint="eastAsia"/>
        </w:rPr>
        <w:t xml:space="preserve">"持续封锁和政策协调失败带来的不确定性。"</w:t>
      </w:r>
      <w:r>
        <w:t xml:space="preserve">,</w:t>
      </w:r>
      <w:r>
        <w:t xml:space="preserve"> </w:t>
      </w:r>
      <w:r>
        <w:t xml:space="preserve">]</w:t>
      </w:r>
    </w:p>
    <w:bookmarkEnd w:id="145"/>
    <w:bookmarkStart w:id="146" w:name="l-关键结果核查表"/>
    <w:p>
      <w:pPr>
        <w:pStyle w:val="Heading2"/>
      </w:pPr>
      <w:r>
        <w:t xml:space="preserve">L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真实价格来自赛题附件</w:t>
            </w:r>
            <w:r>
              <w:t xml:space="preserve"> </w:t>
            </w:r>
            <w:r>
              <w:rPr>
                <w:rFonts w:hint="eastAsia"/>
              </w:rPr>
              <w:t xml:space="preserve">CSV，外部数据只作数量级和风险约束</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3.38 </w:t>
            </w:r>
            <w:r>
              <w:rPr>
                <w:rFonts w:hint="eastAsia"/>
              </w:rPr>
              <w:t xml:space="preserve">美元/桶，MAE</w:t>
            </w:r>
            <w:r>
              <w:t xml:space="preserve"> = 2.76 </w:t>
            </w:r>
            <w:r>
              <w:rPr>
                <w:rFonts w:hint="eastAsia"/>
              </w:rPr>
              <w:t xml:space="preserve">美元/桶，MAPE</w:t>
            </w:r>
            <w:r>
              <w:t xml:space="preserve"> = 2.76%</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110.42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93.26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111.71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状态转移情景树显示外推期最高价突破</w:t>
            </w:r>
            <w:r>
              <w:t xml:space="preserve"> 120 </w:t>
            </w:r>
            <w:r>
              <w:rPr>
                <w:rFonts w:hint="eastAsia"/>
              </w:rPr>
              <w:t xml:space="preserve">美元/桶的条件概率约</w:t>
            </w:r>
            <w:r>
              <w:t xml:space="preserve"> 47.9%</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封锁风险衰减速度、地缘风险权重、供应中断量、不确定性与制度风险强度</w:t>
            </w:r>
          </w:p>
        </w:tc>
      </w:tr>
    </w:tbl>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32" Target="media/rId32.png" /><Relationship Type="http://schemas.openxmlformats.org/officeDocument/2006/relationships/image" Id="rId117" Target="media/rId117.png" /><Relationship Type="http://schemas.openxmlformats.org/officeDocument/2006/relationships/image" Id="rId18" Target="media/rId18.png" /><Relationship Type="http://schemas.openxmlformats.org/officeDocument/2006/relationships/image" Id="rId114" Target="media/rId114.png" /><Relationship Type="http://schemas.openxmlformats.org/officeDocument/2006/relationships/image" Id="rId129" Target="media/rId129.png" /><Relationship Type="http://schemas.openxmlformats.org/officeDocument/2006/relationships/image" Id="rId67" Target="media/rId67.png" /><Relationship Type="http://schemas.openxmlformats.org/officeDocument/2006/relationships/image" Id="rId120" Target="media/rId120.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135" Target="media/rId135.png" /><Relationship Type="http://schemas.openxmlformats.org/officeDocument/2006/relationships/image" Id="rId123" Target="media/rId123.png" /><Relationship Type="http://schemas.openxmlformats.org/officeDocument/2006/relationships/image" Id="rId55" Target="media/rId55.png" /><Relationship Type="http://schemas.openxmlformats.org/officeDocument/2006/relationships/image" Id="rId101" Target="media/rId101.png" /><Relationship Type="http://schemas.openxmlformats.org/officeDocument/2006/relationships/image" Id="rId98" Target="media/rId98.png" /><Relationship Type="http://schemas.openxmlformats.org/officeDocument/2006/relationships/image" Id="rId41" Target="media/rId41.png" /><Relationship Type="http://schemas.openxmlformats.org/officeDocument/2006/relationships/image" Id="rId95" Target="media/rId95.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07" Target="media/rId107.png" /><Relationship Type="http://schemas.openxmlformats.org/officeDocument/2006/relationships/image" Id="rId76" Target="media/rId76.png" /><Relationship Type="http://schemas.openxmlformats.org/officeDocument/2006/relationships/image" Id="rId51" Target="media/rId51.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hyperlink" Id="rId90" Target="https://fred.stlouisfed.org/series/OVXCLS" TargetMode="External" /><Relationship Type="http://schemas.openxmlformats.org/officeDocument/2006/relationships/hyperlink" Id="rId88" Target="https://publications.opec.org/momr/chapter/147/2738" TargetMode="External" /><Relationship Type="http://schemas.openxmlformats.org/officeDocument/2006/relationships/hyperlink" Id="rId86" Target="https://www.eia.gov/dnav/pet/pet_sum_sndw_dcus_nus_w.htm" TargetMode="External" /><Relationship Type="http://schemas.openxmlformats.org/officeDocument/2006/relationships/hyperlink" Id="rId83" Target="https://www.eia.gov/international/analysis/special-topics/World_Oil_Transit_Chokepoints" TargetMode="External" /><Relationship Type="http://schemas.openxmlformats.org/officeDocument/2006/relationships/hyperlink" Id="rId91" Target="https://www.ice.com/report/83" TargetMode="External" /><Relationship Type="http://schemas.openxmlformats.org/officeDocument/2006/relationships/hyperlink" Id="rId84" Target="https://www.iea.org/about/oil-security-and-emergency-response/strait-of-hormuz" TargetMode="External" /><Relationship Type="http://schemas.openxmlformats.org/officeDocument/2006/relationships/hyperlink" Id="rId85" Target="https://www.iea.org/news/iea-governing-board-concludes-2022-collective-actions" TargetMode="External" /><Relationship Type="http://schemas.openxmlformats.org/officeDocument/2006/relationships/hyperlink" Id="rId87" Target="https://www.jodidata.org/oil/" TargetMode="External" /><Relationship Type="http://schemas.openxmlformats.org/officeDocument/2006/relationships/hyperlink" Id="rId89"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90" Target="https://fred.stlouisfed.org/series/OVXCLS" TargetMode="External" /><Relationship Type="http://schemas.openxmlformats.org/officeDocument/2006/relationships/hyperlink" Id="rId88" Target="https://publications.opec.org/momr/chapter/147/2738" TargetMode="External" /><Relationship Type="http://schemas.openxmlformats.org/officeDocument/2006/relationships/hyperlink" Id="rId86" Target="https://www.eia.gov/dnav/pet/pet_sum_sndw_dcus_nus_w.htm" TargetMode="External" /><Relationship Type="http://schemas.openxmlformats.org/officeDocument/2006/relationships/hyperlink" Id="rId83" Target="https://www.eia.gov/international/analysis/special-topics/World_Oil_Transit_Chokepoints" TargetMode="External" /><Relationship Type="http://schemas.openxmlformats.org/officeDocument/2006/relationships/hyperlink" Id="rId91" Target="https://www.ice.com/report/83" TargetMode="External" /><Relationship Type="http://schemas.openxmlformats.org/officeDocument/2006/relationships/hyperlink" Id="rId84" Target="https://www.iea.org/about/oil-security-and-emergency-response/strait-of-hormuz" TargetMode="External" /><Relationship Type="http://schemas.openxmlformats.org/officeDocument/2006/relationships/hyperlink" Id="rId85" Target="https://www.iea.org/news/iea-governing-board-concludes-2022-collective-actions" TargetMode="External" /><Relationship Type="http://schemas.openxmlformats.org/officeDocument/2006/relationships/hyperlink" Id="rId87" Target="https://www.jodidata.org/oil/" TargetMode="External" /><Relationship Type="http://schemas.openxmlformats.org/officeDocument/2006/relationships/hyperlink" Id="rId89"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2026-05-15T05:33:27Z</dcterms:created>
  <dcterms:modified xsi:type="dcterms:W3CDTF">2026-05-15T05:33:27Z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