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7.png" ContentType="image/png"/>
  <Override PartName="/word/media/rId79.png" ContentType="image/png"/>
  <Override PartName="/word/media/rId14.png" ContentType="image/png"/>
  <Override PartName="/word/media/rId21.png" ContentType="image/png"/>
  <Override PartName="/word/media/rId85.png" ContentType="image/png"/>
  <Override PartName="/word/media/rId76.png" ContentType="image/png"/>
  <Override PartName="/word/media/rId46.png" ContentType="image/png"/>
  <Override PartName="/word/media/rId65.png" ContentType="image/png"/>
  <Override PartName="/word/media/rId39.png" ContentType="image/png"/>
  <Override PartName="/word/media/rId53.png" ContentType="image/png"/>
  <Override PartName="/word/media/rId42.png" ContentType="image/png"/>
  <Override PartName="/word/media/rId60.png" ContentType="image/png"/>
  <Override PartName="/word/media/rId49.png" ContentType="image/png"/>
  <Override PartName="/word/media/rId69.png" ContentType="image/png"/>
  <Override PartName="/word/media/rId5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为解释日度价格路径，本文构建短期动态递推模型：物理供需层纳入供应中断、SPR</w:t>
      </w:r>
      <w:r>
        <w:t xml:space="preserve"> </w:t>
      </w:r>
      <w:r>
        <w:rPr>
          <w:rFonts w:hint="eastAsia"/>
        </w:rPr>
        <w:t xml:space="preserve">释放、商业库存、绕道运输、需求收缩和恐慌衰减，市场价格形成层纳入地缘风险溢价、不确定性平台、缓冲确认折价和预期修复折价。综合最优模型在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美元/桶，且存在较高二次跳涨风险。敏感性分析表明，不确定性平台、地缘风险权重和供应中断量是综合敏感度最高的三个因素；SPR</w:t>
      </w:r>
      <w:r>
        <w:t xml:space="preserve"> </w:t>
      </w:r>
      <w:r>
        <w:rPr>
          <w:rFonts w:hint="eastAsia"/>
        </w:rPr>
        <w:t xml:space="preserve">释放和绕道运输更主要影响外推期峰值和削峰能力。</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bookmarkEnd w:id="13"/>
    <w:bookmarkStart w:id="25" w:name="数据处理与描述性分析"/>
    <w:p>
      <w:pPr>
        <w:pStyle w:val="Heading1"/>
      </w:pPr>
      <w:r>
        <w:rPr>
          <w:rFonts w:hint="eastAsia"/>
        </w:rPr>
        <w:t xml:space="preserve">数据处理与描述性分析</w:t>
      </w:r>
    </w:p>
    <w:bookmarkStart w:id="20"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5" name="Picture"/>
            <a:graphic>
              <a:graphicData uri="http://schemas.openxmlformats.org/drawingml/2006/picture">
                <pic:pic>
                  <pic:nvPicPr>
                    <pic:cNvPr descr="price_trend.png" id="16" name="Picture"/>
                    <pic:cNvPicPr>
                      <a:picLocks noChangeArrowheads="1" noChangeAspect="1"/>
                    </pic:cNvPicPr>
                  </pic:nvPicPr>
                  <pic:blipFill>
                    <a:blip r:embed="rId1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8" name="Picture"/>
            <a:graphic>
              <a:graphicData uri="http://schemas.openxmlformats.org/drawingml/2006/picture">
                <pic:pic>
                  <pic:nvPicPr>
                    <pic:cNvPr descr="event_window_price.png" id="19" name="Picture"/>
                    <pic:cNvPicPr>
                      <a:picLocks noChangeArrowheads="1" noChangeAspect="1"/>
                    </pic:cNvPicPr>
                  </pic:nvPicPr>
                  <pic:blipFill>
                    <a:blip r:embed="rId17"/>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0"/>
    <w:bookmarkStart w:id="24"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2" name="Picture"/>
            <a:graphic>
              <a:graphicData uri="http://schemas.openxmlformats.org/drawingml/2006/picture">
                <pic:pic>
                  <pic:nvPicPr>
                    <pic:cNvPr descr="return_volatility.png" id="23" name="Picture"/>
                    <pic:cNvPicPr>
                      <a:picLocks noChangeArrowheads="1" noChangeAspect="1"/>
                    </pic:cNvPicPr>
                  </pic:nvPicPr>
                  <pic:blipFill>
                    <a:blip r:embed="rId21"/>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4"/>
    <w:bookmarkEnd w:id="25"/>
    <w:bookmarkStart w:id="28" w:name="模型假设与符号说明"/>
    <w:p>
      <w:pPr>
        <w:pStyle w:val="Heading1"/>
      </w:pPr>
      <w:r>
        <w:rPr>
          <w:rFonts w:hint="eastAsia"/>
        </w:rPr>
        <w:t xml:space="preserve">模型假设与符号说明</w:t>
      </w:r>
    </w:p>
    <w:bookmarkStart w:id="26"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6"/>
    <w:bookmarkStart w:id="27"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不确定性平台强度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7"/>
    <w:bookmarkEnd w:id="28"/>
    <w:bookmarkStart w:id="34" w:name="传统供需基准模型"/>
    <w:p>
      <w:pPr>
        <w:pStyle w:val="Heading1"/>
      </w:pPr>
      <w:r>
        <w:rPr>
          <w:rFonts w:hint="eastAsia"/>
        </w:rPr>
        <w:t xml:space="preserve">传统供需基准模型</w:t>
      </w:r>
    </w:p>
    <w:bookmarkStart w:id="29"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29"/>
    <w:bookmarkStart w:id="33"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1" name="Picture"/>
            <a:graphic>
              <a:graphicData uri="http://schemas.openxmlformats.org/drawingml/2006/picture">
                <pic:pic>
                  <pic:nvPicPr>
                    <pic:cNvPr descr="baseline_vs_actual.png" id="32" name="Picture"/>
                    <pic:cNvPicPr>
                      <a:picLocks noChangeArrowheads="1" noChangeAspect="1"/>
                    </pic:cNvPicPr>
                  </pic:nvPicPr>
                  <pic:blipFill>
                    <a:blip r:embed="rId30"/>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3"/>
    <w:bookmarkEnd w:id="34"/>
    <w:bookmarkStart w:id="37" w:name="短期动态递推模型"/>
    <w:p>
      <w:pPr>
        <w:pStyle w:val="Heading1"/>
      </w:pPr>
      <w:r>
        <w:rPr>
          <w:rFonts w:hint="eastAsia"/>
        </w:rPr>
        <w:t xml:space="preserve">短期动态递推模型</w:t>
      </w:r>
    </w:p>
    <w:bookmarkStart w:id="35"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5"/>
    <w:bookmarkStart w:id="36"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6"/>
    <w:bookmarkEnd w:id="37"/>
    <w:bookmarkStart w:id="74" w:name="参数校准与模型检验"/>
    <w:p>
      <w:pPr>
        <w:pStyle w:val="Heading1"/>
      </w:pPr>
      <w:r>
        <w:rPr>
          <w:rFonts w:hint="eastAsia"/>
        </w:rPr>
        <w:t xml:space="preserve">参数校准与模型检验</w:t>
      </w:r>
    </w:p>
    <w:bookmarkStart w:id="38"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8"/>
    <w:bookmarkStart w:id="45"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0" name="Picture"/>
            <a:graphic>
              <a:graphicData uri="http://schemas.openxmlformats.org/drawingml/2006/picture">
                <pic:pic>
                  <pic:nvPicPr>
                    <pic:cNvPr descr="短期模型拟合效果.png" id="41" name="Picture"/>
                    <pic:cNvPicPr>
                      <a:picLocks noChangeArrowheads="1" noChangeAspect="1"/>
                    </pic:cNvPicPr>
                  </pic:nvPicPr>
                  <pic:blipFill>
                    <a:blip r:embed="rId39"/>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3" name="Picture"/>
            <a:graphic>
              <a:graphicData uri="http://schemas.openxmlformats.org/drawingml/2006/picture">
                <pic:pic>
                  <pic:nvPicPr>
                    <pic:cNvPr descr="短期模型机制贡献.png" id="44" name="Picture"/>
                    <pic:cNvPicPr>
                      <a:picLocks noChangeArrowheads="1" noChangeAspect="1"/>
                    </pic:cNvPicPr>
                  </pic:nvPicPr>
                  <pic:blipFill>
                    <a:blip r:embed="rId42"/>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5"/>
    <w:bookmarkStart w:id="52"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7" name="Picture"/>
            <a:graphic>
              <a:graphicData uri="http://schemas.openxmlformats.org/drawingml/2006/picture">
                <pic:pic>
                  <pic:nvPicPr>
                    <pic:cNvPr descr="短期模型基准对比.png" id="48" name="Picture"/>
                    <pic:cNvPicPr>
                      <a:picLocks noChangeArrowheads="1" noChangeAspect="1"/>
                    </pic:cNvPicPr>
                  </pic:nvPicPr>
                  <pic:blipFill>
                    <a:blip r:embed="rId46"/>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0" name="Picture"/>
            <a:graphic>
              <a:graphicData uri="http://schemas.openxmlformats.org/drawingml/2006/picture">
                <pic:pic>
                  <pic:nvPicPr>
                    <pic:cNvPr descr="短期模型滞后平移检验.png" id="51" name="Picture"/>
                    <pic:cNvPicPr>
                      <a:picLocks noChangeArrowheads="1" noChangeAspect="1"/>
                    </pic:cNvPicPr>
                  </pic:nvPicPr>
                  <pic:blipFill>
                    <a:blip r:embed="rId49"/>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2"/>
    <w:bookmarkStart w:id="59"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4" name="Picture"/>
            <a:graphic>
              <a:graphicData uri="http://schemas.openxmlformats.org/drawingml/2006/picture">
                <pic:pic>
                  <pic:nvPicPr>
                    <pic:cNvPr descr="短期模型机制消融实验.png" id="55" name="Picture"/>
                    <pic:cNvPicPr>
                      <a:picLocks noChangeArrowheads="1" noChangeAspect="1"/>
                    </pic:cNvPicPr>
                  </pic:nvPicPr>
                  <pic:blipFill>
                    <a:blip r:embed="rId53"/>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7" name="Picture"/>
            <a:graphic>
              <a:graphicData uri="http://schemas.openxmlformats.org/drawingml/2006/picture">
                <pic:pic>
                  <pic:nvPicPr>
                    <pic:cNvPr descr="短期模型过拟合压力测试.png" id="58" name="Picture"/>
                    <pic:cNvPicPr>
                      <a:picLocks noChangeArrowheads="1" noChangeAspect="1"/>
                    </pic:cNvPicPr>
                  </pic:nvPicPr>
                  <pic:blipFill>
                    <a:blip r:embed="rId56"/>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59"/>
    <w:bookmarkStart w:id="63"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1" name="Picture"/>
            <a:graphic>
              <a:graphicData uri="http://schemas.openxmlformats.org/drawingml/2006/picture">
                <pic:pic>
                  <pic:nvPicPr>
                    <pic:cNvPr descr="短期模型残差诊断增强.png" id="62" name="Picture"/>
                    <pic:cNvPicPr>
                      <a:picLocks noChangeArrowheads="1" noChangeAspect="1"/>
                    </pic:cNvPicPr>
                  </pic:nvPicPr>
                  <pic:blipFill>
                    <a:blip r:embed="rId60"/>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3"/>
    <w:bookmarkStart w:id="64"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4"/>
    <w:bookmarkStart w:id="68"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6" name="Picture"/>
            <a:graphic>
              <a:graphicData uri="http://schemas.openxmlformats.org/drawingml/2006/picture">
                <pic:pic>
                  <pic:nvPicPr>
                    <pic:cNvPr descr="短期模型拐点局部检验.png" id="67" name="Picture"/>
                    <pic:cNvPicPr>
                      <a:picLocks noChangeArrowheads="1" noChangeAspect="1"/>
                    </pic:cNvPicPr>
                  </pic:nvPicPr>
                  <pic:blipFill>
                    <a:blip r:embed="rId65"/>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8"/>
    <w:bookmarkStart w:id="72"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0" name="Picture"/>
            <a:graphic>
              <a:graphicData uri="http://schemas.openxmlformats.org/drawingml/2006/picture">
                <pic:pic>
                  <pic:nvPicPr>
                    <pic:cNvPr descr="短期模型稳健性带.png" id="71" name="Picture"/>
                    <pic:cNvPicPr>
                      <a:picLocks noChangeArrowheads="1" noChangeAspect="1"/>
                    </pic:cNvPicPr>
                  </pic:nvPicPr>
                  <pic:blipFill>
                    <a:blip r:embed="rId69"/>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2"/>
    <w:bookmarkStart w:id="73"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3"/>
    <w:bookmarkEnd w:id="74"/>
    <w:bookmarkStart w:id="83" w:name="天三情景预测"/>
    <w:p>
      <w:pPr>
        <w:pStyle w:val="Heading1"/>
      </w:pPr>
      <w:r>
        <w:t xml:space="preserve">60–180 </w:t>
      </w:r>
      <w:r>
        <w:rPr>
          <w:rFonts w:hint="eastAsia"/>
        </w:rPr>
        <w:t xml:space="preserve">天三情景预测</w:t>
      </w:r>
    </w:p>
    <w:bookmarkStart w:id="75"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风险侧：恐慌溢价逐步衰减，但地缘风险与不确定性平台可能在悲观情景下维持高位。</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w:t>
      </w:r>
      <m:oMath>
        <m:sSub>
          <m:e>
            <m:r>
              <m:rPr>
                <m:sty m:val="p"/>
              </m:rPr>
              <m:t>Φ</m:t>
            </m:r>
          </m:e>
          <m:sub>
            <m:r>
              <m:t>t</m:t>
            </m:r>
          </m:sub>
        </m:sSub>
      </m:oMath>
      <w:r>
        <w:t xml:space="preserve"> </w:t>
      </w:r>
      <w:r>
        <w:rPr>
          <w:rFonts w:hint="eastAsia"/>
        </w:rPr>
        <w:t xml:space="preserve">为地缘风险与不确定性溢价，</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5"/>
    <w:bookmarkStart w:id="82"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98.40</w:t>
            </w:r>
          </w:p>
        </w:tc>
        <w:tc>
          <w:tcPr/>
          <w:p>
            <w:pPr>
              <w:pStyle w:val="Compact"/>
              <w:jc w:val="right"/>
            </w:pPr>
            <w:r>
              <w:t xml:space="preserve">98.33</w:t>
            </w:r>
          </w:p>
        </w:tc>
        <w:tc>
          <w:tcPr/>
          <w:p>
            <w:pPr>
              <w:pStyle w:val="Compact"/>
              <w:jc w:val="right"/>
            </w:pPr>
            <w:r>
              <w:t xml:space="preserve">95.99</w:t>
            </w:r>
          </w:p>
        </w:tc>
        <w:tc>
          <w:tcPr/>
          <w:p>
            <w:pPr>
              <w:pStyle w:val="Compact"/>
              <w:jc w:val="right"/>
            </w:pPr>
            <w:r>
              <w:t xml:space="preserve">104.75</w:t>
            </w:r>
          </w:p>
        </w:tc>
        <w:tc>
          <w:tcPr/>
          <w:p>
            <w:pPr>
              <w:pStyle w:val="Compact"/>
              <w:jc w:val="right"/>
            </w:pPr>
            <w:r>
              <w:t xml:space="preserve">97.73</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109.99</w:t>
            </w:r>
          </w:p>
        </w:tc>
        <w:tc>
          <w:tcPr/>
          <w:p>
            <w:pPr>
              <w:pStyle w:val="Compact"/>
              <w:jc w:val="right"/>
            </w:pPr>
            <w:r>
              <w:t xml:space="preserve">108.04</w:t>
            </w:r>
          </w:p>
        </w:tc>
        <w:tc>
          <w:tcPr/>
          <w:p>
            <w:pPr>
              <w:pStyle w:val="Compact"/>
              <w:jc w:val="right"/>
            </w:pPr>
            <w:r>
              <w:t xml:space="preserve">104.49</w:t>
            </w:r>
          </w:p>
        </w:tc>
        <w:tc>
          <w:tcPr/>
          <w:p>
            <w:pPr>
              <w:pStyle w:val="Compact"/>
              <w:jc w:val="right"/>
            </w:pPr>
            <w:r>
              <w:t xml:space="preserve">110.89</w:t>
            </w:r>
          </w:p>
        </w:tc>
        <w:tc>
          <w:tcPr/>
          <w:p>
            <w:pPr>
              <w:pStyle w:val="Compact"/>
              <w:jc w:val="right"/>
            </w:pPr>
            <w:r>
              <w:t xml:space="preserve">107.88</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127.32</w:t>
            </w:r>
          </w:p>
        </w:tc>
        <w:tc>
          <w:tcPr/>
          <w:p>
            <w:pPr>
              <w:pStyle w:val="Compact"/>
              <w:jc w:val="right"/>
            </w:pPr>
            <w:r>
              <w:t xml:space="preserve">122.59</w:t>
            </w:r>
          </w:p>
        </w:tc>
        <w:tc>
          <w:tcPr/>
          <w:p>
            <w:pPr>
              <w:pStyle w:val="Compact"/>
              <w:jc w:val="right"/>
            </w:pPr>
            <w:r>
              <w:t xml:space="preserve">119.53</w:t>
            </w:r>
          </w:p>
        </w:tc>
        <w:tc>
          <w:tcPr/>
          <w:p>
            <w:pPr>
              <w:pStyle w:val="Compact"/>
              <w:jc w:val="right"/>
            </w:pPr>
            <w:r>
              <w:t xml:space="preserve">130.18</w:t>
            </w:r>
          </w:p>
        </w:tc>
        <w:tc>
          <w:tcPr/>
          <w:p>
            <w:pPr>
              <w:pStyle w:val="Compact"/>
              <w:jc w:val="right"/>
            </w:pPr>
            <w:r>
              <w:t xml:space="preserve">123.57</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7" name="Picture"/>
            <a:graphic>
              <a:graphicData uri="http://schemas.openxmlformats.org/drawingml/2006/picture">
                <pic:pic>
                  <pic:nvPicPr>
                    <pic:cNvPr descr="短期拟合与长期预测总览.png" id="78" name="Picture"/>
                    <pic:cNvPicPr>
                      <a:picLocks noChangeArrowheads="1" noChangeAspect="1"/>
                    </pic:cNvPicPr>
                  </pic:nvPicPr>
                  <pic:blipFill>
                    <a:blip r:embed="rId76"/>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104.49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130.18 </w:t>
      </w:r>
      <w:r>
        <w:rPr>
          <w:rFonts w:hint="eastAsia"/>
        </w:rPr>
        <w:t xml:space="preserve">美元/桶的高点。</w:t>
      </w:r>
    </w:p>
    <w:p>
      <w:pPr>
        <w:pStyle w:val="BodyText"/>
      </w:pPr>
      <w:r>
        <w:rPr>
          <w:rFonts w:hint="eastAsia"/>
        </w:rPr>
        <w:t xml:space="preserve">从价格平衡点看，乐观情景最终回落至约</w:t>
      </w:r>
      <w:r>
        <w:t xml:space="preserve"> 95.99 </w:t>
      </w:r>
      <w:r>
        <w:rPr>
          <w:rFonts w:hint="eastAsia"/>
        </w:rPr>
        <w:t xml:space="preserve">美元/桶，说明若</w:t>
      </w:r>
      <w:r>
        <w:t xml:space="preserve"> SPR </w:t>
      </w:r>
      <w:r>
        <w:rPr>
          <w:rFonts w:hint="eastAsia"/>
        </w:rPr>
        <w:t xml:space="preserve">释放及时、绕道运输恢复充分且长期需求弹性发挥作用，油价可以逐步脱离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104.49 </w:t>
      </w:r>
      <w:r>
        <w:rPr>
          <w:rFonts w:hint="eastAsia"/>
        </w:rPr>
        <w:t xml:space="preserve">美元/桶，更接近政策缓冲与市场风险重新平衡后的中心水平。悲观情景第</w:t>
      </w:r>
      <w:r>
        <w:t xml:space="preserve"> 180 </w:t>
      </w:r>
      <w:r>
        <w:rPr>
          <w:rFonts w:hint="eastAsia"/>
        </w:rPr>
        <w:t xml:space="preserve">天仍为</w:t>
      </w:r>
      <w:r>
        <w:t xml:space="preserve"> 119.53 </w:t>
      </w:r>
      <w:r>
        <w:rPr>
          <w:rFonts w:hint="eastAsia"/>
        </w:rPr>
        <w:t xml:space="preserve">美元/桶，说明若供应中断规模接近上界、SPR</w:t>
      </w:r>
      <w:r>
        <w:t xml:space="preserve"> </w:t>
      </w:r>
      <w:r>
        <w:rPr>
          <w:rFonts w:hint="eastAsia"/>
        </w:rPr>
        <w:t xml:space="preserve">释放不足且风险溢价持续，市场可能长期停留在高位平台，并保留二次跳涨尾部风险。</w:t>
      </w:r>
    </w:p>
    <w:p>
      <w:pPr>
        <w:pStyle w:val="CaptionedFigure"/>
      </w:pPr>
      <w:r>
        <w:drawing>
          <wp:inline>
            <wp:extent cx="4907280" cy="3413760"/>
            <wp:effectExtent b="0" l="0" r="0" t="0"/>
            <wp:docPr descr="" title="" id="80" name="Picture"/>
            <a:graphic>
              <a:graphicData uri="http://schemas.openxmlformats.org/drawingml/2006/picture">
                <pic:pic>
                  <pic:nvPicPr>
                    <pic:cNvPr descr="inventory_depletion_risk.png" id="81" name="Picture"/>
                    <pic:cNvPicPr>
                      <a:picLocks noChangeArrowheads="1" noChangeAspect="1"/>
                    </pic:cNvPicPr>
                  </pic:nvPicPr>
                  <pic:blipFill>
                    <a:blip r:embed="rId79"/>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2"/>
    <w:bookmarkEnd w:id="83"/>
    <w:bookmarkStart w:id="89" w:name="敏感性分析"/>
    <w:p>
      <w:pPr>
        <w:pStyle w:val="Heading1"/>
      </w:pPr>
      <w:r>
        <w:rPr>
          <w:rFonts w:hint="eastAsia"/>
        </w:rPr>
        <w:t xml:space="preserve">敏感性分析</w:t>
      </w:r>
    </w:p>
    <w:bookmarkStart w:id="84"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4"/>
    <w:bookmarkStart w:id="88"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不确定性平台</w:t>
            </w:r>
          </w:p>
        </w:tc>
        <w:tc>
          <w:tcPr/>
          <w:p>
            <w:pPr>
              <w:pStyle w:val="Compact"/>
              <w:jc w:val="right"/>
            </w:pPr>
            <w:r>
              <w:t xml:space="preserve">17.93</w:t>
            </w:r>
          </w:p>
        </w:tc>
        <w:tc>
          <w:tcPr/>
          <w:p>
            <w:pPr>
              <w:pStyle w:val="Compact"/>
              <w:jc w:val="right"/>
            </w:pPr>
            <w:r>
              <w:t xml:space="preserve">12.45</w:t>
            </w:r>
          </w:p>
        </w:tc>
        <w:tc>
          <w:tcPr/>
          <w:p>
            <w:pPr>
              <w:pStyle w:val="Compact"/>
              <w:jc w:val="right"/>
            </w:pPr>
            <w:r>
              <w:t xml:space="preserve">12.19</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12.30</w:t>
            </w:r>
          </w:p>
        </w:tc>
        <w:tc>
          <w:tcPr/>
          <w:p>
            <w:pPr>
              <w:pStyle w:val="Compact"/>
              <w:jc w:val="right"/>
            </w:pPr>
            <w:r>
              <w:t xml:space="preserve">7.24</w:t>
            </w:r>
          </w:p>
        </w:tc>
        <w:tc>
          <w:tcPr/>
          <w:p>
            <w:pPr>
              <w:pStyle w:val="Compact"/>
              <w:jc w:val="right"/>
            </w:pPr>
            <w:r>
              <w:t xml:space="preserve">11.26</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5.91</w:t>
            </w:r>
          </w:p>
        </w:tc>
        <w:tc>
          <w:tcPr/>
          <w:p>
            <w:pPr>
              <w:pStyle w:val="Compact"/>
              <w:jc w:val="right"/>
            </w:pPr>
            <w:r>
              <w:t xml:space="preserve">3.54</w:t>
            </w:r>
          </w:p>
        </w:tc>
        <w:tc>
          <w:tcPr/>
          <w:p>
            <w:pPr>
              <w:pStyle w:val="Compact"/>
              <w:jc w:val="right"/>
            </w:pPr>
            <w:r>
              <w:t xml:space="preserve">5.27</w:t>
            </w:r>
          </w:p>
        </w:tc>
      </w:tr>
      <w:tr>
        <w:tc>
          <w:tcPr/>
          <w:p>
            <w:pPr>
              <w:pStyle w:val="Compact"/>
              <w:jc w:val="right"/>
            </w:pPr>
            <w:r>
              <w:t xml:space="preserve">4</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0.52</w:t>
            </w:r>
          </w:p>
        </w:tc>
      </w:tr>
      <w:tr>
        <w:tc>
          <w:tcPr/>
          <w:p>
            <w:pPr>
              <w:pStyle w:val="Compact"/>
              <w:jc w:val="right"/>
            </w:pPr>
            <w:r>
              <w:t xml:space="preserve">5</w:t>
            </w:r>
          </w:p>
        </w:tc>
        <w:tc>
          <w:tcPr/>
          <w:p>
            <w:pPr>
              <w:pStyle w:val="Compact"/>
              <w:jc w:val="left"/>
            </w:pPr>
            <w:r>
              <w:rPr>
                <w:rFonts w:hint="eastAsia"/>
              </w:rPr>
              <w:t xml:space="preserve">恐慌衰减速度</w:t>
            </w:r>
          </w:p>
        </w:tc>
        <w:tc>
          <w:tcPr/>
          <w:p>
            <w:pPr>
              <w:pStyle w:val="Compact"/>
              <w:jc w:val="right"/>
            </w:pPr>
            <w:r>
              <w:t xml:space="preserve">0.14</w:t>
            </w:r>
          </w:p>
        </w:tc>
        <w:tc>
          <w:tcPr/>
          <w:p>
            <w:pPr>
              <w:pStyle w:val="Compact"/>
              <w:jc w:val="right"/>
            </w:pPr>
            <w:r>
              <w:t xml:space="preserve">0.00</w:t>
            </w:r>
          </w:p>
        </w:tc>
        <w:tc>
          <w:tcPr/>
          <w:p>
            <w:pPr>
              <w:pStyle w:val="Compact"/>
              <w:jc w:val="right"/>
            </w:pPr>
            <w:r>
              <w:t xml:space="preserve">0.30</w:t>
            </w:r>
          </w:p>
        </w:tc>
      </w:tr>
      <w:tr>
        <w:tc>
          <w:tcPr/>
          <w:p>
            <w:pPr>
              <w:pStyle w:val="Compact"/>
              <w:jc w:val="right"/>
            </w:pPr>
            <w:r>
              <w:t xml:space="preserve">6</w:t>
            </w:r>
          </w:p>
        </w:tc>
        <w:tc>
          <w:tcPr/>
          <w:p>
            <w:pPr>
              <w:pStyle w:val="Compact"/>
              <w:jc w:val="left"/>
            </w:pPr>
            <w:r>
              <w:rPr>
                <w:rFonts w:hint="eastAsia"/>
              </w:rPr>
              <w:t xml:space="preserve">预期修复强度</w:t>
            </w:r>
          </w:p>
        </w:tc>
        <w:tc>
          <w:tcPr/>
          <w:p>
            <w:pPr>
              <w:pStyle w:val="Compact"/>
              <w:jc w:val="right"/>
            </w:pPr>
            <w:r>
              <w:t xml:space="preserve">0.07</w:t>
            </w:r>
          </w:p>
        </w:tc>
        <w:tc>
          <w:tcPr/>
          <w:p>
            <w:pPr>
              <w:pStyle w:val="Compact"/>
              <w:jc w:val="right"/>
            </w:pPr>
            <w:r>
              <w:t xml:space="preserve">0.00</w:t>
            </w:r>
          </w:p>
        </w:tc>
        <w:tc>
          <w:tcPr/>
          <w:p>
            <w:pPr>
              <w:pStyle w:val="Compact"/>
              <w:jc w:val="right"/>
            </w:pPr>
            <w:r>
              <w:t xml:space="preserve">0.16</w:t>
            </w:r>
          </w:p>
        </w:tc>
      </w:tr>
      <w:tr>
        <w:tc>
          <w:tcPr/>
          <w:p>
            <w:pPr>
              <w:pStyle w:val="Compact"/>
              <w:jc w:val="right"/>
            </w:pPr>
            <w:r>
              <w:t xml:space="preserve">7</w:t>
            </w:r>
          </w:p>
        </w:tc>
        <w:tc>
          <w:tcPr/>
          <w:p>
            <w:pPr>
              <w:pStyle w:val="Compact"/>
              <w:jc w:val="left"/>
            </w:pPr>
            <w:r>
              <w:t xml:space="preserve">SPR </w:t>
            </w:r>
            <w:r>
              <w:rPr>
                <w:rFonts w:hint="eastAsia"/>
              </w:rPr>
              <w:t xml:space="preserve">启动延迟</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0.11</w:t>
            </w:r>
          </w:p>
        </w:tc>
      </w:tr>
      <w:tr>
        <w:tc>
          <w:tcPr/>
          <w:p>
            <w:pPr>
              <w:pStyle w:val="Compact"/>
              <w:jc w:val="right"/>
            </w:pPr>
            <w:r>
              <w:t xml:space="preserve">8</w:t>
            </w:r>
          </w:p>
        </w:tc>
        <w:tc>
          <w:tcPr/>
          <w:p>
            <w:pPr>
              <w:pStyle w:val="Compact"/>
              <w:jc w:val="left"/>
            </w:pPr>
            <w:r>
              <w:rPr>
                <w:rFonts w:hint="eastAsia"/>
              </w:rPr>
              <w:t xml:space="preserve">长期需求弹性</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0.08</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bl>
    <w:p>
      <w:pPr>
        <w:pStyle w:val="CaptionedFigure"/>
      </w:pPr>
      <w:r>
        <w:drawing>
          <wp:inline>
            <wp:extent cx="4907280" cy="2998893"/>
            <wp:effectExtent b="0" l="0" r="0" t="0"/>
            <wp:docPr descr="" title="" id="86" name="Picture"/>
            <a:graphic>
              <a:graphicData uri="http://schemas.openxmlformats.org/drawingml/2006/picture">
                <pic:pic>
                  <pic:nvPicPr>
                    <pic:cNvPr descr="sensitivity_tornado_180day.png" id="87" name="Picture"/>
                    <pic:cNvPicPr>
                      <a:picLocks noChangeArrowheads="1" noChangeAspect="1"/>
                    </pic:cNvPicPr>
                  </pic:nvPicPr>
                  <pic:blipFill>
                    <a:blip r:embed="rId85"/>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天终点价格对市场价格形成层最敏感，尤其是不确定性平台和地缘风险权重；供应中断量决定价格上行压力的物理底座。SPR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88"/>
    <w:bookmarkEnd w:id="89"/>
    <w:bookmarkStart w:id="93" w:name="模型评价"/>
    <w:p>
      <w:pPr>
        <w:pStyle w:val="Heading1"/>
      </w:pPr>
      <w:r>
        <w:rPr>
          <w:rFonts w:hint="eastAsia"/>
        </w:rPr>
        <w:t xml:space="preserve">模型评价</w:t>
      </w:r>
    </w:p>
    <w:bookmarkStart w:id="90"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0"/>
    <w:bookmarkStart w:id="91"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地缘风险、不确定性平台和预期修复仍以参数化方式刻画，未引入期权隐含波动率、真实库存周报或新闻情绪等外生数据。</w:t>
      </w:r>
    </w:p>
    <w:p>
      <w:pPr>
        <w:numPr>
          <w:ilvl w:val="0"/>
          <w:numId w:val="1006"/>
        </w:numPr>
      </w:pPr>
      <w:r>
        <w:rPr>
          <w:rFonts w:hint="eastAsia"/>
        </w:rPr>
        <w:t xml:space="preserve">单因素敏感性不能完全描述参数联动风险，因此悲观情景仍是判断二次跳涨风险的重要补充。</w:t>
      </w:r>
    </w:p>
    <w:bookmarkEnd w:id="91"/>
    <w:bookmarkStart w:id="92"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若后续继续深化，可以从三个方向提高模型外推能力：第一，引入</w:t>
      </w:r>
      <w:r>
        <w:t xml:space="preserve"> EIA、IEA </w:t>
      </w:r>
      <w:r>
        <w:rPr>
          <w:rFonts w:hint="eastAsia"/>
        </w:rPr>
        <w:t xml:space="preserve">或</w:t>
      </w:r>
      <w:r>
        <w:t xml:space="preserve"> OPEC </w:t>
      </w:r>
      <w:r>
        <w:rPr>
          <w:rFonts w:hint="eastAsia"/>
        </w:rPr>
        <w:t xml:space="preserve">的真实库存、产量和运输数据，对长期供给恢复路径进行更客观的外生约束；第二，在严格避免同日反馈循环的前提下，引入滞后新闻情绪、期权隐含波动率或地缘风险指数，增强风险溢价的外生解释力；第三，将单因素敏感性扩展为多参数联合扰动或蒙特卡洛情景树，更充分刻画悲观情景下的尾部风险。</w:t>
      </w:r>
    </w:p>
    <w:bookmarkEnd w:id="92"/>
    <w:bookmarkEnd w:id="93"/>
    <w:bookmarkStart w:id="94"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美元/桶，并存在较高二次跳涨风险。</w:t>
      </w:r>
    </w:p>
    <w:p>
      <w:pPr>
        <w:numPr>
          <w:ilvl w:val="0"/>
          <w:numId w:val="1007"/>
        </w:numPr>
      </w:pPr>
      <w:r>
        <w:rPr>
          <w:rFonts w:hint="eastAsia"/>
        </w:rPr>
        <w:t xml:space="preserve">敏感性分析显示，不确定性平台、地缘风险权重和供应中断量是最关键影响因素；SPR</w:t>
      </w:r>
      <w:r>
        <w:t xml:space="preserve"> </w:t>
      </w:r>
      <w:r>
        <w:rPr>
          <w:rFonts w:hint="eastAsia"/>
        </w:rPr>
        <w:t xml:space="preserve">和绕道运输更偏向削峰和争取恢复时间。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94"/>
    <w:bookmarkStart w:id="95"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95"/>
    <w:bookmarkStart w:id="97"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96">
        <w:r>
          <w:rPr>
            <w:rStyle w:val="Hyperlink"/>
          </w:rPr>
          <w:t xml:space="preserve">EIA special topic page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79" Target="media/rId79.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image" Id="rId39" Target="media/rId39.png"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60" Target="media/rId60.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6" Target="media/rId56.png" /><Relationship Type="http://schemas.openxmlformats.org/officeDocument/2006/relationships/image" Id="rId10" Target="media/rId10.png" /><Relationship Type="http://schemas.openxmlformats.org/officeDocument/2006/relationships/hyperlink" Id="rId96"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96"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2026-05-11T10:48:12Z</dcterms:created>
  <dcterms:modified xsi:type="dcterms:W3CDTF">2026-05-11T10:48:12Z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