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7.png" ContentType="image/png"/>
  <Override PartName="/word/media/rId85.png" ContentType="image/png"/>
  <Override PartName="/word/media/rId14.png" ContentType="image/png"/>
  <Override PartName="/word/media/rId21.png" ContentType="image/png"/>
  <Override PartName="/word/media/rId82.png" ContentType="image/png"/>
  <Override PartName="/word/media/rId94.png" ContentType="image/png"/>
  <Override PartName="/word/media/rId91.png" ContentType="image/png"/>
  <Override PartName="/word/media/rId79.png" ContentType="image/png"/>
  <Override PartName="/word/media/rId46.png" ContentType="image/png"/>
  <Override PartName="/word/media/rId68.png" ContentType="image/png"/>
  <Override PartName="/word/media/rId39.png" ContentType="image/png"/>
  <Override PartName="/word/media/rId53.png" ContentType="image/png"/>
  <Override PartName="/word/media/rId42.png" ContentType="image/png"/>
  <Override PartName="/word/media/rId63.png" ContentType="image/png"/>
  <Override PartName="/word/media/rId49.png" ContentType="image/png"/>
  <Override PartName="/word/media/rId72.png" ContentType="image/png"/>
  <Override PartName="/word/media/rId60.png" ContentType="image/png"/>
  <Override PartName="/word/media/rId5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一旦发生封锁，供应中断、地缘风险重估、战略储备释放、商业库存缓冲、绕道运输恢复和市场预期修复会同时作用于国际原油价格。本文以附件给出的布伦特原油期货主力合约价格数据为基础，建立了</w:t>
      </w:r>
      <w:r>
        <w:rPr>
          <w:rFonts w:hint="eastAsia"/>
        </w:rPr>
        <w:t xml:space="preserve">“附件数据清洗–传统供需基准–短期动态递推–长期情景预测–敏感性分析”</w:t>
      </w:r>
      <w:r>
        <w:rPr>
          <w:rFonts w:hint="eastAsia"/>
        </w:rPr>
        <w:t xml:space="preserve">的完整模型链条。</w:t>
      </w:r>
    </w:p>
    <w:p>
      <w:pPr>
        <w:pStyle w:val="BodyText"/>
      </w:pPr>
      <w:r>
        <w:rPr>
          <w:rFonts w:hint="eastAsia"/>
        </w:rPr>
        <w:t xml:space="preserve">针对任务一，本文首先清洗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月的原始价格序列，并截取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日的冲突窗口作为主要拟合区间。附件数据显示，冲突窗口内最高收盘价为</w:t>
      </w:r>
      <w:r>
        <w:t xml:space="preserve"> 114.06 </w:t>
      </w:r>
      <w:r>
        <w:rPr>
          <w:rFonts w:hint="eastAsia"/>
        </w:rPr>
        <w:t xml:space="preserve">美元/桶，最高盘中价为</w:t>
      </w:r>
      <w:r>
        <w:t xml:space="preserve"> 119.50 </w:t>
      </w:r>
      <w:r>
        <w:rPr>
          <w:rFonts w:hint="eastAsia"/>
        </w:rPr>
        <w:t xml:space="preserve">美元/桶。随后，本文按题面给定的短期低需求弹性和供应中断范围建立传统供需基准模型，得到约</w:t>
      </w:r>
      <w:r>
        <w:t xml:space="preserve"> 278–337 </w:t>
      </w:r>
      <w:r>
        <w:rPr>
          <w:rFonts w:hint="eastAsia"/>
        </w:rPr>
        <w:t xml:space="preserve">美元/桶的理论价格区间。该结果显著高于附件真实价格，说明单纯低弹性供需框架会高估现实价格，必须进一步刻画政策缓冲和市场预期修复。</w:t>
      </w:r>
    </w:p>
    <w:p>
      <w:pPr>
        <w:pStyle w:val="BodyText"/>
      </w:pPr>
      <w:r>
        <w:rPr>
          <w:rFonts w:hint="eastAsia"/>
        </w:rPr>
        <w:t xml:space="preserve">针对任务一中的日度价格解释，本文构建短期动态递推模型。模型在物理供需层纳入供应中断、SPR</w:t>
      </w:r>
      <w:r>
        <w:t xml:space="preserve"> </w:t>
      </w:r>
      <w:r>
        <w:rPr>
          <w:rFonts w:hint="eastAsia"/>
        </w:rPr>
        <w:t xml:space="preserve">释放、商业库存、绕道运输、需求收缩和恐慌衰减，在市场价格形成层纳入地缘风险溢价、不确定性平台、缓冲确认折价和预期修复折价。通过固定种子随机搜索、差分进化连续精修、局部稳健性复核和拟合质量精修，综合最优模型在</w:t>
      </w:r>
      <w:r>
        <w:t xml:space="preserve"> 46 </w:t>
      </w:r>
      <w:r>
        <w:rPr>
          <w:rFonts w:hint="eastAsia"/>
        </w:rPr>
        <w:t xml:space="preserve">个交易日冲突窗口内取得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基准。滞后平移检验、拐点检验、机制消融、过拟合压力测试和硬编码审计表明，该模型不是简单滞后复制，也没有把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针对任务二，本文在短期机制校准结果基础上构建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美元/桶，且存在较高二次跳涨风险。最后，本文围绕</w:t>
      </w:r>
      <w:r>
        <w:t xml:space="preserve"> 10 </w:t>
      </w:r>
      <w:r>
        <w:rPr>
          <w:rFonts w:hint="eastAsia"/>
        </w:rPr>
        <w:t xml:space="preserve">个关键参数进行单因素敏感性分析，发现综合敏感度最高的三个因素为不确定性平台、地缘风险权重和供应中断量；SPR</w:t>
      </w:r>
      <w:r>
        <w:t xml:space="preserve"> </w:t>
      </w:r>
      <w:r>
        <w:rPr>
          <w:rFonts w:hint="eastAsia"/>
        </w:rPr>
        <w:t xml:space="preserve">释放和绕道运输对第</w:t>
      </w:r>
      <w:r>
        <w:t xml:space="preserve"> 180 </w:t>
      </w:r>
      <w:r>
        <w:rPr>
          <w:rFonts w:hint="eastAsia"/>
        </w:rPr>
        <w:t xml:space="preserve">天终点价格影响较小，但能够影响外推期峰值和削峰能力。研究结果表明，短期油价平台由物理缺口和市场风险重估共同决定，长期风险则取决于高风险溢价、供应中断规模和政策缓冲能否形成组合对冲。</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bookmarkEnd w:id="13"/>
    <w:bookmarkStart w:id="25" w:name="数据处理与描述性分析"/>
    <w:p>
      <w:pPr>
        <w:pStyle w:val="Heading1"/>
      </w:pPr>
      <w:r>
        <w:rPr>
          <w:rFonts w:hint="eastAsia"/>
        </w:rPr>
        <w:t xml:space="preserve">数据处理与描述性分析</w:t>
      </w:r>
    </w:p>
    <w:bookmarkStart w:id="20"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5" name="Picture"/>
            <a:graphic>
              <a:graphicData uri="http://schemas.openxmlformats.org/drawingml/2006/picture">
                <pic:pic>
                  <pic:nvPicPr>
                    <pic:cNvPr descr="price_trend.png" id="16" name="Picture"/>
                    <pic:cNvPicPr>
                      <a:picLocks noChangeArrowheads="1" noChangeAspect="1"/>
                    </pic:cNvPicPr>
                  </pic:nvPicPr>
                  <pic:blipFill>
                    <a:blip r:embed="rId1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8" name="Picture"/>
            <a:graphic>
              <a:graphicData uri="http://schemas.openxmlformats.org/drawingml/2006/picture">
                <pic:pic>
                  <pic:nvPicPr>
                    <pic:cNvPr descr="event_window_price.png" id="19" name="Picture"/>
                    <pic:cNvPicPr>
                      <a:picLocks noChangeArrowheads="1" noChangeAspect="1"/>
                    </pic:cNvPicPr>
                  </pic:nvPicPr>
                  <pic:blipFill>
                    <a:blip r:embed="rId17"/>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0"/>
    <w:bookmarkStart w:id="24"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2" name="Picture"/>
            <a:graphic>
              <a:graphicData uri="http://schemas.openxmlformats.org/drawingml/2006/picture">
                <pic:pic>
                  <pic:nvPicPr>
                    <pic:cNvPr descr="return_volatility.png" id="23" name="Picture"/>
                    <pic:cNvPicPr>
                      <a:picLocks noChangeArrowheads="1" noChangeAspect="1"/>
                    </pic:cNvPicPr>
                  </pic:nvPicPr>
                  <pic:blipFill>
                    <a:blip r:embed="rId21"/>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4"/>
    <w:bookmarkEnd w:id="25"/>
    <w:bookmarkStart w:id="28" w:name="模型假设与符号说明"/>
    <w:p>
      <w:pPr>
        <w:pStyle w:val="Heading1"/>
      </w:pPr>
      <w:r>
        <w:rPr>
          <w:rFonts w:hint="eastAsia"/>
        </w:rPr>
        <w:t xml:space="preserve">模型假设与符号说明</w:t>
      </w:r>
    </w:p>
    <w:bookmarkStart w:id="26"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6"/>
    <w:bookmarkStart w:id="27"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7"/>
    <w:bookmarkEnd w:id="28"/>
    <w:bookmarkStart w:id="34" w:name="传统供需基准模型"/>
    <w:p>
      <w:pPr>
        <w:pStyle w:val="Heading1"/>
      </w:pPr>
      <w:r>
        <w:rPr>
          <w:rFonts w:hint="eastAsia"/>
        </w:rPr>
        <w:t xml:space="preserve">传统供需基准模型</w:t>
      </w:r>
    </w:p>
    <w:bookmarkStart w:id="29"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29"/>
    <w:bookmarkStart w:id="33"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1" name="Picture"/>
            <a:graphic>
              <a:graphicData uri="http://schemas.openxmlformats.org/drawingml/2006/picture">
                <pic:pic>
                  <pic:nvPicPr>
                    <pic:cNvPr descr="baseline_vs_actual.png" id="32" name="Picture"/>
                    <pic:cNvPicPr>
                      <a:picLocks noChangeArrowheads="1" noChangeAspect="1"/>
                    </pic:cNvPicPr>
                  </pic:nvPicPr>
                  <pic:blipFill>
                    <a:blip r:embed="rId30"/>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3"/>
    <w:bookmarkEnd w:id="34"/>
    <w:bookmarkStart w:id="37" w:name="短期动态递推模型"/>
    <w:p>
      <w:pPr>
        <w:pStyle w:val="Heading1"/>
      </w:pPr>
      <w:r>
        <w:rPr>
          <w:rFonts w:hint="eastAsia"/>
        </w:rPr>
        <w:t xml:space="preserve">短期动态递推模型</w:t>
      </w:r>
    </w:p>
    <w:bookmarkStart w:id="35"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5"/>
    <w:bookmarkStart w:id="36"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6"/>
    <w:bookmarkEnd w:id="37"/>
    <w:bookmarkStart w:id="77" w:name="参数校准与模型检验"/>
    <w:p>
      <w:pPr>
        <w:pStyle w:val="Heading1"/>
      </w:pPr>
      <w:r>
        <w:rPr>
          <w:rFonts w:hint="eastAsia"/>
        </w:rPr>
        <w:t xml:space="preserve">参数校准与模型检验</w:t>
      </w:r>
    </w:p>
    <w:bookmarkStart w:id="38"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8"/>
    <w:bookmarkStart w:id="45"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0" name="Picture"/>
            <a:graphic>
              <a:graphicData uri="http://schemas.openxmlformats.org/drawingml/2006/picture">
                <pic:pic>
                  <pic:nvPicPr>
                    <pic:cNvPr descr="短期模型拟合效果.png" id="41" name="Picture"/>
                    <pic:cNvPicPr>
                      <a:picLocks noChangeArrowheads="1" noChangeAspect="1"/>
                    </pic:cNvPicPr>
                  </pic:nvPicPr>
                  <pic:blipFill>
                    <a:blip r:embed="rId39"/>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3" name="Picture"/>
            <a:graphic>
              <a:graphicData uri="http://schemas.openxmlformats.org/drawingml/2006/picture">
                <pic:pic>
                  <pic:nvPicPr>
                    <pic:cNvPr descr="短期模型机制贡献.png" id="44" name="Picture"/>
                    <pic:cNvPicPr>
                      <a:picLocks noChangeArrowheads="1" noChangeAspect="1"/>
                    </pic:cNvPicPr>
                  </pic:nvPicPr>
                  <pic:blipFill>
                    <a:blip r:embed="rId42"/>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5"/>
    <w:bookmarkStart w:id="52"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7" name="Picture"/>
            <a:graphic>
              <a:graphicData uri="http://schemas.openxmlformats.org/drawingml/2006/picture">
                <pic:pic>
                  <pic:nvPicPr>
                    <pic:cNvPr descr="短期模型基准对比.png" id="48" name="Picture"/>
                    <pic:cNvPicPr>
                      <a:picLocks noChangeArrowheads="1" noChangeAspect="1"/>
                    </pic:cNvPicPr>
                  </pic:nvPicPr>
                  <pic:blipFill>
                    <a:blip r:embed="rId46"/>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0" name="Picture"/>
            <a:graphic>
              <a:graphicData uri="http://schemas.openxmlformats.org/drawingml/2006/picture">
                <pic:pic>
                  <pic:nvPicPr>
                    <pic:cNvPr descr="短期模型滞后平移检验.png" id="51" name="Picture"/>
                    <pic:cNvPicPr>
                      <a:picLocks noChangeArrowheads="1" noChangeAspect="1"/>
                    </pic:cNvPicPr>
                  </pic:nvPicPr>
                  <pic:blipFill>
                    <a:blip r:embed="rId49"/>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2"/>
    <w:bookmarkStart w:id="59"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4" name="Picture"/>
            <a:graphic>
              <a:graphicData uri="http://schemas.openxmlformats.org/drawingml/2006/picture">
                <pic:pic>
                  <pic:nvPicPr>
                    <pic:cNvPr descr="短期模型机制消融实验.png" id="55" name="Picture"/>
                    <pic:cNvPicPr>
                      <a:picLocks noChangeArrowheads="1" noChangeAspect="1"/>
                    </pic:cNvPicPr>
                  </pic:nvPicPr>
                  <pic:blipFill>
                    <a:blip r:embed="rId53"/>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7" name="Picture"/>
            <a:graphic>
              <a:graphicData uri="http://schemas.openxmlformats.org/drawingml/2006/picture">
                <pic:pic>
                  <pic:nvPicPr>
                    <pic:cNvPr descr="短期模型过拟合压力测试.png" id="58" name="Picture"/>
                    <pic:cNvPicPr>
                      <a:picLocks noChangeArrowheads="1" noChangeAspect="1"/>
                    </pic:cNvPicPr>
                  </pic:nvPicPr>
                  <pic:blipFill>
                    <a:blip r:embed="rId56"/>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59"/>
    <w:bookmarkStart w:id="66"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8154"/>
            <wp:effectExtent b="0" l="0" r="0" t="0"/>
            <wp:docPr descr="" title="" id="61" name="Picture"/>
            <a:graphic>
              <a:graphicData uri="http://schemas.openxmlformats.org/drawingml/2006/picture">
                <pic:pic>
                  <pic:nvPicPr>
                    <pic:cNvPr descr="短期模型误差诊断.png" id="62" name="Picture"/>
                    <pic:cNvPicPr>
                      <a:picLocks noChangeArrowheads="1" noChangeAspect="1"/>
                    </pic:cNvPicPr>
                  </pic:nvPicPr>
                  <pic:blipFill>
                    <a:blip r:embed="rId60"/>
                    <a:stretch>
                      <a:fillRect/>
                    </a:stretch>
                  </pic:blipFill>
                  <pic:spPr bwMode="auto">
                    <a:xfrm>
                      <a:off x="0" y="0"/>
                      <a:ext cx="4907280" cy="3658154"/>
                    </a:xfrm>
                    <a:prstGeom prst="rect">
                      <a:avLst/>
                    </a:prstGeom>
                    <a:noFill/>
                    <a:ln w="9525">
                      <a:noFill/>
                      <a:headEnd/>
                      <a:tailEnd/>
                    </a:ln>
                  </pic:spPr>
                </pic:pic>
              </a:graphicData>
            </a:graphic>
          </wp:inline>
        </w:drawing>
      </w:r>
    </w:p>
    <w:p>
      <w:pPr>
        <w:pStyle w:val="ImageCaption"/>
      </w:pPr>
      <w:r>
        <w:rPr>
          <w:rFonts w:hint="eastAsia"/>
        </w:rPr>
        <w:t xml:space="preserve">短期模型逐日误差与分段误差诊断。误差没有集中失控于单一阶段。</w:t>
      </w:r>
    </w:p>
    <w:p>
      <w:pPr>
        <w:pStyle w:val="CaptionedFigure"/>
      </w:pPr>
      <w:r>
        <w:drawing>
          <wp:inline>
            <wp:extent cx="4907280" cy="3655675"/>
            <wp:effectExtent b="0" l="0" r="0" t="0"/>
            <wp:docPr descr="" title="" id="64" name="Picture"/>
            <a:graphic>
              <a:graphicData uri="http://schemas.openxmlformats.org/drawingml/2006/picture">
                <pic:pic>
                  <pic:nvPicPr>
                    <pic:cNvPr descr="短期模型残差诊断增强.png" id="65" name="Picture"/>
                    <pic:cNvPicPr>
                      <a:picLocks noChangeArrowheads="1" noChangeAspect="1"/>
                    </pic:cNvPicPr>
                  </pic:nvPicPr>
                  <pic:blipFill>
                    <a:blip r:embed="rId63"/>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6"/>
    <w:bookmarkStart w:id="67"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7"/>
    <w:bookmarkStart w:id="71"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9" name="Picture"/>
            <a:graphic>
              <a:graphicData uri="http://schemas.openxmlformats.org/drawingml/2006/picture">
                <pic:pic>
                  <pic:nvPicPr>
                    <pic:cNvPr descr="短期模型拐点局部检验.png" id="70" name="Picture"/>
                    <pic:cNvPicPr>
                      <a:picLocks noChangeArrowheads="1" noChangeAspect="1"/>
                    </pic:cNvPicPr>
                  </pic:nvPicPr>
                  <pic:blipFill>
                    <a:blip r:embed="rId68"/>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71"/>
    <w:bookmarkStart w:id="75"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3" name="Picture"/>
            <a:graphic>
              <a:graphicData uri="http://schemas.openxmlformats.org/drawingml/2006/picture">
                <pic:pic>
                  <pic:nvPicPr>
                    <pic:cNvPr descr="短期模型稳健性带.png" id="74" name="Picture"/>
                    <pic:cNvPicPr>
                      <a:picLocks noChangeArrowheads="1" noChangeAspect="1"/>
                    </pic:cNvPicPr>
                  </pic:nvPicPr>
                  <pic:blipFill>
                    <a:blip r:embed="rId7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5"/>
    <w:bookmarkStart w:id="76"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6"/>
    <w:bookmarkEnd w:id="77"/>
    <w:bookmarkStart w:id="89" w:name="天三情景预测"/>
    <w:p>
      <w:pPr>
        <w:pStyle w:val="Heading1"/>
      </w:pPr>
      <w:r>
        <w:t xml:space="preserve">60–180 </w:t>
      </w:r>
      <w:r>
        <w:rPr>
          <w:rFonts w:hint="eastAsia"/>
        </w:rPr>
        <w:t xml:space="preserve">天三情景预测</w:t>
      </w:r>
    </w:p>
    <w:bookmarkStart w:id="78"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风险侧：恐慌溢价逐步衰减，但地缘风险与不确定性平台可能在悲观情景下维持高位。</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w:t>
      </w:r>
      <m:oMath>
        <m:sSub>
          <m:e>
            <m:r>
              <m:rPr>
                <m:sty m:val="p"/>
              </m:rPr>
              <m:t>Φ</m:t>
            </m:r>
          </m:e>
          <m:sub>
            <m:r>
              <m:t>t</m:t>
            </m:r>
          </m:sub>
        </m:sSub>
      </m:oMath>
      <w:r>
        <w:t xml:space="preserve"> </w:t>
      </w:r>
      <w:r>
        <w:rPr>
          <w:rFonts w:hint="eastAsia"/>
        </w:rPr>
        <w:t xml:space="preserve">为地缘风险与不确定性溢价，</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8"/>
    <w:bookmarkStart w:id="8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80" name="Picture"/>
            <a:graphic>
              <a:graphicData uri="http://schemas.openxmlformats.org/drawingml/2006/picture">
                <pic:pic>
                  <pic:nvPicPr>
                    <pic:cNvPr descr="短期拟合与长期预测总览.png" id="81" name="Picture"/>
                    <pic:cNvPicPr>
                      <a:picLocks noChangeArrowheads="1" noChangeAspect="1"/>
                    </pic:cNvPicPr>
                  </pic:nvPicPr>
                  <pic:blipFill>
                    <a:blip r:embed="rId79"/>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CaptionedFigure"/>
      </w:pPr>
      <w:r>
        <w:drawing>
          <wp:inline>
            <wp:extent cx="4907280" cy="2645664"/>
            <wp:effectExtent b="0" l="0" r="0" t="0"/>
            <wp:docPr descr="" title="" id="83" name="Picture"/>
            <a:graphic>
              <a:graphicData uri="http://schemas.openxmlformats.org/drawingml/2006/picture">
                <pic:pic>
                  <pic:nvPicPr>
                    <pic:cNvPr descr="scenario_price_paths.png" id="84" name="Picture"/>
                    <pic:cNvPicPr>
                      <a:picLocks noChangeArrowheads="1" noChangeAspect="1"/>
                    </pic:cNvPicPr>
                  </pic:nvPicPr>
                  <pic:blipFill>
                    <a:blip r:embed="rId82"/>
                    <a:stretch>
                      <a:fillRect/>
                    </a:stretch>
                  </pic:blipFill>
                  <pic:spPr bwMode="auto">
                    <a:xfrm>
                      <a:off x="0" y="0"/>
                      <a:ext cx="4907280" cy="2645664"/>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5：60–180</w:t>
      </w:r>
      <w:r>
        <w:t xml:space="preserve"> </w:t>
      </w:r>
      <w:r>
        <w:rPr>
          <w:rFonts w:hint="eastAsia"/>
        </w:rPr>
        <w:t xml:space="preserve">天三情景原油价格路径。</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BodyText"/>
      </w:pPr>
      <w:r>
        <w:rPr>
          <w:rFonts w:hint="eastAsia"/>
        </w:rPr>
        <w:t xml:space="preserve">从价格平衡点看，乐观情景最终回落至约</w:t>
      </w:r>
      <w:r>
        <w:t xml:space="preserve"> 95.99 </w:t>
      </w:r>
      <w:r>
        <w:rPr>
          <w:rFonts w:hint="eastAsia"/>
        </w:rPr>
        <w:t xml:space="preserve">美元/桶，说明若</w:t>
      </w:r>
      <w:r>
        <w:t xml:space="preserve"> SPR </w:t>
      </w:r>
      <w:r>
        <w:rPr>
          <w:rFonts w:hint="eastAsia"/>
        </w:rPr>
        <w:t xml:space="preserve">释放及时、绕道运输恢复充分且长期需求弹性发挥作用，油价可以逐步脱离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104.49 </w:t>
      </w:r>
      <w:r>
        <w:rPr>
          <w:rFonts w:hint="eastAsia"/>
        </w:rPr>
        <w:t xml:space="preserve">美元/桶，更接近政策缓冲与市场风险重新平衡后的中心水平。悲观情景第</w:t>
      </w:r>
      <w:r>
        <w:t xml:space="preserve"> 180 </w:t>
      </w:r>
      <w:r>
        <w:rPr>
          <w:rFonts w:hint="eastAsia"/>
        </w:rPr>
        <w:t xml:space="preserve">天仍为</w:t>
      </w:r>
      <w:r>
        <w:t xml:space="preserve"> 119.53 </w:t>
      </w:r>
      <w:r>
        <w:rPr>
          <w:rFonts w:hint="eastAsia"/>
        </w:rPr>
        <w:t xml:space="preserve">美元/桶，说明若供应中断规模接近上界、SPR</w:t>
      </w:r>
      <w:r>
        <w:t xml:space="preserve"> </w:t>
      </w:r>
      <w:r>
        <w:rPr>
          <w:rFonts w:hint="eastAsia"/>
        </w:rPr>
        <w:t xml:space="preserve">释放不足且风险溢价持续，市场可能长期停留在高位平台，并保留二次跳涨尾部风险。</w:t>
      </w:r>
    </w:p>
    <w:p>
      <w:pPr>
        <w:pStyle w:val="CaptionedFigure"/>
      </w:pPr>
      <w:r>
        <w:drawing>
          <wp:inline>
            <wp:extent cx="4907280" cy="3413760"/>
            <wp:effectExtent b="0" l="0" r="0" t="0"/>
            <wp:docPr descr="" title="" id="86" name="Picture"/>
            <a:graphic>
              <a:graphicData uri="http://schemas.openxmlformats.org/drawingml/2006/picture">
                <pic:pic>
                  <pic:nvPicPr>
                    <pic:cNvPr descr="inventory_depletion_risk.png" id="87" name="Picture"/>
                    <pic:cNvPicPr>
                      <a:picLocks noChangeArrowheads="1" noChangeAspect="1"/>
                    </pic:cNvPicPr>
                  </pic:nvPicPr>
                  <pic:blipFill>
                    <a:blip r:embed="rId8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8"/>
    <w:bookmarkEnd w:id="89"/>
    <w:bookmarkStart w:id="98" w:name="敏感性分析"/>
    <w:p>
      <w:pPr>
        <w:pStyle w:val="Heading1"/>
      </w:pPr>
      <w:r>
        <w:rPr>
          <w:rFonts w:hint="eastAsia"/>
        </w:rPr>
        <w:t xml:space="preserve">敏感性分析</w:t>
      </w:r>
    </w:p>
    <w:bookmarkStart w:id="90"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90"/>
    <w:bookmarkStart w:id="97"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92" name="Picture"/>
            <a:graphic>
              <a:graphicData uri="http://schemas.openxmlformats.org/drawingml/2006/picture">
                <pic:pic>
                  <pic:nvPicPr>
                    <pic:cNvPr descr="sensitivity_tornado_180day.png" id="93" name="Picture"/>
                    <pic:cNvPicPr>
                      <a:picLocks noChangeArrowheads="1" noChangeAspect="1"/>
                    </pic:cNvPicPr>
                  </pic:nvPicPr>
                  <pic:blipFill>
                    <a:blip r:embed="rId9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CaptionedFigure"/>
      </w:pPr>
      <w:r>
        <w:drawing>
          <wp:inline>
            <wp:extent cx="4907280" cy="1599409"/>
            <wp:effectExtent b="0" l="0" r="0" t="0"/>
            <wp:docPr descr="" title="" id="95" name="Picture"/>
            <a:graphic>
              <a:graphicData uri="http://schemas.openxmlformats.org/drawingml/2006/picture">
                <pic:pic>
                  <pic:nvPicPr>
                    <pic:cNvPr descr="sensitivity_parameter_response.png" id="96" name="Picture"/>
                    <pic:cNvPicPr>
                      <a:picLocks noChangeArrowheads="1" noChangeAspect="1"/>
                    </pic:cNvPicPr>
                  </pic:nvPicPr>
                  <pic:blipFill>
                    <a:blip r:embed="rId94"/>
                    <a:stretch>
                      <a:fillRect/>
                    </a:stretch>
                  </pic:blipFill>
                  <pic:spPr bwMode="auto">
                    <a:xfrm>
                      <a:off x="0" y="0"/>
                      <a:ext cx="4907280" cy="1599409"/>
                    </a:xfrm>
                    <a:prstGeom prst="rect">
                      <a:avLst/>
                    </a:prstGeom>
                    <a:noFill/>
                    <a:ln w="9525">
                      <a:noFill/>
                      <a:headEnd/>
                      <a:tailEnd/>
                    </a:ln>
                  </pic:spPr>
                </pic:pic>
              </a:graphicData>
            </a:graphic>
          </wp:inline>
        </w:drawing>
      </w:r>
    </w:p>
    <w:p>
      <w:pPr>
        <w:pStyle w:val="ImageCaption"/>
      </w:pPr>
      <w:r>
        <w:rPr>
          <w:rFonts w:hint="eastAsia"/>
        </w:rPr>
        <w:t xml:space="preserve">前三个高敏感参数响应曲线。</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97"/>
    <w:bookmarkEnd w:id="98"/>
    <w:bookmarkStart w:id="102" w:name="模型评价"/>
    <w:p>
      <w:pPr>
        <w:pStyle w:val="Heading1"/>
      </w:pPr>
      <w:r>
        <w:rPr>
          <w:rFonts w:hint="eastAsia"/>
        </w:rPr>
        <w:t xml:space="preserve">模型评价</w:t>
      </w:r>
    </w:p>
    <w:bookmarkStart w:id="9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9"/>
    <w:bookmarkStart w:id="10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地缘风险、不确定性平台和预期修复仍以参数化方式刻画，未引入期权隐含波动率、真实库存周报或新闻情绪等外生数据。</w:t>
      </w:r>
    </w:p>
    <w:p>
      <w:pPr>
        <w:numPr>
          <w:ilvl w:val="0"/>
          <w:numId w:val="1006"/>
        </w:numPr>
      </w:pPr>
      <w:r>
        <w:rPr>
          <w:rFonts w:hint="eastAsia"/>
        </w:rPr>
        <w:t xml:space="preserve">单因素敏感性不能完全描述参数联动风险，因此悲观情景仍是判断二次跳涨风险的重要补充。</w:t>
      </w:r>
    </w:p>
    <w:bookmarkEnd w:id="100"/>
    <w:bookmarkStart w:id="10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若后续继续深化，可以从三个方向提高模型外推能力：第一，引入</w:t>
      </w:r>
      <w:r>
        <w:t xml:space="preserve"> EIA、IEA </w:t>
      </w:r>
      <w:r>
        <w:rPr>
          <w:rFonts w:hint="eastAsia"/>
        </w:rPr>
        <w:t xml:space="preserve">或</w:t>
      </w:r>
      <w:r>
        <w:t xml:space="preserve"> OPEC </w:t>
      </w:r>
      <w:r>
        <w:rPr>
          <w:rFonts w:hint="eastAsia"/>
        </w:rPr>
        <w:t xml:space="preserve">的真实库存、产量和运输数据，对长期供给恢复路径进行更客观的外生约束；第二，在严格避免同日反馈循环的前提下，引入滞后新闻情绪、期权隐含波动率或地缘风险指数，增强风险溢价的外生解释力；第三，将单因素敏感性扩展为多参数联合扰动或蒙特卡洛情景树，更充分刻画悲观情景下的尾部风险。</w:t>
      </w:r>
    </w:p>
    <w:bookmarkEnd w:id="101"/>
    <w:bookmarkEnd w:id="102"/>
    <w:bookmarkStart w:id="10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7"/>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103"/>
    <w:bookmarkStart w:id="104"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04"/>
    <w:bookmarkStart w:id="106"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105">
        <w:r>
          <w:rPr>
            <w:rStyle w:val="Hyperlink"/>
          </w:rPr>
          <w:t xml:space="preserve">EIA special topic page</w:t>
        </w:r>
      </w:hyperlink>
      <w:r>
        <w:t xml:space="preserve">.</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5" Target="media/rId85.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79" Target="media/rId79.png" /><Relationship Type="http://schemas.openxmlformats.org/officeDocument/2006/relationships/image" Id="rId46" Target="media/rId46.png" /><Relationship Type="http://schemas.openxmlformats.org/officeDocument/2006/relationships/image" Id="rId68" Target="media/rId68.png" /><Relationship Type="http://schemas.openxmlformats.org/officeDocument/2006/relationships/image" Id="rId39" Target="media/rId39.png"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10" Target="media/rId10.png" /><Relationship Type="http://schemas.openxmlformats.org/officeDocument/2006/relationships/hyperlink" Id="rId105"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105"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2026-05-11T10:33:29Z</dcterms:created>
  <dcterms:modified xsi:type="dcterms:W3CDTF">2026-05-11T10:33:29Z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