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18.png" ContentType="image/png"/>
  <Override PartName="/word/media/rId80.png" ContentType="image/png"/>
  <Override PartName="/word/media/rId15.png" ContentType="image/png"/>
  <Override PartName="/word/media/rId22.png" ContentType="image/png"/>
  <Override PartName="/word/media/rId86.png" ContentType="image/png"/>
  <Override PartName="/word/media/rId77.png" ContentType="image/png"/>
  <Override PartName="/word/media/rId47.png" ContentType="image/png"/>
  <Override PartName="/word/media/rId66.png" ContentType="image/png"/>
  <Override PartName="/word/media/rId40.png" ContentType="image/png"/>
  <Override PartName="/word/media/rId54.png" ContentType="image/png"/>
  <Override PartName="/word/media/rId43.png" ContentType="image/png"/>
  <Override PartName="/word/media/rId61.png" ContentType="image/png"/>
  <Override PartName="/word/media/rId50.png" ContentType="image/png"/>
  <Override PartName="/word/media/rId70.png" ContentType="image/png"/>
  <Override PartName="/word/media/rId5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美元/桶。按题面短期低弹性和供应中断范围建立传统供需基准模型，可得</w:t>
      </w:r>
      <w:r>
        <w:t xml:space="preserve"> 278–337 </w:t>
      </w:r>
      <w:r>
        <w:rPr>
          <w:rFonts w:hint="eastAsia"/>
        </w:rPr>
        <w:t xml:space="preserve">美元/桶的理论价格区间，显著高于附件真实价格，说明必须引入政策缓冲和市场预期修复。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释放、商业库存、绕道运输、需求收缩和恐慌衰减，市场价格形成层纳入地缘风险溢价、不确定性平台、缓冲确认折价和预期修复折价。综合最优模型在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天乐观、中性、悲观三种情景路径。中性情景第</w:t>
      </w:r>
      <w:r>
        <w:t xml:space="preserve"> 180 </w:t>
      </w:r>
      <w:r>
        <w:rPr>
          <w:rFonts w:hint="eastAsia"/>
        </w:rPr>
        <w:t xml:space="preserve">天价格约为</w:t>
      </w:r>
      <w:r>
        <w:t xml:space="preserve"> 104.49 </w:t>
      </w:r>
      <w:r>
        <w:rPr>
          <w:rFonts w:hint="eastAsia"/>
        </w:rPr>
        <w:t xml:space="preserve">美元/桶，悲观情景第</w:t>
      </w:r>
      <w:r>
        <w:t xml:space="preserve"> 180 </w:t>
      </w:r>
      <w:r>
        <w:rPr>
          <w:rFonts w:hint="eastAsia"/>
        </w:rPr>
        <w:t xml:space="preserve">天约为</w:t>
      </w:r>
      <w:r>
        <w:t xml:space="preserve"> 119.53 </w:t>
      </w:r>
      <w:r>
        <w:rPr>
          <w:rFonts w:hint="eastAsia"/>
        </w:rPr>
        <w:t xml:space="preserve">美元/桶，且存在较高二次跳涨风险。敏感性分析表明，不确定性平台、地缘风险权重和供应中断量是综合敏感度最高的三个因素；SPR</w:t>
      </w:r>
      <w:r>
        <w:t xml:space="preserve"> </w:t>
      </w:r>
      <w:r>
        <w:rPr>
          <w:rFonts w:hint="eastAsia"/>
        </w:rPr>
        <w:t xml:space="preserve">释放和绕道运输更主要影响外推期峰值和削峰能力。</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阶段</w:t>
            </w:r>
            <w:r>
              <w:t xml:space="preserve"> 1–4 </w:t>
            </w: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阶段</w:t>
            </w:r>
            <w:r>
              <w:t xml:space="preserve"> 5–6 </w:t>
            </w: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4"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天尺度上的条件外推，消融实验和敏感性分析用于证明主模型中的因素是否值得保留。因素纳入原则见表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地缘风险溢价、不确定性平台、缓冲确认折价、预期修复折价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End w:id="14"/>
    <w:bookmarkStart w:id="26" w:name="数据处理与描述性分析"/>
    <w:p>
      <w:pPr>
        <w:pStyle w:val="Heading1"/>
      </w:pPr>
      <w:r>
        <w:rPr>
          <w:rFonts w:hint="eastAsia"/>
        </w:rPr>
        <w:t xml:space="preserve">数据处理与描述性分析</w:t>
      </w:r>
    </w:p>
    <w:bookmarkStart w:id="21"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CaptionedFigure"/>
      </w:pPr>
      <w:r>
        <w:drawing>
          <wp:inline>
            <wp:extent cx="4907280" cy="2453640"/>
            <wp:effectExtent b="0" l="0" r="0" t="0"/>
            <wp:docPr descr="" title="" id="16" name="Picture"/>
            <a:graphic>
              <a:graphicData uri="http://schemas.openxmlformats.org/drawingml/2006/picture">
                <pic:pic>
                  <pic:nvPicPr>
                    <pic:cNvPr descr="price_trend.png" id="17" name="Picture"/>
                    <pic:cNvPicPr>
                      <a:picLocks noChangeArrowheads="1" noChangeAspect="1"/>
                    </pic:cNvPicPr>
                  </pic:nvPicPr>
                  <pic:blipFill>
                    <a:blip r:embed="rId15"/>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9" name="Picture"/>
            <a:graphic>
              <a:graphicData uri="http://schemas.openxmlformats.org/drawingml/2006/picture">
                <pic:pic>
                  <pic:nvPicPr>
                    <pic:cNvPr descr="event_window_price.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return_volatility.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5"/>
    <w:bookmarkEnd w:id="26"/>
    <w:bookmarkStart w:id="29"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不确定性平台强度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End w:id="29"/>
    <w:bookmarkStart w:id="35" w:name="传统供需基准模型"/>
    <w:p>
      <w:pPr>
        <w:pStyle w:val="Heading1"/>
      </w:pPr>
      <w:r>
        <w:rPr>
          <w:rFonts w:hint="eastAsia"/>
        </w:rPr>
        <w:t xml:space="preserve">传统供需基准模型</w:t>
      </w:r>
    </w:p>
    <w:bookmarkStart w:id="30"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30"/>
    <w:bookmarkStart w:id="34"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2" name="Picture"/>
            <a:graphic>
              <a:graphicData uri="http://schemas.openxmlformats.org/drawingml/2006/picture">
                <pic:pic>
                  <pic:nvPicPr>
                    <pic:cNvPr descr="baseline_vs_actual.png" id="33" name="Picture"/>
                    <pic:cNvPicPr>
                      <a:picLocks noChangeArrowheads="1" noChangeAspect="1"/>
                    </pic:cNvPicPr>
                  </pic:nvPicPr>
                  <pic:blipFill>
                    <a:blip r:embed="rId31"/>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4"/>
    <w:bookmarkEnd w:id="35"/>
    <w:bookmarkStart w:id="38"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bookmarkStart w:id="36"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6"/>
    <w:bookmarkStart w:id="37"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w:t>
      </w:r>
    </w:p>
    <w:bookmarkEnd w:id="37"/>
    <w:bookmarkEnd w:id="38"/>
    <w:bookmarkStart w:id="75" w:name="参数校准与模型检验"/>
    <w:p>
      <w:pPr>
        <w:pStyle w:val="Heading1"/>
      </w:pPr>
      <w:r>
        <w:rPr>
          <w:rFonts w:hint="eastAsia"/>
        </w:rPr>
        <w:t xml:space="preserve">参数校准与模型检验</w:t>
      </w:r>
    </w:p>
    <w:bookmarkStart w:id="39"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不确定性平台</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bookmarkEnd w:id="39"/>
    <w:bookmarkStart w:id="46"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1" name="Picture"/>
            <a:graphic>
              <a:graphicData uri="http://schemas.openxmlformats.org/drawingml/2006/picture">
                <pic:pic>
                  <pic:nvPicPr>
                    <pic:cNvPr descr="短期模型拟合效果.png" id="42" name="Picture"/>
                    <pic:cNvPicPr>
                      <a:picLocks noChangeArrowheads="1" noChangeAspect="1"/>
                    </pic:cNvPicPr>
                  </pic:nvPicPr>
                  <pic:blipFill>
                    <a:blip r:embed="rId40"/>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44" name="Picture"/>
            <a:graphic>
              <a:graphicData uri="http://schemas.openxmlformats.org/drawingml/2006/picture">
                <pic:pic>
                  <pic:nvPicPr>
                    <pic:cNvPr descr="短期模型机制贡献.png" id="45" name="Picture"/>
                    <pic:cNvPicPr>
                      <a:picLocks noChangeArrowheads="1" noChangeAspect="1"/>
                    </pic:cNvPicPr>
                  </pic:nvPicPr>
                  <pic:blipFill>
                    <a:blip r:embed="rId43"/>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6"/>
    <w:bookmarkStart w:id="53"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模型检验框架</w:t>
      </w:r>
    </w:p>
    <w:tbl>
      <w:tblPr>
        <w:tblStyle w:val="Table"/>
        <w:tblW w:type="auto" w:w="0"/>
        <w:tblLook w:firstRow="1" w:lastRow="0" w:firstColumn="0" w:lastColumn="0" w:noHBand="0" w:noVBand="0" w:val="0020"/>
        <w:tblCaption w:val="模型检验框架"/>
      </w:tblPr>
      <w:tblGrid>
        <w:gridCol w:w="2640"/>
        <w:gridCol w:w="2640"/>
        <w:gridCol w:w="2640"/>
      </w:tblGrid>
      <w:tr>
        <w:trPr>
          <w:tblHeader w:val="on"/>
        </w:trPr>
        <w:tc>
          <w:tcPr/>
          <w:p>
            <w:pPr>
              <w:pStyle w:val="Compact"/>
              <w:jc w:val="left"/>
            </w:pPr>
            <w:r>
              <w:rPr>
                <w:rFonts w:hint="eastAsia"/>
              </w:rPr>
              <w:t xml:space="preserve">检验维度</w:t>
            </w:r>
          </w:p>
        </w:tc>
        <w:tc>
          <w:tcPr/>
          <w:p>
            <w:pPr>
              <w:pStyle w:val="Compact"/>
              <w:jc w:val="left"/>
            </w:pPr>
            <w:r>
              <w:rPr>
                <w:rFonts w:hint="eastAsia"/>
              </w:rPr>
              <w:t xml:space="preserve">需要回答的问题</w:t>
            </w:r>
          </w:p>
        </w:tc>
        <w:tc>
          <w:tcPr/>
          <w:p>
            <w:pPr>
              <w:pStyle w:val="Compact"/>
              <w:jc w:val="left"/>
            </w:pPr>
            <w:r>
              <w:rPr>
                <w:rFonts w:hint="eastAsia"/>
              </w:rPr>
              <w:t xml:space="preserve">本文对应方法</w:t>
            </w:r>
          </w:p>
        </w:tc>
      </w:tr>
      <w:tr>
        <w:tc>
          <w:tcPr/>
          <w:p>
            <w:pPr>
              <w:pStyle w:val="Compact"/>
              <w:jc w:val="left"/>
            </w:pPr>
            <w:r>
              <w:rPr>
                <w:rFonts w:hint="eastAsia"/>
              </w:rPr>
              <w:t xml:space="preserve">准确性</w:t>
            </w:r>
          </w:p>
        </w:tc>
        <w:tc>
          <w:tcPr/>
          <w:p>
            <w:pPr>
              <w:pStyle w:val="Compact"/>
              <w:jc w:val="left"/>
            </w:pPr>
            <w:r>
              <w:rPr>
                <w:rFonts w:hint="eastAsia"/>
              </w:rPr>
              <w:t xml:space="preserve">模型误差是否足够低？</w:t>
            </w:r>
          </w:p>
        </w:tc>
        <w:tc>
          <w:tcPr/>
          <w:p>
            <w:pPr>
              <w:pStyle w:val="Compact"/>
              <w:jc w:val="left"/>
            </w:pPr>
            <w:r>
              <w:rPr>
                <w:rFonts w:hint="eastAsia"/>
              </w:rPr>
              <w:t xml:space="preserve">RMSE、MAE、MAPE、分段误差</w:t>
            </w:r>
          </w:p>
        </w:tc>
      </w:tr>
      <w:tr>
        <w:tc>
          <w:tcPr/>
          <w:p>
            <w:pPr>
              <w:pStyle w:val="Compact"/>
              <w:jc w:val="left"/>
            </w:pPr>
            <w:r>
              <w:rPr>
                <w:rFonts w:hint="eastAsia"/>
              </w:rPr>
              <w:t xml:space="preserve">有效性</w:t>
            </w:r>
          </w:p>
        </w:tc>
        <w:tc>
          <w:tcPr/>
          <w:p>
            <w:pPr>
              <w:pStyle w:val="Compact"/>
              <w:jc w:val="left"/>
            </w:pPr>
            <w:r>
              <w:rPr>
                <w:rFonts w:hint="eastAsia"/>
              </w:rPr>
              <w:t xml:space="preserve">是否打败朴素基准？</w:t>
            </w:r>
          </w:p>
        </w:tc>
        <w:tc>
          <w:tcPr/>
          <w:p>
            <w:pPr>
              <w:pStyle w:val="Compact"/>
              <w:jc w:val="left"/>
            </w:pPr>
            <w:r>
              <w:rPr>
                <w:rFonts w:hint="eastAsia"/>
              </w:rPr>
              <w:t xml:space="preserve">上一日基准、三日均值、随机游走、滚动</w:t>
            </w:r>
            <w:r>
              <w:t xml:space="preserve"> ARIMA</w:t>
            </w:r>
          </w:p>
        </w:tc>
      </w:tr>
      <w:tr>
        <w:tc>
          <w:tcPr/>
          <w:p>
            <w:pPr>
              <w:pStyle w:val="Compact"/>
              <w:jc w:val="left"/>
            </w:pPr>
            <w:r>
              <w:rPr>
                <w:rFonts w:hint="eastAsia"/>
              </w:rPr>
              <w:t xml:space="preserve">时序性</w:t>
            </w:r>
          </w:p>
        </w:tc>
        <w:tc>
          <w:tcPr/>
          <w:p>
            <w:pPr>
              <w:pStyle w:val="Compact"/>
              <w:jc w:val="left"/>
            </w:pPr>
            <w:r>
              <w:rPr>
                <w:rFonts w:hint="eastAsia"/>
              </w:rPr>
              <w:t xml:space="preserve">是否只是慢半拍跟随？</w:t>
            </w:r>
          </w:p>
        </w:tc>
        <w:tc>
          <w:tcPr/>
          <w:p>
            <w:pPr>
              <w:pStyle w:val="Compact"/>
              <w:jc w:val="left"/>
            </w:pPr>
            <w:r>
              <w:rPr>
                <w:rFonts w:hint="eastAsia"/>
              </w:rPr>
              <w:t xml:space="preserve">曲线平移检验、拐点局部检验</w:t>
            </w:r>
          </w:p>
        </w:tc>
      </w:tr>
      <w:tr>
        <w:tc>
          <w:tcPr/>
          <w:p>
            <w:pPr>
              <w:pStyle w:val="Compact"/>
              <w:jc w:val="left"/>
            </w:pPr>
            <w:r>
              <w:rPr>
                <w:rFonts w:hint="eastAsia"/>
              </w:rPr>
              <w:t xml:space="preserve">机制性</w:t>
            </w:r>
          </w:p>
        </w:tc>
        <w:tc>
          <w:tcPr/>
          <w:p>
            <w:pPr>
              <w:pStyle w:val="Compact"/>
              <w:jc w:val="left"/>
            </w:pPr>
            <w:r>
              <w:rPr>
                <w:rFonts w:hint="eastAsia"/>
              </w:rPr>
              <w:t xml:space="preserve">每个机制是否有贡献？</w:t>
            </w:r>
          </w:p>
        </w:tc>
        <w:tc>
          <w:tcPr/>
          <w:p>
            <w:pPr>
              <w:pStyle w:val="Compact"/>
              <w:jc w:val="left"/>
            </w:pPr>
            <w:r>
              <w:rPr>
                <w:rFonts w:hint="eastAsia"/>
              </w:rPr>
              <w:t xml:space="preserve">SPR、库存、绕道、需求、风险、预期修复消融实验</w:t>
            </w:r>
          </w:p>
        </w:tc>
      </w:tr>
      <w:tr>
        <w:tc>
          <w:tcPr/>
          <w:p>
            <w:pPr>
              <w:pStyle w:val="Compact"/>
              <w:jc w:val="left"/>
            </w:pPr>
            <w:r>
              <w:rPr>
                <w:rFonts w:hint="eastAsia"/>
              </w:rPr>
              <w:t xml:space="preserve">稳健性</w:t>
            </w:r>
          </w:p>
        </w:tc>
        <w:tc>
          <w:tcPr/>
          <w:p>
            <w:pPr>
              <w:pStyle w:val="Compact"/>
              <w:jc w:val="left"/>
            </w:pPr>
            <w:r>
              <w:rPr>
                <w:rFonts w:hint="eastAsia"/>
              </w:rPr>
              <w:t xml:space="preserve">是否依赖少数神奇参数？</w:t>
            </w:r>
          </w:p>
        </w:tc>
        <w:tc>
          <w:tcPr/>
          <w:p>
            <w:pPr>
              <w:pStyle w:val="Compact"/>
              <w:jc w:val="left"/>
            </w:pPr>
            <m:oMath>
              <m:r>
                <m:rPr>
                  <m:sty m:val="p"/>
                </m:rPr>
                <m:t>±</m:t>
              </m:r>
              <m:r>
                <m:t>15</m:t>
              </m:r>
              <m:r>
                <m:rPr>
                  <m:sty m:val="p"/>
                </m:rPr>
                <m:t>%</m:t>
              </m:r>
            </m:oMath>
            <w:r>
              <w:t xml:space="preserve"> </w:t>
            </w:r>
            <w:r>
              <w:rPr>
                <w:rFonts w:hint="eastAsia"/>
              </w:rPr>
              <w:t xml:space="preserve">参数扰动、局部优秀参数邻域</w:t>
            </w:r>
          </w:p>
        </w:tc>
      </w:tr>
      <w:tr>
        <w:tc>
          <w:tcPr/>
          <w:p>
            <w:pPr>
              <w:pStyle w:val="Compact"/>
              <w:jc w:val="left"/>
            </w:pPr>
            <w:r>
              <w:rPr>
                <w:rFonts w:hint="eastAsia"/>
              </w:rPr>
              <w:t xml:space="preserve">合规性</w:t>
            </w:r>
          </w:p>
        </w:tc>
        <w:tc>
          <w:tcPr/>
          <w:p>
            <w:pPr>
              <w:pStyle w:val="Compact"/>
              <w:jc w:val="left"/>
            </w:pPr>
            <w:r>
              <w:rPr>
                <w:rFonts w:hint="eastAsia"/>
              </w:rPr>
              <w:t xml:space="preserve">是否把结论硬写进代码？</w:t>
            </w:r>
          </w:p>
        </w:tc>
        <w:tc>
          <w:tcPr/>
          <w:p>
            <w:pPr>
              <w:pStyle w:val="Compact"/>
              <w:jc w:val="left"/>
            </w:pPr>
            <w:r>
              <w:rPr>
                <w:rFonts w:hint="eastAsia"/>
              </w:rPr>
              <w:t xml:space="preserve">递推代码硬编码审计、价格上限触发检查</w:t>
            </w:r>
          </w:p>
        </w:tc>
      </w:tr>
    </w:tbl>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8" name="Picture"/>
            <a:graphic>
              <a:graphicData uri="http://schemas.openxmlformats.org/drawingml/2006/picture">
                <pic:pic>
                  <pic:nvPicPr>
                    <pic:cNvPr descr="短期模型基准对比.png" id="49" name="Picture"/>
                    <pic:cNvPicPr>
                      <a:picLocks noChangeArrowheads="1" noChangeAspect="1"/>
                    </pic:cNvPicPr>
                  </pic:nvPicPr>
                  <pic:blipFill>
                    <a:blip r:embed="rId4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51" name="Picture"/>
            <a:graphic>
              <a:graphicData uri="http://schemas.openxmlformats.org/drawingml/2006/picture">
                <pic:pic>
                  <pic:nvPicPr>
                    <pic:cNvPr descr="短期模型滞后平移检验.png" id="52" name="Picture"/>
                    <pic:cNvPicPr>
                      <a:picLocks noChangeArrowheads="1" noChangeAspect="1"/>
                    </pic:cNvPicPr>
                  </pic:nvPicPr>
                  <pic:blipFill>
                    <a:blip r:embed="rId5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53"/>
    <w:bookmarkStart w:id="60"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5" name="Picture"/>
            <a:graphic>
              <a:graphicData uri="http://schemas.openxmlformats.org/drawingml/2006/picture">
                <pic:pic>
                  <pic:nvPicPr>
                    <pic:cNvPr descr="短期模型机制消融实验.png" id="56" name="Picture"/>
                    <pic:cNvPicPr>
                      <a:picLocks noChangeArrowheads="1" noChangeAspect="1"/>
                    </pic:cNvPicPr>
                  </pic:nvPicPr>
                  <pic:blipFill>
                    <a:blip r:embed="rId54"/>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8" name="Picture"/>
            <a:graphic>
              <a:graphicData uri="http://schemas.openxmlformats.org/drawingml/2006/picture">
                <pic:pic>
                  <pic:nvPicPr>
                    <pic:cNvPr descr="短期模型过拟合压力测试.png" id="59" name="Picture"/>
                    <pic:cNvPicPr>
                      <a:picLocks noChangeArrowheads="1" noChangeAspect="1"/>
                    </pic:cNvPicPr>
                  </pic:nvPicPr>
                  <pic:blipFill>
                    <a:blip r:embed="rId57"/>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60"/>
    <w:bookmarkStart w:id="64"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2" name="Picture"/>
            <a:graphic>
              <a:graphicData uri="http://schemas.openxmlformats.org/drawingml/2006/picture">
                <pic:pic>
                  <pic:nvPicPr>
                    <pic:cNvPr descr="短期模型残差诊断增强.png" id="63" name="Picture"/>
                    <pic:cNvPicPr>
                      <a:picLocks noChangeArrowheads="1" noChangeAspect="1"/>
                    </pic:cNvPicPr>
                  </pic:nvPicPr>
                  <pic:blipFill>
                    <a:blip r:embed="rId61"/>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4"/>
    <w:bookmarkStart w:id="65"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65"/>
    <w:bookmarkStart w:id="69"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67" name="Picture"/>
            <a:graphic>
              <a:graphicData uri="http://schemas.openxmlformats.org/drawingml/2006/picture">
                <pic:pic>
                  <pic:nvPicPr>
                    <pic:cNvPr descr="短期模型拐点局部检验.png" id="68" name="Picture"/>
                    <pic:cNvPicPr>
                      <a:picLocks noChangeArrowheads="1" noChangeAspect="1"/>
                    </pic:cNvPicPr>
                  </pic:nvPicPr>
                  <pic:blipFill>
                    <a:blip r:embed="rId66"/>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69"/>
    <w:bookmarkStart w:id="73"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71" name="Picture"/>
            <a:graphic>
              <a:graphicData uri="http://schemas.openxmlformats.org/drawingml/2006/picture">
                <pic:pic>
                  <pic:nvPicPr>
                    <pic:cNvPr descr="短期模型稳健性带.png" id="72" name="Picture"/>
                    <pic:cNvPicPr>
                      <a:picLocks noChangeArrowheads="1" noChangeAspect="1"/>
                    </pic:cNvPicPr>
                  </pic:nvPicPr>
                  <pic:blipFill>
                    <a:blip r:embed="rId70"/>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bookmarkEnd w:id="73"/>
    <w:bookmarkStart w:id="74"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74"/>
    <w:bookmarkEnd w:id="75"/>
    <w:bookmarkStart w:id="84" w:name="天三情景预测"/>
    <w:p>
      <w:pPr>
        <w:pStyle w:val="Heading1"/>
      </w:pPr>
      <w:r>
        <w:t xml:space="preserve">60–180 </w:t>
      </w:r>
      <w:r>
        <w:rPr>
          <w:rFonts w:hint="eastAsia"/>
        </w:rPr>
        <w:t xml:space="preserve">天三情景预测</w:t>
      </w:r>
    </w:p>
    <w:bookmarkStart w:id="76" w:name="情景设定"/>
    <w:p>
      <w:pPr>
        <w:pStyle w:val="Heading2"/>
      </w:pPr>
      <w:r>
        <w:rPr>
          <w:rFonts w:hint="eastAsia"/>
        </w:rPr>
        <w:t xml:space="preserve">情景设定</w:t>
      </w:r>
    </w:p>
    <w:p>
      <w:pPr>
        <w:pStyle w:val="FirstParagraph"/>
      </w:pPr>
      <w:r>
        <w:rPr>
          <w:rFonts w:hint="eastAsia"/>
        </w:rPr>
        <w:t xml:space="preserve">阶段</w:t>
      </w:r>
      <w:r>
        <w:t xml:space="preserve"> 5 </w:t>
      </w:r>
      <w:r>
        <w:rPr>
          <w:rFonts w:hint="eastAsia"/>
        </w:rPr>
        <w:t xml:space="preserve">在阶段</w:t>
      </w:r>
      <w:r>
        <w:t xml:space="preserve"> 4 </w:t>
      </w:r>
      <w:r>
        <w:rPr>
          <w:rFonts w:hint="eastAsia"/>
        </w:rPr>
        <w:t xml:space="preserve">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需要特别说明，长期部分不能称为</w:t>
      </w:r>
      <w:r>
        <w:rPr>
          <w:rFonts w:hint="eastAsia"/>
        </w:rPr>
        <w:t xml:space="preserve">“拟合”</w:t>
      </w:r>
      <w:r>
        <w:rPr>
          <w:rFonts w:hint="eastAsia"/>
        </w:rPr>
        <w:t xml:space="preserve">。原因是赛题附件只提供到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天区间没有可用于事后对照的真实观测值。因此本文对长期部分采用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的表述：短期窗口负责校准机制，长期窗口负责在不同政策和市场条件下外推价格路径。</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风险侧：恐慌溢价逐步衰减，但地缘风险与不确定性平台可能在悲观情景下维持高位。</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w:t>
      </w:r>
      <m:oMath>
        <m:sSub>
          <m:e>
            <m:r>
              <m:rPr>
                <m:sty m:val="p"/>
              </m:rPr>
              <m:t>Φ</m:t>
            </m:r>
          </m:e>
          <m:sub>
            <m:r>
              <m:t>t</m:t>
            </m:r>
          </m:sub>
        </m:sSub>
      </m:oMath>
      <w:r>
        <w:t xml:space="preserve"> </w:t>
      </w:r>
      <w:r>
        <w:rPr>
          <w:rFonts w:hint="eastAsia"/>
        </w:rPr>
        <w:t xml:space="preserve">为地缘风险与不确定性溢价，</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bookmarkEnd w:id="76"/>
    <w:bookmarkStart w:id="83"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98.40</w:t>
            </w:r>
          </w:p>
        </w:tc>
        <w:tc>
          <w:tcPr/>
          <w:p>
            <w:pPr>
              <w:pStyle w:val="Compact"/>
              <w:jc w:val="right"/>
            </w:pPr>
            <w:r>
              <w:t xml:space="preserve">98.33</w:t>
            </w:r>
          </w:p>
        </w:tc>
        <w:tc>
          <w:tcPr/>
          <w:p>
            <w:pPr>
              <w:pStyle w:val="Compact"/>
              <w:jc w:val="right"/>
            </w:pPr>
            <w:r>
              <w:t xml:space="preserve">95.99</w:t>
            </w:r>
          </w:p>
        </w:tc>
        <w:tc>
          <w:tcPr/>
          <w:p>
            <w:pPr>
              <w:pStyle w:val="Compact"/>
              <w:jc w:val="right"/>
            </w:pPr>
            <w:r>
              <w:t xml:space="preserve">104.75</w:t>
            </w:r>
          </w:p>
        </w:tc>
        <w:tc>
          <w:tcPr/>
          <w:p>
            <w:pPr>
              <w:pStyle w:val="Compact"/>
              <w:jc w:val="right"/>
            </w:pPr>
            <w:r>
              <w:t xml:space="preserve">97.73</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109.99</w:t>
            </w:r>
          </w:p>
        </w:tc>
        <w:tc>
          <w:tcPr/>
          <w:p>
            <w:pPr>
              <w:pStyle w:val="Compact"/>
              <w:jc w:val="right"/>
            </w:pPr>
            <w:r>
              <w:t xml:space="preserve">108.04</w:t>
            </w:r>
          </w:p>
        </w:tc>
        <w:tc>
          <w:tcPr/>
          <w:p>
            <w:pPr>
              <w:pStyle w:val="Compact"/>
              <w:jc w:val="right"/>
            </w:pPr>
            <w:r>
              <w:t xml:space="preserve">104.49</w:t>
            </w:r>
          </w:p>
        </w:tc>
        <w:tc>
          <w:tcPr/>
          <w:p>
            <w:pPr>
              <w:pStyle w:val="Compact"/>
              <w:jc w:val="right"/>
            </w:pPr>
            <w:r>
              <w:t xml:space="preserve">110.89</w:t>
            </w:r>
          </w:p>
        </w:tc>
        <w:tc>
          <w:tcPr/>
          <w:p>
            <w:pPr>
              <w:pStyle w:val="Compact"/>
              <w:jc w:val="right"/>
            </w:pPr>
            <w:r>
              <w:t xml:space="preserve">107.88</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127.32</w:t>
            </w:r>
          </w:p>
        </w:tc>
        <w:tc>
          <w:tcPr/>
          <w:p>
            <w:pPr>
              <w:pStyle w:val="Compact"/>
              <w:jc w:val="right"/>
            </w:pPr>
            <w:r>
              <w:t xml:space="preserve">122.59</w:t>
            </w:r>
          </w:p>
        </w:tc>
        <w:tc>
          <w:tcPr/>
          <w:p>
            <w:pPr>
              <w:pStyle w:val="Compact"/>
              <w:jc w:val="right"/>
            </w:pPr>
            <w:r>
              <w:t xml:space="preserve">119.53</w:t>
            </w:r>
          </w:p>
        </w:tc>
        <w:tc>
          <w:tcPr/>
          <w:p>
            <w:pPr>
              <w:pStyle w:val="Compact"/>
              <w:jc w:val="right"/>
            </w:pPr>
            <w:r>
              <w:t xml:space="preserve">130.18</w:t>
            </w:r>
          </w:p>
        </w:tc>
        <w:tc>
          <w:tcPr/>
          <w:p>
            <w:pPr>
              <w:pStyle w:val="Compact"/>
              <w:jc w:val="right"/>
            </w:pPr>
            <w:r>
              <w:t xml:space="preserve">123.57</w:t>
            </w:r>
          </w:p>
        </w:tc>
        <w:tc>
          <w:tcPr/>
          <w:p>
            <w:pPr>
              <w:pStyle w:val="Compact"/>
              <w:jc w:val="right"/>
            </w:pPr>
            <w:r>
              <w:rPr>
                <w:rFonts w:hint="eastAsia"/>
              </w:rPr>
              <w:t xml:space="preserve">高</w:t>
            </w:r>
          </w:p>
        </w:tc>
      </w:tr>
    </w:tbl>
    <w:p>
      <w:pPr>
        <w:pStyle w:val="CaptionedFigure"/>
      </w:pPr>
      <w:r>
        <w:drawing>
          <wp:inline>
            <wp:extent cx="5013960" cy="2757678"/>
            <wp:effectExtent b="0" l="0" r="0" t="0"/>
            <wp:docPr descr="" title="" id="78" name="Picture"/>
            <a:graphic>
              <a:graphicData uri="http://schemas.openxmlformats.org/drawingml/2006/picture">
                <pic:pic>
                  <pic:nvPicPr>
                    <pic:cNvPr descr="短期拟合与长期预测总览.png" id="79" name="Picture"/>
                    <pic:cNvPicPr>
                      <a:picLocks noChangeArrowheads="1" noChangeAspect="1"/>
                    </pic:cNvPicPr>
                  </pic:nvPicPr>
                  <pic:blipFill>
                    <a:blip r:embed="rId77"/>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结果显示，中性情景下价格在</w:t>
      </w:r>
      <w:r>
        <w:t xml:space="preserve"> 180 </w:t>
      </w:r>
      <w:r>
        <w:rPr>
          <w:rFonts w:hint="eastAsia"/>
        </w:rPr>
        <w:t xml:space="preserve">天附近回落至约</w:t>
      </w:r>
      <w:r>
        <w:t xml:space="preserve"> 104.49 </w:t>
      </w:r>
      <w:r>
        <w:rPr>
          <w:rFonts w:hint="eastAsia"/>
        </w:rPr>
        <w:t xml:space="preserve">美元/桶；悲观情景下，若供应中断偏大、SPR</w:t>
      </w:r>
      <w:r>
        <w:t xml:space="preserve"> </w:t>
      </w:r>
      <w:r>
        <w:rPr>
          <w:rFonts w:hint="eastAsia"/>
        </w:rPr>
        <w:t xml:space="preserve">释放弱、绕道恢复慢且风险溢价维持高位，价格可能再次升至</w:t>
      </w:r>
      <w:r>
        <w:t xml:space="preserve"> 120 </w:t>
      </w:r>
      <w:r>
        <w:rPr>
          <w:rFonts w:hint="eastAsia"/>
        </w:rPr>
        <w:t xml:space="preserve">美元/桶附近，并在外推期达到约</w:t>
      </w:r>
      <w:r>
        <w:t xml:space="preserve"> 130.18 </w:t>
      </w:r>
      <w:r>
        <w:rPr>
          <w:rFonts w:hint="eastAsia"/>
        </w:rPr>
        <w:t xml:space="preserve">美元/桶的高点。</w:t>
      </w:r>
    </w:p>
    <w:p>
      <w:pPr>
        <w:pStyle w:val="BodyText"/>
      </w:pPr>
      <w:r>
        <w:rPr>
          <w:rFonts w:hint="eastAsia"/>
        </w:rPr>
        <w:t xml:space="preserve">从价格平衡点看，乐观情景最终回落至约</w:t>
      </w:r>
      <w:r>
        <w:t xml:space="preserve"> 95.99 </w:t>
      </w:r>
      <w:r>
        <w:rPr>
          <w:rFonts w:hint="eastAsia"/>
        </w:rPr>
        <w:t xml:space="preserve">美元/桶，说明若</w:t>
      </w:r>
      <w:r>
        <w:t xml:space="preserve"> SPR </w:t>
      </w:r>
      <w:r>
        <w:rPr>
          <w:rFonts w:hint="eastAsia"/>
        </w:rPr>
        <w:t xml:space="preserve">释放及时、绕道运输恢复充分且长期需求弹性发挥作用，油价可以逐步脱离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104.49 </w:t>
      </w:r>
      <w:r>
        <w:rPr>
          <w:rFonts w:hint="eastAsia"/>
        </w:rPr>
        <w:t xml:space="preserve">美元/桶，更接近政策缓冲与市场风险重新平衡后的中心水平。悲观情景第</w:t>
      </w:r>
      <w:r>
        <w:t xml:space="preserve"> 180 </w:t>
      </w:r>
      <w:r>
        <w:rPr>
          <w:rFonts w:hint="eastAsia"/>
        </w:rPr>
        <w:t xml:space="preserve">天仍为</w:t>
      </w:r>
      <w:r>
        <w:t xml:space="preserve"> 119.53 </w:t>
      </w:r>
      <w:r>
        <w:rPr>
          <w:rFonts w:hint="eastAsia"/>
        </w:rPr>
        <w:t xml:space="preserve">美元/桶，说明若供应中断规模接近上界、SPR</w:t>
      </w:r>
      <w:r>
        <w:t xml:space="preserve"> </w:t>
      </w:r>
      <w:r>
        <w:rPr>
          <w:rFonts w:hint="eastAsia"/>
        </w:rPr>
        <w:t xml:space="preserve">释放不足且风险溢价持续，市场可能长期停留在高位平台，并保留二次跳涨尾部风险。</w:t>
      </w:r>
    </w:p>
    <w:p>
      <w:pPr>
        <w:pStyle w:val="CaptionedFigure"/>
      </w:pPr>
      <w:r>
        <w:drawing>
          <wp:inline>
            <wp:extent cx="4907280" cy="3413760"/>
            <wp:effectExtent b="0" l="0" r="0" t="0"/>
            <wp:docPr descr="" title="" id="81" name="Picture"/>
            <a:graphic>
              <a:graphicData uri="http://schemas.openxmlformats.org/drawingml/2006/picture">
                <pic:pic>
                  <pic:nvPicPr>
                    <pic:cNvPr descr="inventory_depletion_risk.png" id="82" name="Picture"/>
                    <pic:cNvPicPr>
                      <a:picLocks noChangeArrowheads="1" noChangeAspect="1"/>
                    </pic:cNvPicPr>
                  </pic:nvPicPr>
                  <pic:blipFill>
                    <a:blip r:embed="rId80"/>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83"/>
    <w:bookmarkEnd w:id="84"/>
    <w:bookmarkStart w:id="90" w:name="敏感性分析"/>
    <w:p>
      <w:pPr>
        <w:pStyle w:val="Heading1"/>
      </w:pPr>
      <w:r>
        <w:rPr>
          <w:rFonts w:hint="eastAsia"/>
        </w:rPr>
        <w:t xml:space="preserve">敏感性分析</w:t>
      </w:r>
    </w:p>
    <w:bookmarkStart w:id="85" w:name="分析方法"/>
    <w:p>
      <w:pPr>
        <w:pStyle w:val="Heading2"/>
      </w:pPr>
      <w:r>
        <w:rPr>
          <w:rFonts w:hint="eastAsia"/>
        </w:rPr>
        <w:t xml:space="preserve">分析方法</w:t>
      </w:r>
    </w:p>
    <w:p>
      <w:pPr>
        <w:pStyle w:val="FirstParagraph"/>
      </w:pPr>
      <w:r>
        <w:rPr>
          <w:rFonts w:hint="eastAsia"/>
        </w:rPr>
        <w:t xml:space="preserve">阶段</w:t>
      </w:r>
      <w:r>
        <w:t xml:space="preserve"> 6 </w:t>
      </w:r>
      <w:r>
        <w:rPr>
          <w:rFonts w:hint="eastAsia"/>
        </w:rPr>
        <w:t xml:space="preserve">以阶段</w:t>
      </w:r>
      <w:r>
        <w:t xml:space="preserve"> 5 </w:t>
      </w:r>
      <w:r>
        <w:rPr>
          <w:rFonts w:hint="eastAsia"/>
        </w:rPr>
        <w:t xml:space="preserve">中性情景为基准，对</w:t>
      </w:r>
      <w:r>
        <w:t xml:space="preserve"> 10 </w:t>
      </w:r>
      <w:r>
        <w:rPr>
          <w:rFonts w:hint="eastAsia"/>
        </w:rPr>
        <w:t xml:space="preserve">个关键参数进行单因素扰动，观察第</w:t>
      </w:r>
      <w:r>
        <w:t xml:space="preserve"> 180 </w:t>
      </w:r>
      <w:r>
        <w:rPr>
          <w:rFonts w:hint="eastAsia"/>
        </w:rPr>
        <w:t xml:space="preserve">天价格、外推期最高价、剩余供需缺口和二次跳涨风险变化。综合敏感度定义为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85"/>
    <w:bookmarkStart w:id="89" w:name="参数重要性排序"/>
    <w:p>
      <w:pPr>
        <w:pStyle w:val="Heading2"/>
      </w:pPr>
      <w:r>
        <w:rPr>
          <w:rFonts w:hint="eastAsia"/>
        </w:rPr>
        <w:t xml:space="preserve">参数重要性排序</w:t>
      </w:r>
    </w:p>
    <w:p>
      <w:pPr>
        <w:pStyle w:val="TableCaption"/>
      </w:pPr>
      <w:r>
        <w:rPr>
          <w:rFonts w:hint="eastAsia"/>
        </w:rPr>
        <w:t xml:space="preserve">阶段</w:t>
      </w:r>
      <w:r>
        <w:t xml:space="preserve"> 6 </w:t>
      </w:r>
      <w:r>
        <w:rPr>
          <w:rFonts w:hint="eastAsia"/>
        </w:rPr>
        <w:t xml:space="preserve">参数综合敏感度排序</w:t>
      </w:r>
    </w:p>
    <w:tbl>
      <w:tblPr>
        <w:tblStyle w:val="Table"/>
        <w:tblW w:type="auto" w:w="0"/>
        <w:tblLook w:firstRow="1" w:lastRow="0" w:firstColumn="0" w:lastColumn="0" w:noHBand="0" w:noVBand="0" w:val="0020"/>
        <w:tblCaption w:val="阶段 6 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不确定性平台</w:t>
            </w:r>
          </w:p>
        </w:tc>
        <w:tc>
          <w:tcPr/>
          <w:p>
            <w:pPr>
              <w:pStyle w:val="Compact"/>
              <w:jc w:val="right"/>
            </w:pPr>
            <w:r>
              <w:t xml:space="preserve">17.93</w:t>
            </w:r>
          </w:p>
        </w:tc>
        <w:tc>
          <w:tcPr/>
          <w:p>
            <w:pPr>
              <w:pStyle w:val="Compact"/>
              <w:jc w:val="right"/>
            </w:pPr>
            <w:r>
              <w:t xml:space="preserve">12.45</w:t>
            </w:r>
          </w:p>
        </w:tc>
        <w:tc>
          <w:tcPr/>
          <w:p>
            <w:pPr>
              <w:pStyle w:val="Compact"/>
              <w:jc w:val="right"/>
            </w:pPr>
            <w:r>
              <w:t xml:space="preserve">12.19</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12.30</w:t>
            </w:r>
          </w:p>
        </w:tc>
        <w:tc>
          <w:tcPr/>
          <w:p>
            <w:pPr>
              <w:pStyle w:val="Compact"/>
              <w:jc w:val="right"/>
            </w:pPr>
            <w:r>
              <w:t xml:space="preserve">7.24</w:t>
            </w:r>
          </w:p>
        </w:tc>
        <w:tc>
          <w:tcPr/>
          <w:p>
            <w:pPr>
              <w:pStyle w:val="Compact"/>
              <w:jc w:val="right"/>
            </w:pPr>
            <w:r>
              <w:t xml:space="preserve">11.26</w:t>
            </w:r>
          </w:p>
        </w:tc>
      </w:tr>
      <w:tr>
        <w:tc>
          <w:tcPr/>
          <w:p>
            <w:pPr>
              <w:pStyle w:val="Compact"/>
              <w:jc w:val="right"/>
            </w:pPr>
            <w:r>
              <w:t xml:space="preserve">3</w:t>
            </w:r>
          </w:p>
        </w:tc>
        <w:tc>
          <w:tcPr/>
          <w:p>
            <w:pPr>
              <w:pStyle w:val="Compact"/>
              <w:jc w:val="left"/>
            </w:pPr>
            <w:r>
              <w:rPr>
                <w:rFonts w:hint="eastAsia"/>
              </w:rPr>
              <w:t xml:space="preserve">供应中断量</w:t>
            </w:r>
          </w:p>
        </w:tc>
        <w:tc>
          <w:tcPr/>
          <w:p>
            <w:pPr>
              <w:pStyle w:val="Compact"/>
              <w:jc w:val="right"/>
            </w:pPr>
            <w:r>
              <w:t xml:space="preserve">5.91</w:t>
            </w:r>
          </w:p>
        </w:tc>
        <w:tc>
          <w:tcPr/>
          <w:p>
            <w:pPr>
              <w:pStyle w:val="Compact"/>
              <w:jc w:val="right"/>
            </w:pPr>
            <w:r>
              <w:t xml:space="preserve">3.54</w:t>
            </w:r>
          </w:p>
        </w:tc>
        <w:tc>
          <w:tcPr/>
          <w:p>
            <w:pPr>
              <w:pStyle w:val="Compact"/>
              <w:jc w:val="right"/>
            </w:pPr>
            <w:r>
              <w:t xml:space="preserve">5.27</w:t>
            </w:r>
          </w:p>
        </w:tc>
      </w:tr>
      <w:tr>
        <w:tc>
          <w:tcPr/>
          <w:p>
            <w:pPr>
              <w:pStyle w:val="Compact"/>
              <w:jc w:val="right"/>
            </w:pPr>
            <w:r>
              <w:t xml:space="preserve">4</w:t>
            </w:r>
          </w:p>
        </w:tc>
        <w:tc>
          <w:tcPr/>
          <w:p>
            <w:pPr>
              <w:pStyle w:val="Compact"/>
              <w:jc w:val="left"/>
            </w:pPr>
            <w:r>
              <w:t xml:space="preserve">SPR </w:t>
            </w:r>
            <w:r>
              <w:rPr>
                <w:rFonts w:hint="eastAsia"/>
              </w:rPr>
              <w:t xml:space="preserve">释放上限</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0.52</w:t>
            </w:r>
          </w:p>
        </w:tc>
      </w:tr>
      <w:tr>
        <w:tc>
          <w:tcPr/>
          <w:p>
            <w:pPr>
              <w:pStyle w:val="Compact"/>
              <w:jc w:val="right"/>
            </w:pPr>
            <w:r>
              <w:t xml:space="preserve">5</w:t>
            </w:r>
          </w:p>
        </w:tc>
        <w:tc>
          <w:tcPr/>
          <w:p>
            <w:pPr>
              <w:pStyle w:val="Compact"/>
              <w:jc w:val="left"/>
            </w:pPr>
            <w:r>
              <w:rPr>
                <w:rFonts w:hint="eastAsia"/>
              </w:rPr>
              <w:t xml:space="preserve">恐慌衰减速度</w:t>
            </w:r>
          </w:p>
        </w:tc>
        <w:tc>
          <w:tcPr/>
          <w:p>
            <w:pPr>
              <w:pStyle w:val="Compact"/>
              <w:jc w:val="right"/>
            </w:pPr>
            <w:r>
              <w:t xml:space="preserve">0.14</w:t>
            </w:r>
          </w:p>
        </w:tc>
        <w:tc>
          <w:tcPr/>
          <w:p>
            <w:pPr>
              <w:pStyle w:val="Compact"/>
              <w:jc w:val="right"/>
            </w:pPr>
            <w:r>
              <w:t xml:space="preserve">0.00</w:t>
            </w:r>
          </w:p>
        </w:tc>
        <w:tc>
          <w:tcPr/>
          <w:p>
            <w:pPr>
              <w:pStyle w:val="Compact"/>
              <w:jc w:val="right"/>
            </w:pPr>
            <w:r>
              <w:t xml:space="preserve">0.30</w:t>
            </w:r>
          </w:p>
        </w:tc>
      </w:tr>
      <w:tr>
        <w:tc>
          <w:tcPr/>
          <w:p>
            <w:pPr>
              <w:pStyle w:val="Compact"/>
              <w:jc w:val="right"/>
            </w:pPr>
            <w:r>
              <w:t xml:space="preserve">6</w:t>
            </w:r>
          </w:p>
        </w:tc>
        <w:tc>
          <w:tcPr/>
          <w:p>
            <w:pPr>
              <w:pStyle w:val="Compact"/>
              <w:jc w:val="left"/>
            </w:pPr>
            <w:r>
              <w:rPr>
                <w:rFonts w:hint="eastAsia"/>
              </w:rPr>
              <w:t xml:space="preserve">预期修复强度</w:t>
            </w:r>
          </w:p>
        </w:tc>
        <w:tc>
          <w:tcPr/>
          <w:p>
            <w:pPr>
              <w:pStyle w:val="Compact"/>
              <w:jc w:val="right"/>
            </w:pPr>
            <w:r>
              <w:t xml:space="preserve">0.07</w:t>
            </w:r>
          </w:p>
        </w:tc>
        <w:tc>
          <w:tcPr/>
          <w:p>
            <w:pPr>
              <w:pStyle w:val="Compact"/>
              <w:jc w:val="right"/>
            </w:pPr>
            <w:r>
              <w:t xml:space="preserve">0.00</w:t>
            </w:r>
          </w:p>
        </w:tc>
        <w:tc>
          <w:tcPr/>
          <w:p>
            <w:pPr>
              <w:pStyle w:val="Compact"/>
              <w:jc w:val="right"/>
            </w:pPr>
            <w:r>
              <w:t xml:space="preserve">0.16</w:t>
            </w:r>
          </w:p>
        </w:tc>
      </w:tr>
      <w:tr>
        <w:tc>
          <w:tcPr/>
          <w:p>
            <w:pPr>
              <w:pStyle w:val="Compact"/>
              <w:jc w:val="right"/>
            </w:pPr>
            <w:r>
              <w:t xml:space="preserve">7</w:t>
            </w:r>
          </w:p>
        </w:tc>
        <w:tc>
          <w:tcPr/>
          <w:p>
            <w:pPr>
              <w:pStyle w:val="Compact"/>
              <w:jc w:val="left"/>
            </w:pPr>
            <w:r>
              <w:t xml:space="preserve">SPR </w:t>
            </w:r>
            <w:r>
              <w:rPr>
                <w:rFonts w:hint="eastAsia"/>
              </w:rPr>
              <w:t xml:space="preserve">启动延迟</w:t>
            </w:r>
          </w:p>
        </w:tc>
        <w:tc>
          <w:tcPr/>
          <w:p>
            <w:pPr>
              <w:pStyle w:val="Compact"/>
              <w:jc w:val="right"/>
            </w:pPr>
            <w:r>
              <w:t xml:space="preserve">0.05</w:t>
            </w:r>
          </w:p>
        </w:tc>
        <w:tc>
          <w:tcPr/>
          <w:p>
            <w:pPr>
              <w:pStyle w:val="Compact"/>
              <w:jc w:val="right"/>
            </w:pPr>
            <w:r>
              <w:t xml:space="preserve">0.00</w:t>
            </w:r>
          </w:p>
        </w:tc>
        <w:tc>
          <w:tcPr/>
          <w:p>
            <w:pPr>
              <w:pStyle w:val="Compact"/>
              <w:jc w:val="right"/>
            </w:pPr>
            <w:r>
              <w:t xml:space="preserve">0.11</w:t>
            </w:r>
          </w:p>
        </w:tc>
      </w:tr>
      <w:tr>
        <w:tc>
          <w:tcPr/>
          <w:p>
            <w:pPr>
              <w:pStyle w:val="Compact"/>
              <w:jc w:val="right"/>
            </w:pPr>
            <w:r>
              <w:t xml:space="preserve">8</w:t>
            </w:r>
          </w:p>
        </w:tc>
        <w:tc>
          <w:tcPr/>
          <w:p>
            <w:pPr>
              <w:pStyle w:val="Compact"/>
              <w:jc w:val="left"/>
            </w:pPr>
            <w:r>
              <w:rPr>
                <w:rFonts w:hint="eastAsia"/>
              </w:rPr>
              <w:t xml:space="preserve">长期需求弹性</w:t>
            </w:r>
          </w:p>
        </w:tc>
        <w:tc>
          <w:tcPr/>
          <w:p>
            <w:pPr>
              <w:pStyle w:val="Compact"/>
              <w:jc w:val="right"/>
            </w:pPr>
            <w:r>
              <w:t xml:space="preserve">0.04</w:t>
            </w:r>
          </w:p>
        </w:tc>
        <w:tc>
          <w:tcPr/>
          <w:p>
            <w:pPr>
              <w:pStyle w:val="Compact"/>
              <w:jc w:val="right"/>
            </w:pPr>
            <w:r>
              <w:t xml:space="preserve">0.00</w:t>
            </w:r>
          </w:p>
        </w:tc>
        <w:tc>
          <w:tcPr/>
          <w:p>
            <w:pPr>
              <w:pStyle w:val="Compact"/>
              <w:jc w:val="right"/>
            </w:pPr>
            <w:r>
              <w:t xml:space="preserve">0.08</w:t>
            </w:r>
          </w:p>
        </w:tc>
      </w:tr>
      <w:tr>
        <w:tc>
          <w:tcPr/>
          <w:p>
            <w:pPr>
              <w:pStyle w:val="Compact"/>
              <w:jc w:val="right"/>
            </w:pPr>
            <w:r>
              <w:t xml:space="preserve">9</w:t>
            </w:r>
          </w:p>
        </w:tc>
        <w:tc>
          <w:tcPr/>
          <w:p>
            <w:pPr>
              <w:pStyle w:val="Compact"/>
              <w:jc w:val="left"/>
            </w:pPr>
            <w:r>
              <w:rPr>
                <w:rFonts w:hint="eastAsia"/>
              </w:rPr>
              <w:t xml:space="preserve">绕道运输能力</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0.03</w:t>
            </w:r>
          </w:p>
        </w:tc>
      </w:tr>
      <w:tr>
        <w:tc>
          <w:tcPr/>
          <w:p>
            <w:pPr>
              <w:pStyle w:val="Compact"/>
              <w:jc w:val="right"/>
            </w:pPr>
            <w:r>
              <w:t xml:space="preserve">10</w:t>
            </w:r>
          </w:p>
        </w:tc>
        <w:tc>
          <w:tcPr/>
          <w:p>
            <w:pPr>
              <w:pStyle w:val="Compact"/>
              <w:jc w:val="left"/>
            </w:pPr>
            <w:r>
              <w:rPr>
                <w:rFonts w:hint="eastAsia"/>
              </w:rPr>
              <w:t xml:space="preserve">绕道恢复耗时</w:t>
            </w:r>
          </w:p>
        </w:tc>
        <w:tc>
          <w:tcPr/>
          <w:p>
            <w:pPr>
              <w:pStyle w:val="Compact"/>
              <w:jc w:val="right"/>
            </w:pPr>
            <w:r>
              <w:t xml:space="preserve">0.01</w:t>
            </w:r>
          </w:p>
        </w:tc>
        <w:tc>
          <w:tcPr/>
          <w:p>
            <w:pPr>
              <w:pStyle w:val="Compact"/>
              <w:jc w:val="right"/>
            </w:pPr>
            <w:r>
              <w:t xml:space="preserve">0.00</w:t>
            </w:r>
          </w:p>
        </w:tc>
        <w:tc>
          <w:tcPr/>
          <w:p>
            <w:pPr>
              <w:pStyle w:val="Compact"/>
              <w:jc w:val="right"/>
            </w:pPr>
            <w:r>
              <w:t xml:space="preserve">0.03</w:t>
            </w:r>
          </w:p>
        </w:tc>
      </w:tr>
    </w:tbl>
    <w:p>
      <w:pPr>
        <w:pStyle w:val="CaptionedFigure"/>
      </w:pPr>
      <w:r>
        <w:drawing>
          <wp:inline>
            <wp:extent cx="4907280" cy="2998893"/>
            <wp:effectExtent b="0" l="0" r="0" t="0"/>
            <wp:docPr descr="" title="" id="87" name="Picture"/>
            <a:graphic>
              <a:graphicData uri="http://schemas.openxmlformats.org/drawingml/2006/picture">
                <pic:pic>
                  <pic:nvPicPr>
                    <pic:cNvPr descr="sensitivity_tornado_180day.png" id="88" name="Picture"/>
                    <pic:cNvPicPr>
                      <a:picLocks noChangeArrowheads="1" noChangeAspect="1"/>
                    </pic:cNvPicPr>
                  </pic:nvPicPr>
                  <pic:blipFill>
                    <a:blip r:embed="rId86"/>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6：关键参数综合敏感度排序。</w:t>
      </w:r>
    </w:p>
    <w:p>
      <w:pPr>
        <w:pStyle w:val="BodyText"/>
      </w:pPr>
      <w:r>
        <w:rPr>
          <w:rFonts w:hint="eastAsia"/>
        </w:rPr>
        <w:t xml:space="preserve">敏感性分析表明，第</w:t>
      </w:r>
      <w:r>
        <w:t xml:space="preserve"> 180 </w:t>
      </w:r>
      <w:r>
        <w:rPr>
          <w:rFonts w:hint="eastAsia"/>
        </w:rPr>
        <w:t xml:space="preserve">天终点价格对市场价格形成层最敏感，尤其是不确定性平台和地缘风险权重；供应中断量决定价格上行压力的物理底座。SPR</w:t>
      </w:r>
      <w:r>
        <w:t xml:space="preserve"> </w:t>
      </w:r>
      <w:r>
        <w:rPr>
          <w:rFonts w:hint="eastAsia"/>
        </w:rPr>
        <w:t xml:space="preserve">释放、启动延迟和绕道运输在中性路径下对第</w:t>
      </w:r>
      <w:r>
        <w:t xml:space="preserve"> 180 </w:t>
      </w:r>
      <w:r>
        <w:rPr>
          <w:rFonts w:hint="eastAsia"/>
        </w:rPr>
        <w:t xml:space="preserve">天终点价影响较小，但会改变外推期峰值和二次跳涨幅度，因此更适合被解释为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89"/>
    <w:bookmarkEnd w:id="90"/>
    <w:bookmarkStart w:id="94" w:name="模型评价"/>
    <w:p>
      <w:pPr>
        <w:pStyle w:val="Heading1"/>
      </w:pPr>
      <w:r>
        <w:rPr>
          <w:rFonts w:hint="eastAsia"/>
        </w:rPr>
        <w:t xml:space="preserve">模型评价</w:t>
      </w:r>
    </w:p>
    <w:bookmarkStart w:id="91"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基准、滞后平移检验、机制消融和过拟合压力测试。</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bookmarkEnd w:id="91"/>
    <w:bookmarkStart w:id="92"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地缘风险、不确定性平台和预期修复仍以参数化方式刻画，未引入期权隐含波动率、真实库存周报或新闻情绪等外生数据。</w:t>
      </w:r>
    </w:p>
    <w:p>
      <w:pPr>
        <w:numPr>
          <w:ilvl w:val="0"/>
          <w:numId w:val="1006"/>
        </w:numPr>
      </w:pPr>
      <w:r>
        <w:rPr>
          <w:rFonts w:hint="eastAsia"/>
        </w:rPr>
        <w:t xml:space="preserve">单因素敏感性不能完全描述参数联动风险，因此悲观情景仍是判断二次跳涨风险的重要补充。</w:t>
      </w:r>
    </w:p>
    <w:bookmarkEnd w:id="92"/>
    <w:bookmarkStart w:id="93"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若后续继续深化，可以从三个方向提高模型外推能力：第一，引入</w:t>
      </w:r>
      <w:r>
        <w:t xml:space="preserve"> EIA、IEA </w:t>
      </w:r>
      <w:r>
        <w:rPr>
          <w:rFonts w:hint="eastAsia"/>
        </w:rPr>
        <w:t xml:space="preserve">或</w:t>
      </w:r>
      <w:r>
        <w:t xml:space="preserve"> OPEC </w:t>
      </w:r>
      <w:r>
        <w:rPr>
          <w:rFonts w:hint="eastAsia"/>
        </w:rPr>
        <w:t xml:space="preserve">的真实库存、产量和运输数据，对长期供给恢复路径进行更客观的外生约束；第二，在严格避免同日反馈循环的前提下，引入滞后新闻情绪、期权隐含波动率或地缘风险指数，增强风险溢价的外生解释力；第三，将单因素敏感性扩展为多参数联合扰动或蒙特卡洛情景树，更充分刻画悲观情景下的尾部风险。</w:t>
      </w:r>
    </w:p>
    <w:bookmarkEnd w:id="93"/>
    <w:bookmarkEnd w:id="94"/>
    <w:bookmarkStart w:id="95"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104.49 </w:t>
      </w:r>
      <w:r>
        <w:rPr>
          <w:rFonts w:hint="eastAsia"/>
        </w:rPr>
        <w:t xml:space="preserve">美元/桶；悲观情景第</w:t>
      </w:r>
      <w:r>
        <w:t xml:space="preserve"> 180 </w:t>
      </w:r>
      <w:r>
        <w:rPr>
          <w:rFonts w:hint="eastAsia"/>
        </w:rPr>
        <w:t xml:space="preserve">天约为</w:t>
      </w:r>
      <w:r>
        <w:t xml:space="preserve"> 119.53 </w:t>
      </w:r>
      <w:r>
        <w:rPr>
          <w:rFonts w:hint="eastAsia"/>
        </w:rPr>
        <w:t xml:space="preserve">美元/桶，并存在较高二次跳涨风险。</w:t>
      </w:r>
    </w:p>
    <w:p>
      <w:pPr>
        <w:numPr>
          <w:ilvl w:val="0"/>
          <w:numId w:val="1007"/>
        </w:numPr>
      </w:pPr>
      <w:r>
        <w:rPr>
          <w:rFonts w:hint="eastAsia"/>
        </w:rPr>
        <w:t xml:space="preserve">敏感性分析显示，不确定性平台、地缘风险权重和供应中断量是最关键影响因素；SPR</w:t>
      </w:r>
      <w:r>
        <w:t xml:space="preserve"> </w:t>
      </w:r>
      <w:r>
        <w:rPr>
          <w:rFonts w:hint="eastAsia"/>
        </w:rPr>
        <w:t xml:space="preserve">和绕道运输更偏向削峰和争取恢复时间。</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w:t>
      </w:r>
    </w:p>
    <w:bookmarkEnd w:id="95"/>
    <w:bookmarkStart w:id="96" w:name="附录支撑材料说明"/>
    <w:p>
      <w:pPr>
        <w:pStyle w:val="Heading1"/>
      </w:pPr>
      <w:r>
        <w:rPr>
          <w:rFonts w:hint="eastAsia"/>
        </w:rPr>
        <w:t xml:space="preserve">附录：支撑材料说明</w:t>
      </w:r>
    </w:p>
    <w:p>
      <w:pPr>
        <w:pStyle w:val="FirstParagraph"/>
      </w:pPr>
      <w:r>
        <w:rPr>
          <w:rFonts w:hint="eastAsia"/>
        </w:rPr>
        <w:t xml:space="preserve">本文的主要计算和图表均由项目目录中的脚本复现。附件原始价格数据经清洗后形成中文命名</w:t>
      </w:r>
      <w:r>
        <w:t xml:space="preserve"> </w:t>
      </w:r>
      <w:r>
        <w:rPr>
          <w:rFonts w:hint="eastAsia"/>
        </w:rPr>
        <w:t xml:space="preserve">CSV；短期模型校准结果保存在</w:t>
      </w:r>
      <w:r>
        <w:t xml:space="preserve"> </w:t>
      </w:r>
      <w:r>
        <w:rPr>
          <w:rStyle w:val="VerbatimChar"/>
          <w:rFonts w:hint="eastAsia"/>
        </w:rPr>
        <w:t xml:space="preserve">output/calibration/动态模型校准后路径.csv</w:t>
      </w:r>
      <w:r>
        <w:rPr>
          <w:rFonts w:hint="eastAsia"/>
        </w:rPr>
        <w:t xml:space="preserve">；长期三情景预测结果保存在</w:t>
      </w:r>
      <w:r>
        <w:t xml:space="preserve"> </w:t>
      </w:r>
      <w:r>
        <w:rPr>
          <w:rStyle w:val="VerbatimChar"/>
          <w:rFonts w:hint="eastAsia"/>
        </w:rPr>
        <w:t xml:space="preserve">output/scenarios/三情景预测结果.csv</w:t>
      </w:r>
      <w:r>
        <w:rPr>
          <w:rFonts w:hint="eastAsia"/>
        </w:rPr>
        <w:t xml:space="preserve">；最终论文图表由</w:t>
      </w:r>
      <w:r>
        <w:t xml:space="preserve"> </w:t>
      </w:r>
      <w:r>
        <w:rPr>
          <w:rStyle w:val="VerbatimChar"/>
        </w:rPr>
        <w:t xml:space="preserve">src/visualization/</w:t>
      </w:r>
      <w:r>
        <w:t xml:space="preserve"> </w:t>
      </w:r>
      <w:r>
        <w:rPr>
          <w:rFonts w:hint="eastAsia"/>
        </w:rPr>
        <w:t xml:space="preserve">下的可视化脚本生成。最终交付文件为</w:t>
      </w:r>
      <w:r>
        <w:t xml:space="preserve"> </w:t>
      </w:r>
      <w:r>
        <w:rPr>
          <w:rStyle w:val="VerbatimChar"/>
          <w:rFonts w:hint="eastAsia"/>
        </w:rPr>
        <w:t xml:space="preserve">output/final/总论文.pdf</w:t>
      </w:r>
      <w:r>
        <w:t xml:space="preserve"> </w:t>
      </w:r>
      <w:r>
        <w:rPr>
          <w:rFonts w:hint="eastAsia"/>
        </w:rPr>
        <w:t xml:space="preserve">和</w:t>
      </w:r>
      <w:r>
        <w:t xml:space="preserve"> </w:t>
      </w:r>
      <w:r>
        <w:rPr>
          <w:rStyle w:val="VerbatimChar"/>
          <w:rFonts w:hint="eastAsia"/>
        </w:rPr>
        <w:t xml:space="preserve">output/final/总论文.docx</w:t>
      </w:r>
      <w:r>
        <w:t xml:space="preserve">。</w:t>
      </w:r>
    </w:p>
    <w:bookmarkEnd w:id="96"/>
    <w:bookmarkStart w:id="98"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U.S. Energy Information Administration. World Oil Transit Chokepoints.</w:t>
      </w:r>
      <w:r>
        <w:t xml:space="preserve"> </w:t>
      </w:r>
      <w:hyperlink r:id="rId97">
        <w:r>
          <w:rPr>
            <w:rStyle w:val="Hyperlink"/>
          </w:rPr>
          <w:t xml:space="preserve">EIA special topic page</w:t>
        </w:r>
      </w:hyperlink>
      <w:r>
        <w:t xml:space="preserve">.</w:t>
      </w:r>
    </w:p>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18" Target="media/rId18.png" /><Relationship Type="http://schemas.openxmlformats.org/officeDocument/2006/relationships/image" Id="rId80" Target="media/rId80.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47" Target="media/rId47.png" /><Relationship Type="http://schemas.openxmlformats.org/officeDocument/2006/relationships/image" Id="rId66" Target="media/rId66.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43" Target="media/rId43.png" /><Relationship Type="http://schemas.openxmlformats.org/officeDocument/2006/relationships/image" Id="rId61" Target="media/rId61.png" /><Relationship Type="http://schemas.openxmlformats.org/officeDocument/2006/relationships/image" Id="rId50" Target="media/rId50.png" /><Relationship Type="http://schemas.openxmlformats.org/officeDocument/2006/relationships/image" Id="rId70" Target="media/rId70.png" /><Relationship Type="http://schemas.openxmlformats.org/officeDocument/2006/relationships/image" Id="rId57" Target="media/rId57.png" /><Relationship Type="http://schemas.openxmlformats.org/officeDocument/2006/relationships/image" Id="rId10" Target="media/rId10.png" /><Relationship Type="http://schemas.openxmlformats.org/officeDocument/2006/relationships/hyperlink" Id="rId97" Target="https://www.eia.gov/international/analysis/special-topics/World_Oil_Transit_Chokepoints" TargetMode="External" /></Relationships>
</file>

<file path=word/_rels/footnotes.xml.rels><?xml version="1.0" encoding="UTF-8"?><Relationships xmlns="http://schemas.openxmlformats.org/package/2006/relationships"><Relationship Type="http://schemas.openxmlformats.org/officeDocument/2006/relationships/hyperlink" Id="rId97" Target="https://www.eia.gov/international/analysis/special-topics/World_Oil_Transit_Choke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2026-05-11T11:33:41Z</dcterms:created>
  <dcterms:modified xsi:type="dcterms:W3CDTF">2026-05-11T11:33:41Z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