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7.png" ContentType="image/png"/>
  <Override PartName="/word/media/rId174.png" ContentType="image/png"/>
  <Override PartName="/word/media/rId90.png" ContentType="image/png"/>
  <Override PartName="/word/media/rId156.png" ContentType="image/png"/>
  <Override PartName="/word/media/rId38.png" ContentType="image/png"/>
  <Override PartName="/word/media/rId148.png" ContentType="image/png"/>
  <Override PartName="/word/media/rId50.png" ContentType="image/png"/>
  <Override PartName="/word/media/rId24.png" ContentType="image/png"/>
  <Override PartName="/word/media/rId145.png" ContentType="image/png"/>
  <Override PartName="/word/media/rId171.png" ContentType="image/png"/>
  <Override PartName="/word/media/rId136.png" ContentType="image/png"/>
  <Override PartName="/word/media/rId160.png" ContentType="image/png"/>
  <Override PartName="/word/media/rId21.png" ContentType="image/png"/>
  <Override PartName="/word/media/rId28.png" ContentType="image/png"/>
  <Override PartName="/word/media/rId130.png" ContentType="image/png"/>
  <Override PartName="/word/media/rId163.png" ContentType="image/png"/>
  <Override PartName="/word/media/rId122.png" ContentType="image/png"/>
  <Override PartName="/word/media/rId67.png" ContentType="image/png"/>
  <Override PartName="/word/media/rId97.png" ContentType="image/png"/>
  <Override PartName="/word/media/rId55.png" ContentType="image/png"/>
  <Override PartName="/word/media/rId83.png" ContentType="image/png"/>
  <Override PartName="/word/media/rId104.png" ContentType="image/png"/>
  <Override PartName="/word/media/rId59.png" ContentType="image/png"/>
  <Override PartName="/word/media/rId79.png" ContentType="image/png"/>
  <Override PartName="/word/media/rId70.png" ContentType="image/png"/>
  <Override PartName="/word/media/rId101.png" ContentType="image/png"/>
  <Override PartName="/word/media/rId87.png" ContentType="image/png"/>
  <Override PartName="/word/media/rId75.png" ContentType="image/png"/>
  <Override PartName="/word/media/rId43.png" ContentType="image/png"/>
  <Override PartName="/word/media/rId152.png" ContentType="image/png"/>
  <Override PartName="/word/media/rId118.png" ContentType="image/png"/>
  <Override PartName="/word/media/rId10.png" ContentType="image/png"/>
  <Override PartName="/word/media/rId64.png" ContentType="image/png"/>
  <Override PartName="/word/media/rId140.png" ContentType="image/png"/>
  <Override PartName="/word/media/rId1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基准。进一步加入只使用历史滞后价格特征的</w:t>
      </w:r>
      <w:r>
        <w:t xml:space="preserve"> Ridge </w:t>
      </w:r>
      <w:r>
        <w:rPr>
          <w:rFonts w:hint="eastAsia"/>
        </w:rPr>
        <w:t xml:space="preserve">收益率辅助层后，RMSE</w:t>
      </w:r>
      <w:r>
        <w:t xml:space="preserve"> </w:t>
      </w:r>
      <w:r>
        <w:rPr>
          <w:rFonts w:hint="eastAsia"/>
        </w:rPr>
        <w:t xml:space="preserve">降至</w:t>
      </w:r>
      <w:r>
        <w:t xml:space="preserve"> 3.35 </w:t>
      </w:r>
      <w:r>
        <w:rPr>
          <w:rFonts w:hint="eastAsia"/>
        </w:rPr>
        <w:t xml:space="preserve">美元/桶、方向命中率升至</w:t>
      </w:r>
      <w:r>
        <w:t xml:space="preserve"> </w:t>
      </w:r>
      <w:r>
        <w:rPr>
          <w:rFonts w:hint="eastAsia"/>
        </w:rPr>
        <w:t xml:space="preserve">68.9%，但纯历史机器学习模型不能替代机制模型，因此该层仅作为计算机辅助增强。滞后平移、拐点、机制消融和结构稳定性检验表明，模型不是简单滞后复制，110–120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市场隐含波动率从证据校验层推进到长期参数约束层。新版长期自适应反馈模型显示，中性情景第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16.3%。为避免长期中性线被误读为逐日精确预测，本文又引入受</w:t>
      </w:r>
      <w:r>
        <w:t xml:space="preserve"> GPR </w:t>
      </w:r>
      <w:r>
        <w:rPr>
          <w:rFonts w:hint="eastAsia"/>
        </w:rPr>
        <w:t xml:space="preserve">与</w:t>
      </w:r>
      <w:r>
        <w:t xml:space="preserve"> OVX </w:t>
      </w:r>
      <w:r>
        <w:rPr>
          <w:rFonts w:hint="eastAsia"/>
        </w:rPr>
        <w:t xml:space="preserve">风险读数约束的缓和、维持、升级三状态转移扰动，得到第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38.3%。GPR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冲突窗口具有罕见地缘风险和高波动特征，但外部风险指标只作为校验与长期约束证据，不作为短期同月拟合因子。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20"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天三情景预测模型，并通过敏感性分析、蒙特卡洛情景树、滞后地缘风险指数检验和历史样本稳健性检验识别影响长期价格平衡点和二次跳涨风险的关键变量。</w:t>
      </w:r>
    </w:p>
    <w:bookmarkStart w:id="13" w:name="fig:paper-roadma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bookmarkEnd w:id="13"/>
    <w:p>
      <w:pPr>
        <w:pStyle w:val="BodyText"/>
      </w:pPr>
      <w:r>
        <w:rPr>
          <w:rFonts w:hint="eastAsia"/>
          <w:b/>
          <w:bCs/>
        </w:rPr>
        <w:t xml:space="preserve">关键结论</w:t>
      </w:r>
      <w:r>
        <w:rPr>
          <w:rFonts w:hint="eastAsia"/>
        </w:rPr>
        <w:t xml:space="preserve">如图</w:t>
      </w:r>
      <w:r>
        <w:t xml:space="preserve"> </w:t>
      </w:r>
      <w:hyperlink w:anchor="fig:paper-roadmap">
        <w:r>
          <w:rPr>
            <w:rStyle w:val="Hyperlink"/>
          </w:rPr>
          <w:t xml:space="preserve">1</w:t>
        </w:r>
      </w:hyperlink>
      <w:r>
        <w:t xml:space="preserve"> </w:t>
      </w:r>
      <w:r>
        <w:rPr>
          <w:rFonts w:hint="eastAsia"/>
        </w:rPr>
        <w:t xml:space="preserve">所示，本文不是把若干模型简单堆叠，而是用传统供需模型给出反事实压力，用综合机制递推模型解释短期平台，再用情景预测和敏感性分析刻画长期尾部风险。</w:t>
      </w:r>
    </w:p>
    <w:p>
      <w:pPr>
        <w:pStyle w:val="BodyText"/>
      </w:pPr>
      <w:r>
        <w:rPr>
          <w:rFonts w:hint="eastAsia"/>
        </w:rPr>
        <w:t xml:space="preserve">这一技术路线的核心原则是：真实价格只来自附件数据；长期部分只作情景预测，不伪装成拟合；模型检验需覆盖朴素基准、滞后复制、参数过拟合和结构稳定性等关键边界。</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4"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4"/>
    <w:bookmarkStart w:id="16" w:name="工程化实现原则"/>
    <w:p>
      <w:pPr>
        <w:pStyle w:val="Heading2"/>
      </w:pPr>
      <w:r>
        <w:rPr>
          <w:rFonts w:hint="eastAsia"/>
        </w:rPr>
        <w:t xml:space="preserve">工程化实现原则</w:t>
      </w:r>
    </w:p>
    <w:p>
      <w:pPr>
        <w:pStyle w:val="FirstParagraph"/>
      </w:pPr>
      <w:r>
        <w:rPr>
          <w:rFonts w:hint="eastAsia"/>
        </w:rPr>
        <w:t xml:space="preserve">本文没有把工程实现作为独立炫技项，而是将其转化为建模可信度的一部分：数据处理保证口径可追溯，仿真程序保证模型可复现，图表系统保证论证过程可检查。具体而言，本文所有清洗数据、外部校验数据、参数校准结果、蒙特卡洛样本、敏感性结果、论文图表和最终</w:t>
      </w:r>
      <w:r>
        <w:t xml:space="preserve"> PDF/DOCX </w:t>
      </w:r>
      <w:r>
        <w:rPr>
          <w:rFonts w:hint="eastAsia"/>
        </w:rPr>
        <w:t xml:space="preserve">均由统一项目脚本生成；这使每一个结论都可以回溯到明确的数据文件、模型参数和图表来源。</w:t>
      </w:r>
    </w:p>
    <w:bookmarkStart w:id="15" w:name="tab:engineering-implementation"/>
    <w:p>
      <w:pPr>
        <w:pStyle w:val="TableCaption"/>
      </w:pPr>
      <w:r>
        <w:rPr>
          <w:rFonts w:hint="eastAsia"/>
        </w:rPr>
        <w:t xml:space="preserve">工程能力在本文中的建模落点</w:t>
      </w:r>
    </w:p>
    <w:tbl>
      <w:tblPr>
        <w:tblStyle w:val="Table"/>
        <w:tblW w:type="auto" w:w="0"/>
        <w:tblLook w:firstRow="1" w:lastRow="0" w:firstColumn="0" w:lastColumn="0" w:noHBand="0" w:noVBand="0" w:val="0020"/>
        <w:tblCaption w:val="工程能力在本文中的建模落点"/>
      </w:tblPr>
      <w:tblGrid>
        <w:gridCol w:w="2640"/>
        <w:gridCol w:w="2640"/>
        <w:gridCol w:w="2640"/>
      </w:tblGrid>
      <w:tr>
        <w:trPr>
          <w:tblHeader w:val="on"/>
        </w:trPr>
        <w:tc>
          <w:tcPr/>
          <w:p>
            <w:pPr>
              <w:pStyle w:val="Compact"/>
              <w:jc w:val="left"/>
            </w:pPr>
            <w:r>
              <w:rPr>
                <w:rFonts w:hint="eastAsia"/>
              </w:rPr>
              <w:t xml:space="preserve">能力维度</w:t>
            </w:r>
          </w:p>
        </w:tc>
        <w:tc>
          <w:tcPr/>
          <w:p>
            <w:pPr>
              <w:pStyle w:val="Compact"/>
              <w:jc w:val="left"/>
            </w:pPr>
            <w:r>
              <w:rPr>
                <w:rFonts w:hint="eastAsia"/>
              </w:rPr>
              <w:t xml:space="preserve">在本文中的落地方式</w:t>
            </w:r>
          </w:p>
        </w:tc>
        <w:tc>
          <w:tcPr/>
          <w:p>
            <w:pPr>
              <w:pStyle w:val="Compact"/>
              <w:jc w:val="left"/>
            </w:pPr>
            <w:r>
              <w:rPr>
                <w:rFonts w:hint="eastAsia"/>
              </w:rPr>
              <w:t xml:space="preserve">对建模质量的作用</w:t>
            </w:r>
          </w:p>
        </w:tc>
      </w:tr>
      <w:tr>
        <w:tc>
          <w:tcPr/>
          <w:p>
            <w:pPr>
              <w:pStyle w:val="Compact"/>
              <w:jc w:val="left"/>
            </w:pPr>
            <w:r>
              <w:rPr>
                <w:rFonts w:hint="eastAsia"/>
              </w:rPr>
              <w:t xml:space="preserve">数据处理能力</w:t>
            </w:r>
          </w:p>
        </w:tc>
        <w:tc>
          <w:tcPr/>
          <w:p>
            <w:pPr>
              <w:pStyle w:val="Compact"/>
              <w:jc w:val="left"/>
            </w:pPr>
            <w:r>
              <w:rPr>
                <w:rFonts w:hint="eastAsia"/>
              </w:rPr>
              <w:t xml:space="preserve">自动清洗附件价格序列，接入</w:t>
            </w:r>
            <w:r>
              <w:t xml:space="preserve"> EIA、JODI、OPEC、GPR、OVX </w:t>
            </w:r>
            <w:r>
              <w:rPr>
                <w:rFonts w:hint="eastAsia"/>
              </w:rPr>
              <w:t xml:space="preserve">等外部校验数据，并统一输出中文命名数据表。</w:t>
            </w:r>
          </w:p>
        </w:tc>
        <w:tc>
          <w:tcPr/>
          <w:p>
            <w:pPr>
              <w:pStyle w:val="Compact"/>
              <w:jc w:val="left"/>
            </w:pPr>
            <w:r>
              <w:rPr>
                <w:rFonts w:hint="eastAsia"/>
              </w:rPr>
              <w:t xml:space="preserve">避免手工处理误差，保证真实价格来自附件，外部数据只用于数量级校验与长期约束。</w:t>
            </w:r>
          </w:p>
        </w:tc>
      </w:tr>
      <w:tr>
        <w:tc>
          <w:tcPr/>
          <w:p>
            <w:pPr>
              <w:pStyle w:val="Compact"/>
              <w:jc w:val="left"/>
            </w:pPr>
            <w:r>
              <w:rPr>
                <w:rFonts w:hint="eastAsia"/>
              </w:rPr>
              <w:t xml:space="preserve">仿真与批量计算能力</w:t>
            </w:r>
          </w:p>
        </w:tc>
        <w:tc>
          <w:tcPr/>
          <w:p>
            <w:pPr>
              <w:pStyle w:val="Compact"/>
              <w:jc w:val="left"/>
            </w:pPr>
            <w:r>
              <w:rPr>
                <w:rFonts w:hint="eastAsia"/>
              </w:rPr>
              <w:t xml:space="preserve">使用程序完成多目标参数搜索、局部稳健性复核、机制消融、蒙特卡洛情景树和状态转移路径抽样。</w:t>
            </w:r>
          </w:p>
        </w:tc>
        <w:tc>
          <w:tcPr/>
          <w:p>
            <w:pPr>
              <w:pStyle w:val="Compact"/>
              <w:jc w:val="left"/>
            </w:pPr>
            <w:r>
              <w:rPr>
                <w:rFonts w:hint="eastAsia"/>
              </w:rPr>
              <w:t xml:space="preserve">将</w:t>
            </w:r>
            <w:r>
              <w:rPr>
                <w:rFonts w:hint="eastAsia"/>
              </w:rPr>
              <w:t xml:space="preserve">“参数是否偶然”</w:t>
            </w:r>
            <w:r>
              <w:rPr>
                <w:rFonts w:hint="eastAsia"/>
              </w:rPr>
              <w:t xml:space="preserve">“长期是否只是一条线”</w:t>
            </w:r>
            <w:r>
              <w:rPr>
                <w:rFonts w:hint="eastAsia"/>
              </w:rPr>
              <w:t xml:space="preserve">等问题转化为可重复的数值检验。</w:t>
            </w:r>
          </w:p>
        </w:tc>
      </w:tr>
      <w:tr>
        <w:tc>
          <w:tcPr/>
          <w:p>
            <w:pPr>
              <w:pStyle w:val="Compact"/>
              <w:jc w:val="left"/>
            </w:pPr>
            <w:r>
              <w:rPr>
                <w:rFonts w:hint="eastAsia"/>
              </w:rPr>
              <w:t xml:space="preserve">可视化与论文生成能力</w:t>
            </w:r>
          </w:p>
        </w:tc>
        <w:tc>
          <w:tcPr/>
          <w:p>
            <w:pPr>
              <w:pStyle w:val="Compact"/>
              <w:jc w:val="left"/>
            </w:pPr>
            <w:r>
              <w:rPr>
                <w:rFonts w:hint="eastAsia"/>
              </w:rPr>
              <w:t xml:space="preserve">由脚本统一生成拟合图、机制图、敏感性图、蒙特卡洛图、气泡图、热力图和最终论文文件。</w:t>
            </w:r>
          </w:p>
        </w:tc>
        <w:tc>
          <w:tcPr/>
          <w:p>
            <w:pPr>
              <w:pStyle w:val="Compact"/>
              <w:jc w:val="left"/>
            </w:pPr>
            <w:r>
              <w:rPr>
                <w:rFonts w:hint="eastAsia"/>
              </w:rPr>
              <w:t xml:space="preserve">让图表承担论证功能，而不是只做装饰；每张主图都对应一个评审可能追问的问题。</w:t>
            </w:r>
          </w:p>
        </w:tc>
      </w:tr>
    </w:tbl>
    <w:bookmarkEnd w:id="15"/>
    <w:p>
      <w:pPr>
        <w:pStyle w:val="BodyText"/>
      </w:pPr>
      <w:r>
        <w:rPr>
          <w:rFonts w:hint="eastAsia"/>
          <w:b/>
          <w:bCs/>
        </w:rPr>
        <w:t xml:space="preserve">关键结论</w:t>
      </w:r>
      <w:r>
        <w:rPr>
          <w:rFonts w:hint="eastAsia"/>
        </w:rPr>
        <w:t xml:space="preserve">本文的计算机实现优势不在于使用更多工具，而在于把数据、仿真和可视化组织成可追溯的证据链：每个模型结果都能从原始数据、参数文件和生成脚本中复现。</w:t>
      </w:r>
    </w:p>
    <w:bookmarkEnd w:id="16"/>
    <w:bookmarkStart w:id="18"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3</w:t>
        </w:r>
      </w:hyperlink>
      <w:r>
        <w:t xml:space="preserve">。</w:t>
      </w:r>
    </w:p>
    <w:bookmarkStart w:id="17"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模型鲁棒性检验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检验、滞后平移、机制消融和参数扰动测试。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外部合理性校验</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指数、OVX</w:t>
            </w:r>
            <w:r>
              <w:t xml:space="preserve"> </w:t>
            </w:r>
            <w:r>
              <w:rPr>
                <w:rFonts w:hint="eastAsia"/>
              </w:rPr>
              <w:t xml:space="preserve">隐含波动率和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外部数据用于数量级校验和约束；JODI</w:t>
            </w:r>
            <w:r>
              <w:t xml:space="preserve"> </w:t>
            </w:r>
            <w:r>
              <w:rPr>
                <w:rFonts w:hint="eastAsia"/>
              </w:rPr>
              <w:t xml:space="preserve">按多国上报口径解释，附件价格仍是短期拟合目标。</w:t>
            </w:r>
          </w:p>
        </w:tc>
      </w:tr>
    </w:tbl>
    <w:bookmarkEnd w:id="17"/>
    <w:p>
      <w:pPr>
        <w:pStyle w:val="BodyText"/>
      </w:pPr>
      <w:r>
        <w:rPr>
          <w:rFonts w:hint="eastAsia"/>
          <w:b/>
          <w:bCs/>
        </w:rPr>
        <w:t xml:space="preserve">关键结论</w:t>
      </w:r>
      <w:r>
        <w:rPr>
          <w:rFonts w:hint="eastAsia"/>
        </w:rPr>
        <w:t xml:space="preserve">本文的识别逻辑是</w:t>
      </w:r>
      <w:r>
        <w:rPr>
          <w:rFonts w:hint="eastAsia"/>
        </w:rPr>
        <w:t xml:space="preserve">“反事实压力—机制缓冲—鲁棒性检验—条件外推”</w:t>
      </w:r>
      <w:r>
        <w:rPr>
          <w:rFonts w:hint="eastAsia"/>
        </w:rPr>
        <w:t xml:space="preserve">：先说明为什么会有高价压力，再说明哪些机制压低价格，并用基准、消融、敏感性和历史窗口检验排除单纯曲线拟合。</w:t>
      </w:r>
    </w:p>
    <w:bookmarkEnd w:id="18"/>
    <w:bookmarkStart w:id="19" w:name="文献依据与建模约束"/>
    <w:p>
      <w:pPr>
        <w:pStyle w:val="Heading2"/>
      </w:pPr>
      <w:r>
        <w:rPr>
          <w:rFonts w:hint="eastAsia"/>
        </w:rPr>
        <w:t xml:space="preserve">文献依据与建模约束</w:t>
      </w:r>
    </w:p>
    <w:p>
      <w:pPr>
        <w:pStyle w:val="FirstParagraph"/>
      </w:pP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来自新闻文本，本文将其作为外部风险校验和滞后检验变量，不进入短期同步拟合。进一步地，本文接入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隐含波动率，将更接近市场交易定价的风险变量用于长期风险权重和不确定性强度约束，而非短期方向预测因子。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9"/>
    <w:bookmarkEnd w:id="20"/>
    <w:bookmarkStart w:id="32" w:name="数据处理与描述性分析"/>
    <w:p>
      <w:pPr>
        <w:pStyle w:val="Heading1"/>
      </w:pPr>
      <w:r>
        <w:rPr>
          <w:rFonts w:hint="eastAsia"/>
        </w:rPr>
        <w:t xml:space="preserve">数据处理与描述性分析</w:t>
      </w:r>
    </w:p>
    <w:bookmarkStart w:id="27"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校验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该外部数据带来三个约束。第一，美国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在此基础上，本文进一步整理</w:t>
      </w:r>
      <w:r>
        <w:t xml:space="preserve"> OPEC Monthly Oil Market Report </w:t>
      </w:r>
      <w:r>
        <w:rPr>
          <w:rFonts w:hint="eastAsia"/>
        </w:rPr>
        <w:t xml:space="preserve">中的全球供需平衡表。与</w:t>
      </w:r>
      <w:r>
        <w:t xml:space="preserve"> EIA、JODI </w:t>
      </w:r>
      <w:r>
        <w:rPr>
          <w:rFonts w:hint="eastAsia"/>
        </w:rPr>
        <w:t xml:space="preserve">不同，OPEC</w:t>
      </w:r>
      <w:r>
        <w:t xml:space="preserve"> </w:t>
      </w:r>
      <w:r>
        <w:rPr>
          <w:rFonts w:hint="eastAsia"/>
        </w:rPr>
        <w:t xml:space="preserve">表给出的是全球正常情景下的年度和季度供需基线，适合约束</w:t>
      </w:r>
      <w:r>
        <w:t xml:space="preserve"> 60–180 </w:t>
      </w:r>
      <w:r>
        <w:rPr>
          <w:rFonts w:hint="eastAsia"/>
        </w:rPr>
        <w:t xml:space="preserve">天长期外推中的需求背景、非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TableCaption"/>
      </w:pPr>
      <w:r>
        <w:t xml:space="preserve">OPEC </w:t>
      </w:r>
      <w:r>
        <w:rPr>
          <w:rFonts w:hint="eastAsia"/>
        </w:rPr>
        <w:t xml:space="preserve">全球供需平衡表关键约束</w:t>
      </w:r>
    </w:p>
    <w:tbl>
      <w:tblPr>
        <w:tblStyle w:val="Table"/>
        <w:tblW w:type="auto" w:w="0"/>
        <w:tblLook w:firstRow="1" w:lastRow="0" w:firstColumn="0" w:lastColumn="0" w:noHBand="0" w:noVBand="0" w:val="0020"/>
        <w:tblCaption w:val="OPEC 全球供需平衡表关键约束"/>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left"/>
            </w:pPr>
            <w:r>
              <w:rPr>
                <w:rFonts w:hint="eastAsia"/>
              </w:rPr>
              <w:t xml:space="preserve">模型含义</w:t>
            </w:r>
          </w:p>
        </w:tc>
      </w:tr>
      <w:tr>
        <w:tc>
          <w:tcPr/>
          <w:p>
            <w:pPr>
              <w:pStyle w:val="Compact"/>
              <w:jc w:val="left"/>
            </w:pPr>
            <w:r>
              <w:t xml:space="preserve">2026 </w:t>
            </w:r>
            <w:r>
              <w:rPr>
                <w:rFonts w:hint="eastAsia"/>
              </w:rPr>
              <w:t xml:space="preserve">年世界石油需求增量</w:t>
            </w:r>
          </w:p>
        </w:tc>
        <w:tc>
          <w:tcPr/>
          <w:p>
            <w:pPr>
              <w:pStyle w:val="Compact"/>
              <w:jc w:val="right"/>
            </w:pPr>
            <w:r>
              <w:t xml:space="preserve">1.40</w:t>
            </w:r>
          </w:p>
        </w:tc>
        <w:tc>
          <w:tcPr/>
          <w:p>
            <w:pPr>
              <w:pStyle w:val="Compact"/>
              <w:jc w:val="right"/>
            </w:pPr>
            <w:r>
              <w:t xml:space="preserve">mb/d</w:t>
            </w:r>
          </w:p>
        </w:tc>
        <w:tc>
          <w:tcPr/>
          <w:p>
            <w:pPr>
              <w:pStyle w:val="Compact"/>
              <w:jc w:val="left"/>
            </w:pPr>
            <w:r>
              <w:rPr>
                <w:rFonts w:hint="eastAsia"/>
              </w:rPr>
              <w:t xml:space="preserve">长期需求背景仍增长，需求收缩不能设得过强</w:t>
            </w:r>
          </w:p>
        </w:tc>
      </w:tr>
      <w:tr>
        <w:tc>
          <w:tcPr/>
          <w:p>
            <w:pPr>
              <w:pStyle w:val="Compact"/>
              <w:jc w:val="left"/>
            </w:pPr>
            <w:r>
              <w:t xml:space="preserve">2026 </w:t>
            </w:r>
            <w:r>
              <w:rPr>
                <w:rFonts w:hint="eastAsia"/>
              </w:rPr>
              <w:t xml:space="preserve">年非</w:t>
            </w:r>
            <w:r>
              <w:t xml:space="preserve"> DoC </w:t>
            </w:r>
            <w:r>
              <w:rPr>
                <w:rFonts w:hint="eastAsia"/>
              </w:rPr>
              <w:t xml:space="preserve">液体供给增量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外部供给有恢复能力，但远小于封锁冲击量级</w:t>
            </w:r>
          </w:p>
        </w:tc>
      </w:tr>
      <w:tr>
        <w:tc>
          <w:tcPr/>
          <w:p>
            <w:pPr>
              <w:pStyle w:val="Compact"/>
              <w:jc w:val="left"/>
            </w:pPr>
            <w:r>
              <w:t xml:space="preserve">2026 </w:t>
            </w:r>
            <w:r>
              <w:rPr>
                <w:rFonts w:hint="eastAsia"/>
              </w:rPr>
              <w:t xml:space="preserve">年</w:t>
            </w:r>
            <w:r>
              <w:t xml:space="preserve"> DoC </w:t>
            </w:r>
            <w:r>
              <w:rPr>
                <w:rFonts w:hint="eastAsia"/>
              </w:rPr>
              <w:t xml:space="preserve">原油需求差额增量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对</w:t>
            </w:r>
            <w:r>
              <w:t xml:space="preserve"> DoC </w:t>
            </w:r>
            <w:r>
              <w:rPr>
                <w:rFonts w:hint="eastAsia"/>
              </w:rPr>
              <w:t xml:space="preserve">原油的压力仍上升，支持保留尾部风险</w:t>
            </w:r>
          </w:p>
        </w:tc>
      </w:tr>
      <w:tr>
        <w:tc>
          <w:tcPr/>
          <w:p>
            <w:pPr>
              <w:pStyle w:val="Compact"/>
              <w:jc w:val="left"/>
            </w:pPr>
            <w:r>
              <w:t xml:space="preserve">2026 </w:t>
            </w:r>
            <w:r>
              <w:rPr>
                <w:rFonts w:hint="eastAsia"/>
              </w:rPr>
              <w:t xml:space="preserve">年</w:t>
            </w:r>
            <w:r>
              <w:t xml:space="preserve"> DoC </w:t>
            </w:r>
            <w:r>
              <w:rPr>
                <w:rFonts w:hint="eastAsia"/>
              </w:rPr>
              <w:t xml:space="preserve">原油需求差额峰值</w:t>
            </w:r>
          </w:p>
        </w:tc>
        <w:tc>
          <w:tcPr/>
          <w:p>
            <w:pPr>
              <w:pStyle w:val="Compact"/>
              <w:jc w:val="right"/>
            </w:pPr>
            <w:r>
              <w:t xml:space="preserve">43.70</w:t>
            </w:r>
          </w:p>
        </w:tc>
        <w:tc>
          <w:tcPr/>
          <w:p>
            <w:pPr>
              <w:pStyle w:val="Compact"/>
              <w:jc w:val="right"/>
            </w:pPr>
            <w:r>
              <w:t xml:space="preserve">mb/d</w:t>
            </w:r>
          </w:p>
        </w:tc>
        <w:tc>
          <w:tcPr/>
          <w:p>
            <w:pPr>
              <w:pStyle w:val="Compact"/>
              <w:jc w:val="left"/>
            </w:pPr>
            <w:r>
              <w:rPr>
                <w:rFonts w:hint="eastAsia"/>
              </w:rPr>
              <w:t xml:space="preserve">下半年需求差额更高，长期模型需保留季节性压力</w:t>
            </w:r>
          </w:p>
        </w:tc>
      </w:tr>
      <w:tr>
        <w:tc>
          <w:tcPr/>
          <w:p>
            <w:pPr>
              <w:pStyle w:val="Compact"/>
              <w:jc w:val="left"/>
            </w:pPr>
            <w:r>
              <w:rPr>
                <w:rFonts w:hint="eastAsia"/>
              </w:rPr>
              <w:t xml:space="preserve">峰值高于年均</w:t>
            </w:r>
          </w:p>
        </w:tc>
        <w:tc>
          <w:tcPr/>
          <w:p>
            <w:pPr>
              <w:pStyle w:val="Compact"/>
              <w:jc w:val="right"/>
            </w:pPr>
            <w:r>
              <w:t xml:space="preserve">0.70</w:t>
            </w:r>
          </w:p>
        </w:tc>
        <w:tc>
          <w:tcPr/>
          <w:p>
            <w:pPr>
              <w:pStyle w:val="Compact"/>
              <w:jc w:val="right"/>
            </w:pPr>
            <w:r>
              <w:t xml:space="preserve">mb/d</w:t>
            </w:r>
          </w:p>
        </w:tc>
        <w:tc>
          <w:tcPr/>
          <w:p>
            <w:pPr>
              <w:pStyle w:val="Compact"/>
              <w:jc w:val="left"/>
            </w:pPr>
            <w:r>
              <w:rPr>
                <w:rFonts w:hint="eastAsia"/>
              </w:rPr>
              <w:t xml:space="preserve">用于温和抬升尾部风险权重</w:t>
            </w:r>
          </w:p>
        </w:tc>
      </w:tr>
    </w:tbl>
    <w:p>
      <w:pPr>
        <w:pStyle w:val="BodyText"/>
      </w:pPr>
      <w:r>
        <w:t xml:space="preserve">OPEC </w:t>
      </w:r>
      <w:r>
        <w:rPr>
          <w:rFonts w:hint="eastAsia"/>
        </w:rPr>
        <w:t xml:space="preserve">表并不替代赛题冲击参数。它只说明：在没有霍尔木兹极端封锁的正常基线下，2026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原油需求差额更高。因此，长期模型不能把价格回落解释成</w:t>
      </w:r>
      <w:r>
        <w:rPr>
          <w:rFonts w:hint="eastAsia"/>
        </w:rPr>
        <w:t xml:space="preserve">“全球需求自然塌陷”</w:t>
      </w:r>
      <w:r>
        <w:rPr>
          <w:rFonts w:hint="eastAsia"/>
        </w:rPr>
        <w:t xml:space="preserve">，而应解释为政策缓冲、供给恢复、需求弹性和风险溢价衰减共同作用后的条件路径。</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月度指数，作为地缘风险溢价的外部校验变量。由于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节统一报告。与此同时，本文接入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97.3%，因此适合进入长期风险权重和不确定性强度约束。</w:t>
      </w:r>
    </w:p>
    <w:p>
      <w:pPr>
        <w:pStyle w:val="BodyText"/>
      </w:pPr>
      <w:r>
        <w:rPr>
          <w:rFonts w:hint="eastAsia"/>
          <w:b/>
          <w:bCs/>
        </w:rPr>
        <w:t xml:space="preserve">关键结论</w:t>
      </w:r>
      <w:r>
        <w:rPr>
          <w:rFonts w:hint="eastAsia"/>
        </w:rPr>
        <w:t xml:space="preserve">数据使用遵循</w:t>
      </w:r>
      <w:r>
        <w:rPr>
          <w:rFonts w:hint="eastAsia"/>
        </w:rPr>
        <w:t xml:space="preserve">“附件真实价格为主、外部数据只做校验与长期约束”</w:t>
      </w:r>
      <w:r>
        <w:rPr>
          <w:rFonts w:hint="eastAsia"/>
        </w:rPr>
        <w:t xml:space="preserve">的原则。EIA</w:t>
      </w:r>
      <w:r>
        <w:t xml:space="preserve"> </w:t>
      </w:r>
      <w:r>
        <w:rPr>
          <w:rFonts w:hint="eastAsia"/>
        </w:rPr>
        <w:t xml:space="preserve">用于美国口径数量级校验，JODI</w:t>
      </w:r>
      <w:r>
        <w:t xml:space="preserve"> </w:t>
      </w:r>
      <w:r>
        <w:rPr>
          <w:rFonts w:hint="eastAsia"/>
        </w:rPr>
        <w:t xml:space="preserve">用于多国供需和库存约束，OPEC</w:t>
      </w:r>
      <w:r>
        <w:t xml:space="preserve"> </w:t>
      </w:r>
      <w:r>
        <w:rPr>
          <w:rFonts w:hint="eastAsia"/>
        </w:rPr>
        <w:t xml:space="preserve">用于全球供需平衡基线，GPR</w:t>
      </w:r>
      <w:r>
        <w:t xml:space="preserve"> </w:t>
      </w:r>
      <w:r>
        <w:rPr>
          <w:rFonts w:hint="eastAsia"/>
        </w:rPr>
        <w:t xml:space="preserve">用于地缘风险校验，OVX</w:t>
      </w:r>
      <w:r>
        <w:t xml:space="preserve"> </w:t>
      </w:r>
      <w:r>
        <w:rPr>
          <w:rFonts w:hint="eastAsia"/>
        </w:rPr>
        <w:t xml:space="preserve">用于市场隐含波动率约束；这些数据均不反向替代附件真实价格。</w:t>
      </w:r>
    </w:p>
    <w:p>
      <w:pPr>
        <w:pStyle w:val="CaptionedFigure"/>
      </w:pPr>
      <w:r>
        <w:drawing>
          <wp:inline>
            <wp:extent cx="4907280" cy="2453640"/>
            <wp:effectExtent b="0" l="0" r="0" t="0"/>
            <wp:docPr descr="" title="" id="22" name="Picture"/>
            <a:graphic>
              <a:graphicData uri="http://schemas.openxmlformats.org/drawingml/2006/picture">
                <pic:pic>
                  <pic:nvPicPr>
                    <pic:cNvPr descr="布伦特原油长期价格走势.png" id="23" name="Picture"/>
                    <pic:cNvPicPr>
                      <a:picLocks noChangeArrowheads="1" noChangeAspect="1"/>
                    </pic:cNvPicPr>
                  </pic:nvPicPr>
                  <pic:blipFill>
                    <a:blip r:embed="rId21"/>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布伦特原油期货主力合约收盘价长期走势。该图用于确认</w:t>
      </w:r>
      <w:r>
        <w:t xml:space="preserve"> 2026 </w:t>
      </w:r>
      <w:r>
        <w:rPr>
          <w:rFonts w:hint="eastAsia"/>
        </w:rPr>
        <w:t xml:space="preserve">冲突窗口不是孤立样本，而是处在</w:t>
      </w:r>
      <w:r>
        <w:t xml:space="preserve"> 2017–2026 </w:t>
      </w:r>
      <w:r>
        <w:rPr>
          <w:rFonts w:hint="eastAsia"/>
        </w:rPr>
        <w:t xml:space="preserve">年高波动能源价格背景下。</w:t>
      </w:r>
    </w:p>
    <w:p>
      <w:pPr>
        <w:pStyle w:val="CaptionedFigure"/>
      </w:pPr>
      <w:r>
        <w:drawing>
          <wp:inline>
            <wp:extent cx="4907280" cy="2453640"/>
            <wp:effectExtent b="0" l="0" r="0" t="0"/>
            <wp:docPr descr="" title="" id="25" name="Picture"/>
            <a:graphic>
              <a:graphicData uri="http://schemas.openxmlformats.org/drawingml/2006/picture">
                <pic:pic>
                  <pic:nvPicPr>
                    <pic:cNvPr descr="冲突窗口价格走势.png" id="26" name="Picture"/>
                    <pic:cNvPicPr>
                      <a:picLocks noChangeArrowheads="1" noChangeAspect="1"/>
                    </pic:cNvPicPr>
                  </pic:nvPicPr>
                  <pic:blipFill>
                    <a:blip r:embed="rId24"/>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冲突窗口内附件真实价格路径。价格在冲击后快速进入</w:t>
      </w:r>
      <w:r>
        <w:t xml:space="preserve"> 110–120 </w:t>
      </w:r>
      <w:r>
        <w:rPr>
          <w:rFonts w:hint="eastAsia"/>
        </w:rPr>
        <w:t xml:space="preserve">美元/桶平台，为短期动态递推模型提供直接拟合目标。</w:t>
      </w:r>
    </w:p>
    <w:bookmarkEnd w:id="27"/>
    <w:bookmarkStart w:id="31"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9" name="Picture"/>
            <a:graphic>
              <a:graphicData uri="http://schemas.openxmlformats.org/drawingml/2006/picture">
                <pic:pic>
                  <pic:nvPicPr>
                    <pic:cNvPr descr="布伦特收益率与波动率.png" id="30" name="Picture"/>
                    <pic:cNvPicPr>
                      <a:picLocks noChangeArrowheads="1" noChangeAspect="1"/>
                    </pic:cNvPicPr>
                  </pic:nvPicPr>
                  <pic:blipFill>
                    <a:blip r:embed="rId28"/>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收益率与滚动波动率。冲突窗口波动明显放大，说明模型评价不能只看价格水平，还需要检验残差结构、历史极端性和尾部风险。</w:t>
      </w:r>
    </w:p>
    <w:bookmarkEnd w:id="31"/>
    <w:bookmarkEnd w:id="32"/>
    <w:bookmarkStart w:id="36" w:name="模型假设与符号说明"/>
    <w:p>
      <w:pPr>
        <w:pStyle w:val="Heading1"/>
      </w:pPr>
      <w:r>
        <w:rPr>
          <w:rFonts w:hint="eastAsia"/>
        </w:rPr>
        <w:t xml:space="preserve">模型假设与符号说明</w:t>
      </w:r>
    </w:p>
    <w:bookmarkStart w:id="33"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3"/>
    <w:bookmarkStart w:id="34"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4"/>
    <w:bookmarkStart w:id="35"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5"/>
    <w:bookmarkEnd w:id="36"/>
    <w:bookmarkStart w:id="42" w:name="传统供需基准模型"/>
    <w:p>
      <w:pPr>
        <w:pStyle w:val="Heading1"/>
      </w:pPr>
      <w:r>
        <w:rPr>
          <w:rFonts w:hint="eastAsia"/>
        </w:rPr>
        <w:t xml:space="preserve">传统供需基准模型</w:t>
      </w:r>
    </w:p>
    <w:bookmarkStart w:id="37"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标定斜率。当供应中断量为</w:t>
      </w:r>
      <w:r>
        <w:t xml:space="preserve"> </w:t>
      </w:r>
      <m:oMath>
        <m:r>
          <m:t>I</m:t>
        </m:r>
      </m:oMath>
      <w:r>
        <w:t xml:space="preserve"> </w:t>
      </w:r>
      <w:r>
        <w:rPr>
          <w:rFonts w:hint="eastAsia"/>
        </w:rPr>
        <w:t xml:space="preserve">时，线性需求反事实价格为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7"/>
    <w:bookmarkStart w:id="41"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9" name="Picture"/>
            <a:graphic>
              <a:graphicData uri="http://schemas.openxmlformats.org/drawingml/2006/picture">
                <pic:pic>
                  <pic:nvPicPr>
                    <pic:cNvPr descr="传统供需基准与真实价格对比.png" id="40" name="Picture"/>
                    <pic:cNvPicPr>
                      <a:picLocks noChangeArrowheads="1" noChangeAspect="1"/>
                    </pic:cNvPicPr>
                  </pic:nvPicPr>
                  <pic:blipFill>
                    <a:blip r:embed="rId38"/>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传统供需基准模型与附件真实价格对比。低弹性静态模型明显高估现实价格，因此后续必须引入</w:t>
      </w:r>
      <w:r>
        <w:t xml:space="preserve"> </w:t>
      </w:r>
      <w:r>
        <w:rPr>
          <w:rFonts w:hint="eastAsia"/>
        </w:rPr>
        <w:t xml:space="preserve">SPR、库存、绕道、需求收缩和市场预期修复等动态缓冲机制。</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综合机制递推模型正是在这一边界上引入动态缓冲与价格形成机制。</w:t>
      </w:r>
    </w:p>
    <w:bookmarkEnd w:id="41"/>
    <w:bookmarkEnd w:id="42"/>
    <w:bookmarkStart w:id="49"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模型以赛题给定的供应中断、SPR、商业库存、绕道运输和恐慌情绪为基础，并纳入能够通过消融实验和敏感性分析检验的价格形成因素。其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4" name="Picture"/>
            <a:graphic>
              <a:graphicData uri="http://schemas.openxmlformats.org/drawingml/2006/picture">
                <pic:pic>
                  <pic:nvPicPr>
                    <pic:cNvPr descr="综合机制递推模型结构图.png" id="45" name="Picture"/>
                    <pic:cNvPicPr>
                      <a:picLocks noChangeArrowheads="1" noChangeAspect="1"/>
                    </pic:cNvPicPr>
                  </pic:nvPicPr>
                  <pic:blipFill>
                    <a:blip r:embed="rId43"/>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p>
      <w:pPr>
        <w:pStyle w:val="BodyText"/>
      </w:pPr>
      <w:r>
        <w:rPr>
          <w:rFonts w:hint="eastAsia"/>
          <w:b/>
          <w:bCs/>
        </w:rPr>
        <w:t xml:space="preserve">关键结论</w:t>
      </w:r>
      <w:r>
        <w:rPr>
          <w:rFonts w:hint="eastAsia"/>
        </w:rPr>
        <w:t xml:space="preserve">主模型分为两层：物理供需层负责回答</w:t>
      </w:r>
      <w:r>
        <w:rPr>
          <w:rFonts w:hint="eastAsia"/>
        </w:rPr>
        <w:t xml:space="preserve">“缺口还剩多少”</w:t>
      </w:r>
      <w:r>
        <w:rPr>
          <w:rFonts w:hint="eastAsia"/>
        </w:rPr>
        <w:t xml:space="preserve">，市场价格形成层负责回答</w:t>
      </w:r>
      <w:r>
        <w:rPr>
          <w:rFonts w:hint="eastAsia"/>
        </w:rPr>
        <w:t xml:space="preserve">“市场如何给剩余缺口和制度风险定价”</w:t>
      </w:r>
      <w:r>
        <w:rPr>
          <w:rFonts w:hint="eastAsia"/>
        </w:rPr>
        <w:t xml:space="preserve">。两层分开写，使价格平台能够被分解为物理缓冲、风险溢价和预期修复的共同结果。</w:t>
      </w:r>
    </w:p>
    <w:bookmarkStart w:id="46" w:name="fig:tikz-feedback-loop"/>
    <w:tbl>
      <w:tblPr>
        <w:tblStyle w:val="FigureTable"/>
        <w:tblW w:type="auto" w:w="0"/>
        <w:jc w:val="center"/>
        <w:tblLook w:firstRow="0" w:lastRow="0" w:firstColumn="0" w:lastColumn="0"/>
      </w:tblPr>
      <w:tblGrid/>
    </w:tbl>
    <w:p>
      <w:pPr>
        <w:pStyle w:val="ImageCaption"/>
      </w:pPr>
      <w:r>
        <w:rPr>
          <w:rFonts w:hint="eastAsia"/>
        </w:rPr>
        <w:t xml:space="preserve">短期价格形成反馈回路。红色方向表示冲击和风险溢价推高价格，绿色方向表示政策缓冲、绕道运输、需求收缩和预期修复压低价格。该图强调</w:t>
      </w:r>
      <w:r>
        <w:t xml:space="preserve"> 110–120 </w:t>
      </w:r>
      <w:r>
        <w:rPr>
          <w:rFonts w:hint="eastAsia"/>
        </w:rPr>
        <w:t xml:space="preserve">美元/桶平台是多重反馈共同作用的结果，而不是外生价格上限。</w:t>
      </w:r>
    </w:p>
    <w:bookmarkEnd w:id="46"/>
    <w:bookmarkStart w:id="47"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7"/>
    <w:bookmarkStart w:id="48"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为降低方程结构的任意性，本文采用一个极简的异质性交易者线性化框架。参考</w:t>
      </w:r>
      <w:r>
        <w:t xml:space="preserve"> </w:t>
      </w:r>
      <w:r>
        <w:rPr>
          <w:rFonts w:hint="eastAsia"/>
        </w:rPr>
        <w:t xml:space="preserve">Kilian（2009）、Hamilton（2009）以及</w:t>
      </w:r>
      <w:r>
        <w:t xml:space="preserve"> Kilian </w:t>
      </w:r>
      <w:r>
        <w:rPr>
          <w:rFonts w:hint="eastAsia"/>
        </w:rPr>
        <w:t xml:space="preserve">与</w:t>
      </w:r>
      <w:r>
        <w:t xml:space="preserve"> </w:t>
      </w:r>
      <w:r>
        <w:rPr>
          <w:rFonts w:hint="eastAsia"/>
        </w:rPr>
        <w:t xml:space="preserve">Murphy（2014）关于物理供给、预防性需求、库存和投机性需求的分解，假设期货市场的边际定价者由两类主体构成：一类是基于炼厂采购、套期保值和现货短缺进行定价的供需交易者，另一类是基于封锁持续时间、航运保险、政策协调和风险偏好进行定价的风险交易者。令第</w:t>
      </w:r>
      <w:r>
        <w:t xml:space="preserve"> </w:t>
      </w:r>
      <m:oMath>
        <m:r>
          <m:t>t</m:t>
        </m:r>
      </m:oMath>
      <w:r>
        <w:t xml:space="preserve"> </w:t>
      </w:r>
      <w:r>
        <w:rPr>
          <w:rFonts w:hint="eastAsia"/>
        </w:rPr>
        <w:t xml:space="preserve">日相对目标价格偏离满足局部线性近似：</w:t>
      </w:r>
    </w:p>
    <w:p>
      <w:pPr>
        <w:pStyle w:val="BodyText"/>
      </w:pPr>
      <m:oMathPara>
        <m:oMathParaPr>
          <m:jc m:val="center"/>
        </m:oMathParaPr>
        <m:oMath>
          <m:f>
            <m:fPr>
              <m:type m:val="bar"/>
            </m:fPr>
            <m:num>
              <m:sSubSup>
                <m:e>
                  <m:r>
                    <m:t>P</m:t>
                  </m:r>
                </m:e>
                <m:sub>
                  <m:r>
                    <m:t>t</m:t>
                  </m:r>
                </m:sub>
                <m:sup>
                  <m:r>
                    <m:rPr>
                      <m:sty m:val="p"/>
                    </m:rPr>
                    <m:t>*</m:t>
                  </m:r>
                </m:sup>
              </m:sSubSup>
              <m:r>
                <m:rPr>
                  <m:sty m:val="p"/>
                </m:rPr>
                <m:t>−</m:t>
              </m:r>
              <m:sSub>
                <m:e>
                  <m:r>
                    <m:t>P</m:t>
                  </m:r>
                </m:e>
                <m:sub>
                  <m:r>
                    <m:t>0</m:t>
                  </m:r>
                </m:sub>
              </m:sSub>
            </m:num>
            <m:den>
              <m:sSub>
                <m:e>
                  <m:r>
                    <m:t>P</m:t>
                  </m:r>
                </m:e>
                <m:sub>
                  <m:r>
                    <m:t>0</m:t>
                  </m:r>
                </m:sub>
              </m:sSub>
            </m:den>
          </m:f>
          <m:r>
            <m:rPr>
              <m:sty m:val="p"/>
            </m:rPr>
            <m:t>≈</m:t>
          </m:r>
          <m:sSub>
            <m:e>
              <m:r>
                <m:t>a</m:t>
              </m:r>
            </m:e>
            <m:sub>
              <m:r>
                <m:t>G</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a</m:t>
              </m:r>
            </m:e>
            <m:sub>
              <m:r>
                <m:t>B</m:t>
              </m:r>
            </m:sub>
          </m:sSub>
          <m:f>
            <m:fPr>
              <m:type m:val="bar"/>
            </m:fPr>
            <m:num>
              <m:r>
                <m:t>I</m:t>
              </m:r>
            </m:num>
            <m:den>
              <m:sSub>
                <m:e>
                  <m:r>
                    <m:t>D</m:t>
                  </m:r>
                </m:e>
                <m:sub>
                  <m:r>
                    <m:t>0</m:t>
                  </m:r>
                </m:sub>
              </m:sSub>
            </m:den>
          </m:f>
          <m:sSub>
            <m:e>
              <m:r>
                <m:t>Z</m:t>
              </m:r>
            </m:e>
            <m:sub>
              <m:r>
                <m:t>t</m:t>
              </m:r>
            </m:sub>
          </m:sSub>
          <m:r>
            <m:rPr>
              <m:sty m:val="p"/>
            </m:rPr>
            <m:t>+</m:t>
          </m:r>
          <m:sSub>
            <m:e>
              <m:r>
                <m:t>a</m:t>
              </m:r>
            </m:e>
            <m:sub>
              <m:r>
                <m:t>U</m:t>
              </m:r>
            </m:sub>
          </m:sSub>
          <m:sSub>
            <m:e>
              <m:r>
                <m:t>U</m:t>
              </m:r>
            </m:e>
            <m:sub>
              <m:r>
                <m:t>t</m:t>
              </m:r>
            </m:sub>
          </m:sSub>
          <m:r>
            <m:rPr>
              <m:sty m:val="p"/>
            </m:rPr>
            <m:t>+</m:t>
          </m:r>
          <m:sSub>
            <m:e>
              <m:r>
                <m:t>a</m:t>
              </m:r>
            </m:e>
            <m:sub>
              <m:r>
                <m:t>F</m:t>
              </m:r>
            </m:sub>
          </m:sSub>
          <m:sSub>
            <m:e>
              <m:r>
                <m:t>F</m:t>
              </m:r>
            </m:e>
            <m:sub>
              <m:r>
                <m:t>t</m:t>
              </m:r>
            </m:sub>
          </m:sSub>
          <m:r>
            <m:rPr>
              <m:sty m:val="p"/>
            </m:rPr>
            <m:t>−</m:t>
          </m:r>
          <m:sSub>
            <m:e>
              <m:r>
                <m:t>a</m:t>
              </m:r>
            </m:e>
            <m:sub>
              <m:r>
                <m:t>H</m:t>
              </m:r>
            </m:sub>
          </m:sSub>
          <m:f>
            <m:fPr>
              <m:type m:val="bar"/>
            </m:fPr>
            <m:num>
              <m:sSub>
                <m:e>
                  <m:r>
                    <m:t>H</m:t>
                  </m:r>
                </m:e>
                <m:sub>
                  <m:r>
                    <m:t>t</m:t>
                  </m:r>
                </m:sub>
              </m:sSub>
            </m:num>
            <m:den>
              <m:sSub>
                <m:e>
                  <m:r>
                    <m:t>P</m:t>
                  </m:r>
                </m:e>
                <m:sub>
                  <m:r>
                    <m:t>0</m:t>
                  </m:r>
                </m:sub>
              </m:sSub>
            </m:den>
          </m:f>
          <m:r>
            <m:rPr>
              <m:sty m:val="p"/>
            </m:rPr>
            <m:t>−</m:t>
          </m:r>
          <m:sSub>
            <m:e>
              <m:r>
                <m:t>a</m:t>
              </m:r>
            </m:e>
            <m:sub>
              <m:r>
                <m:t>L</m:t>
              </m:r>
            </m:sub>
          </m:sSub>
          <m:f>
            <m:fPr>
              <m:type m:val="bar"/>
            </m:fPr>
            <m:num>
              <m:sSub>
                <m:e>
                  <m:r>
                    <m:t>L</m:t>
                  </m:r>
                </m:e>
                <m:sub>
                  <m:r>
                    <m:t>t</m:t>
                  </m:r>
                </m:sub>
              </m:sSub>
            </m:num>
            <m:den>
              <m:sSub>
                <m:e>
                  <m:r>
                    <m:t>P</m:t>
                  </m:r>
                </m:e>
                <m:sub>
                  <m:r>
                    <m:t>0</m:t>
                  </m:r>
                </m:sub>
              </m:sSub>
            </m:den>
          </m:f>
          <m:r>
            <m:rPr>
              <m:sty m:val="p"/>
            </m:rPr>
            <m:t>.</m:t>
          </m:r>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表示剩余物理缺口，</w:t>
      </w:r>
      <m:oMath>
        <m:sSub>
          <m:e>
            <m:r>
              <m:t>Z</m:t>
            </m:r>
          </m:e>
          <m:sub>
            <m:r>
              <m:t>t</m:t>
            </m:r>
          </m:sub>
        </m:sSub>
      </m:oMath>
      <w:r>
        <w:t xml:space="preserve"> </w:t>
      </w:r>
      <w:r>
        <w:rPr>
          <w:rFonts w:hint="eastAsia"/>
        </w:rPr>
        <w:t xml:space="preserve">表示封锁风险被市场吸收后的有效强度，</w:t>
      </w:r>
      <m:oMath>
        <m:sSub>
          <m:e>
            <m:r>
              <m:t>U</m:t>
            </m:r>
          </m:e>
          <m:sub>
            <m:r>
              <m:t>t</m:t>
            </m:r>
          </m:sub>
        </m:sSub>
      </m:oMath>
      <w:r>
        <w:t xml:space="preserve"> </w:t>
      </w:r>
      <w:r>
        <w:rPr>
          <w:rFonts w:hint="eastAsia"/>
        </w:rPr>
        <w:t xml:space="preserve">表示持续封锁带来的制度不确定性，</w:t>
      </w:r>
      <m:oMath>
        <m:sSub>
          <m:e>
            <m:r>
              <m:t>F</m:t>
            </m:r>
          </m:e>
          <m:sub>
            <m:r>
              <m:t>t</m:t>
            </m:r>
          </m:sub>
        </m:sSub>
      </m:oMath>
      <w:r>
        <w:t xml:space="preserve"> </w:t>
      </w:r>
      <w:r>
        <w:rPr>
          <w:rFonts w:hint="eastAsia"/>
        </w:rPr>
        <w:t xml:space="preserve">表示恐慌情绪强度，</w:t>
      </w:r>
      <m:oMath>
        <m:sSub>
          <m:e>
            <m:r>
              <m:t>H</m:t>
            </m:r>
          </m:e>
          <m:sub>
            <m:r>
              <m:t>t</m:t>
            </m:r>
          </m:sub>
        </m:sSub>
      </m:oMath>
      <w:r>
        <w:t xml:space="preserve"> </w:t>
      </w:r>
      <w:r>
        <w:rPr>
          <w:rFonts w:hint="eastAsia"/>
        </w:rPr>
        <w:t xml:space="preserve">与</w:t>
      </w:r>
      <w:r>
        <w:t xml:space="preserve"> </w:t>
      </w:r>
      <m:oMath>
        <m:sSub>
          <m:e>
            <m:r>
              <m:t>L</m:t>
            </m:r>
          </m:e>
          <m:sub>
            <m:r>
              <m:t>t</m:t>
            </m:r>
          </m:sub>
        </m:sSub>
      </m:oMath>
      <w:r>
        <w:t xml:space="preserve"> </w:t>
      </w:r>
      <w:r>
        <w:rPr>
          <w:rFonts w:hint="eastAsia"/>
        </w:rPr>
        <w:t xml:space="preserve">分别表示缓冲确认和预期修复带来的折价。这个表达式可理解为对两类交易者超额需求函数在战前均衡点附近做一阶展开：物理缺口和风险预防性需求推高价格，政策可信度和运输修复预期降低风险溢价。因此，后续目标价格的线性加总并非任意拼接，而是局部均衡价格的一阶近似。</w:t>
      </w:r>
    </w:p>
    <w:p>
      <w:pPr>
        <w:pStyle w:val="BodyText"/>
      </w:pPr>
      <w:r>
        <w:rPr>
          <w:rFonts w:hint="eastAsia"/>
        </w:rPr>
        <w:t xml:space="preserve">具体时间函数来自三个建模约束。第一，剩余物理缺口和风险溢价分开建模，以对应油价冲击中文献强调的供给、预防性需求和库存渠道。第二，题面给出恐慌情绪放大持续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SPR、库存和绕道修复后逐步消化制度风险。第三，政策缓冲并非瞬时被市场完全相信，缓冲确认折价和预期修复折价分别刻画政策可信度形成与运输修复预期对目标价格的向下修正。由此得到的指数项对应</w:t>
      </w:r>
      <w:r>
        <w:rPr>
          <w:rFonts w:hint="eastAsia"/>
        </w:rPr>
        <w:t xml:space="preserve">“冲击建立–风险消化–缓冲确认”</w:t>
      </w:r>
      <w:r>
        <w:rPr>
          <w:rFonts w:hint="eastAsia"/>
        </w:rPr>
        <w:t xml:space="preserve">三类时间过程。</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为物理缺口向期货目标价格传导的价格形成系数，对应上式中的</w:t>
      </w:r>
      <w:r>
        <w:t xml:space="preserve"> </w:t>
      </w:r>
      <m:oMath>
        <m:sSub>
          <m:e>
            <m:r>
              <m:t>a</m:t>
            </m:r>
          </m:e>
          <m:sub>
            <m:r>
              <m:t>G</m:t>
            </m:r>
          </m:sub>
        </m:sSub>
      </m:oMath>
      <w:r>
        <w:rPr>
          <w:rFonts w:hint="eastAsia"/>
        </w:rPr>
        <w:t xml:space="preserve">，不替代题面需求弹性；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风险溢价、缓冲确认折价和预期修复折价均需要同时满足经济含义清晰、方向可解释、消融后误差明显恶化以及扰动后结论保持稳定四个条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p>
      <w:pPr>
        <w:pStyle w:val="BodyText"/>
      </w:pPr>
      <w:r>
        <w:rPr>
          <w:rFonts w:hint="eastAsia"/>
        </w:rPr>
        <w:t xml:space="preserve">算法</w:t>
      </w:r>
      <w:r>
        <w:t xml:space="preserve"> </w:t>
      </w:r>
      <w:r>
        <w:rPr>
          <w:rFonts w:hint="eastAsia"/>
        </w:rPr>
        <w:t xml:space="preserve">1综合机制递推模型的日度更新流程</w:t>
      </w:r>
      <w:r>
        <w:t xml:space="preserve"> </w:t>
      </w:r>
      <w:r>
        <w:rPr>
          <w:rFonts w:hint="eastAsia"/>
          <w:b/>
          <w:bCs/>
        </w:rPr>
        <w:t xml:space="preserve">输入：</w:t>
      </w:r>
      <w:r>
        <w:rPr>
          <w:rFonts w:hint="eastAsia"/>
        </w:rPr>
        <w:t xml:space="preserve">初始价格</w:t>
      </w:r>
      <w:r>
        <w:t xml:space="preserve"> </w:t>
      </w:r>
      <m:oMath>
        <m:sSub>
          <m:e>
            <m:r>
              <m:t>P</m:t>
            </m:r>
          </m:e>
          <m:sub>
            <m:r>
              <m:t>0</m:t>
            </m:r>
          </m:sub>
        </m:sSub>
      </m:oMath>
      <w:r>
        <w:rPr>
          <w:rFonts w:hint="eastAsia"/>
        </w:rPr>
        <w:t xml:space="preserve">，基准供需</w:t>
      </w:r>
      <w:r>
        <w:t xml:space="preserve"> </w:t>
      </w:r>
      <m:oMath>
        <m:sSub>
          <m:e>
            <m:r>
              <m:t>D</m:t>
            </m:r>
          </m:e>
          <m:sub>
            <m:r>
              <m:t>0</m:t>
            </m:r>
          </m:sub>
        </m:sSub>
        <m:r>
          <m:rPr>
            <m:sty m:val="p"/>
          </m:rPr>
          <m:t>,</m:t>
        </m:r>
        <m:sSub>
          <m:e>
            <m:r>
              <m:t>S</m:t>
            </m:r>
          </m:e>
          <m:sub>
            <m:r>
              <m:t>0</m:t>
            </m:r>
          </m:sub>
        </m:sSub>
      </m:oMath>
      <w:r>
        <w:rPr>
          <w:rFonts w:hint="eastAsia"/>
        </w:rPr>
        <w:t xml:space="preserve">，供应中断</w:t>
      </w:r>
      <w:r>
        <w:t xml:space="preserve"> </w:t>
      </w:r>
      <m:oMath>
        <m:r>
          <m:t>I</m:t>
        </m:r>
      </m:oMath>
      <w:r>
        <w:rPr>
          <w:rFonts w:hint="eastAsia"/>
        </w:rPr>
        <w:t xml:space="preserve">，SPR、库存、绕道、恐慌与风险参数。</w:t>
      </w:r>
      <w:r>
        <w:br/>
      </w:r>
      <w:r>
        <w:rPr>
          <w:rFonts w:hint="eastAsia"/>
          <w:b/>
          <w:bCs/>
        </w:rPr>
        <w:t xml:space="preserve">输出：</w:t>
      </w:r>
      <w:r>
        <w:rPr>
          <w:rFonts w:hint="eastAsia"/>
        </w:rPr>
        <w:t xml:space="preserve">冲突窗口内的日度模拟价格</w:t>
      </w:r>
      <w:r>
        <w:t xml:space="preserve"> </w:t>
      </w:r>
      <m:oMath>
        <m:sSub>
          <m:e>
            <m:acc>
              <m:accPr>
                <m:chr m:val="̂"/>
              </m:accPr>
              <m:e>
                <m:r>
                  <m:t>P</m:t>
                </m:r>
              </m:e>
            </m:acc>
          </m:e>
          <m:sub>
            <m:r>
              <m:t>t</m:t>
            </m:r>
          </m:sub>
        </m:sSub>
      </m:oMath>
      <w:r>
        <w:t xml:space="preserve"> </w:t>
      </w:r>
      <w:r>
        <w:rPr>
          <w:rFonts w:hint="eastAsia"/>
        </w:rPr>
        <w:t xml:space="preserve">及机制贡献序列。</w:t>
      </w:r>
    </w:p>
    <w:p>
      <w:pPr>
        <w:numPr>
          <w:ilvl w:val="0"/>
          <w:numId w:val="1004"/>
        </w:numPr>
      </w:pPr>
      <w:r>
        <w:rPr>
          <w:rFonts w:hint="eastAsia"/>
        </w:rPr>
        <w:t xml:space="preserve">初始化</w:t>
      </w:r>
      <w:r>
        <w:t xml:space="preserve"> </w:t>
      </w:r>
      <m:oMath>
        <m:sSub>
          <m:e>
            <m:acc>
              <m:accPr>
                <m:chr m:val="̂"/>
              </m:accPr>
              <m:e>
                <m:r>
                  <m:t>P</m:t>
                </m:r>
              </m:e>
            </m:acc>
          </m:e>
          <m:sub>
            <m:r>
              <m:t>0</m:t>
            </m:r>
          </m:sub>
        </m:sSub>
        <m:r>
          <m:rPr>
            <m:sty m:val="p"/>
          </m:rPr>
          <m:t>=</m:t>
        </m:r>
        <m:sSub>
          <m:e>
            <m:r>
              <m:t>P</m:t>
            </m:r>
          </m:e>
          <m:sub>
            <m:r>
              <m:t>0</m:t>
            </m:r>
          </m:sub>
        </m:sSub>
      </m:oMath>
      <w:r>
        <w:rPr>
          <w:rFonts w:hint="eastAsia"/>
        </w:rPr>
        <w:t xml:space="preserve">，商业库存</w:t>
      </w:r>
      <w:r>
        <w:t xml:space="preserve"> </w:t>
      </w:r>
      <m:oMath>
        <m:sSub>
          <m:e>
            <m:r>
              <m:t>K</m:t>
            </m:r>
          </m:e>
          <m:sub>
            <m:r>
              <m:t>0</m:t>
            </m:r>
          </m:sub>
        </m:sSub>
      </m:oMath>
      <w:r>
        <w:rPr>
          <w:rFonts w:hint="eastAsia"/>
        </w:rPr>
        <w:t xml:space="preserve">，恐慌强度</w:t>
      </w:r>
      <w:r>
        <w:t xml:space="preserve"> </w:t>
      </w:r>
      <m:oMath>
        <m:sSub>
          <m:e>
            <m:r>
              <m:t>F</m:t>
            </m:r>
          </m:e>
          <m:sub>
            <m:r>
              <m:t>0</m:t>
            </m:r>
          </m:sub>
        </m:sSub>
      </m:oMath>
      <w:r>
        <w:t xml:space="preserve">。</w:t>
      </w:r>
    </w:p>
    <w:p>
      <w:pPr>
        <w:numPr>
          <w:ilvl w:val="0"/>
          <w:numId w:val="1004"/>
        </w:numPr>
      </w:pPr>
      <w:r>
        <w:rPr>
          <w:rFonts w:hint="eastAsia"/>
        </w:rPr>
        <w:t xml:space="preserve">对</w:t>
      </w:r>
      <w:r>
        <w:t xml:space="preserve"> </w:t>
      </w:r>
      <m:oMath>
        <m:r>
          <m:t>t</m:t>
        </m:r>
        <m:r>
          <m:rPr>
            <m:sty m:val="p"/>
          </m:rPr>
          <m:t>=</m:t>
        </m:r>
        <m:r>
          <m:t>1</m:t>
        </m:r>
        <m:r>
          <m:rPr>
            <m:sty m:val="p"/>
          </m:rPr>
          <m:t>,</m:t>
        </m:r>
        <m:r>
          <m:rPr>
            <m:sty m:val="p"/>
          </m:rPr>
          <m:t>…</m:t>
        </m:r>
        <m:r>
          <m:rPr>
            <m:sty m:val="p"/>
          </m:rPr>
          <m:t>,</m:t>
        </m:r>
        <m:r>
          <m:t>T</m:t>
        </m:r>
      </m:oMath>
      <w:r>
        <w:t xml:space="preserve"> </w:t>
      </w:r>
      <w:r>
        <w:rPr>
          <w:rFonts w:hint="eastAsia"/>
        </w:rPr>
        <w:t xml:space="preserve">逐日递推：</w:t>
      </w:r>
    </w:p>
    <w:p>
      <w:pPr>
        <w:numPr>
          <w:ilvl w:val="0"/>
          <w:numId w:val="1004"/>
        </w:numPr>
      </w:pPr>
      <w:r>
        <w:rPr>
          <w:rFonts w:hint="eastAsia"/>
        </w:rPr>
        <w:t xml:space="preserve">根据上一日模拟价格和短期弹性计算有效需求</w:t>
      </w:r>
      <w:r>
        <w:t xml:space="preserve"> </w:t>
      </w:r>
      <m:oMath>
        <m:sSub>
          <m:e>
            <m:r>
              <m:t>D</m:t>
            </m:r>
          </m:e>
          <m:sub>
            <m:r>
              <m:t>t</m:t>
            </m:r>
          </m:sub>
        </m:sSub>
      </m:oMath>
      <w:r>
        <w:t xml:space="preserve">。</w:t>
      </w:r>
    </w:p>
    <w:p>
      <w:pPr>
        <w:numPr>
          <w:ilvl w:val="0"/>
          <w:numId w:val="1004"/>
        </w:numPr>
      </w:pPr>
      <w:r>
        <w:rPr>
          <w:rFonts w:hint="eastAsia"/>
        </w:rPr>
        <w:t xml:space="preserve">计算不含库存的有效供给</w:t>
      </w:r>
      <w:r>
        <w:t xml:space="preserve"> </w:t>
      </w: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oMath>
      <w:r>
        <w:t xml:space="preserve">。</w:t>
      </w:r>
    </w:p>
    <w:p>
      <w:pPr>
        <w:numPr>
          <w:ilvl w:val="0"/>
          <w:numId w:val="1004"/>
        </w:numPr>
      </w:pPr>
      <w:r>
        <w:rPr>
          <w:rFonts w:hint="eastAsia"/>
        </w:rPr>
        <w:t xml:space="preserve">在日释放上限和剩余库存约束下计算商业库存缓冲</w:t>
      </w:r>
      <w:r>
        <w:t xml:space="preserve"> </w:t>
      </w:r>
      <m:oMath>
        <m:sSub>
          <m:e>
            <m:r>
              <m:t>B</m:t>
            </m:r>
          </m:e>
          <m:sub>
            <m:r>
              <m:t>t</m:t>
            </m:r>
          </m:sub>
        </m:sSub>
      </m:oMath>
      <w:r>
        <w:t xml:space="preserve">。</w:t>
      </w:r>
    </w:p>
    <w:p>
      <w:pPr>
        <w:numPr>
          <w:ilvl w:val="0"/>
          <w:numId w:val="1004"/>
        </w:numPr>
      </w:pPr>
      <w:r>
        <w:rPr>
          <w:rFonts w:hint="eastAsia"/>
        </w:rPr>
        <w:t xml:space="preserve">得到剩余缺口</w:t>
      </w:r>
      <w:r>
        <w:t xml:space="preserve"> </w:t>
      </w: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oMath>
      <w:r>
        <w:t xml:space="preserve">。</w:t>
      </w:r>
    </w:p>
    <w:p>
      <w:pPr>
        <w:numPr>
          <w:ilvl w:val="0"/>
          <w:numId w:val="1004"/>
        </w:numPr>
      </w:pPr>
      <w:r>
        <w:rPr>
          <w:rFonts w:hint="eastAsia"/>
        </w:rPr>
        <w:t xml:space="preserve">由</w:t>
      </w:r>
      <w:r>
        <w:t xml:space="preserve"> </w:t>
      </w:r>
      <m:oMath>
        <m:sSub>
          <m:e>
            <m:r>
              <m:t>G</m:t>
            </m:r>
          </m:e>
          <m:sub>
            <m:r>
              <m:t>t</m:t>
            </m:r>
          </m:sub>
        </m:sSub>
      </m:oMath>
      <w:r>
        <w:rPr>
          <w:rFonts w:hint="eastAsia"/>
        </w:rPr>
        <w:t xml:space="preserve">、风险溢价、制度不确定性、恐慌强度、缓冲确认和预期修复计算目标价格</w:t>
      </w:r>
      <w:r>
        <w:t xml:space="preserve"> </w:t>
      </w:r>
      <m:oMath>
        <m:sSubSup>
          <m:e>
            <m:r>
              <m:t>P</m:t>
            </m:r>
          </m:e>
          <m:sub>
            <m:r>
              <m:t>t</m:t>
            </m:r>
          </m:sub>
          <m:sup>
            <m:r>
              <m:rPr>
                <m:sty m:val="p"/>
              </m:rPr>
              <m:t>*</m:t>
            </m:r>
          </m:sup>
        </m:sSubSup>
      </m:oMath>
      <w:r>
        <w:t xml:space="preserve">。</w:t>
      </w:r>
    </w:p>
    <w:p>
      <w:pPr>
        <w:numPr>
          <w:ilvl w:val="0"/>
          <w:numId w:val="1004"/>
        </w:numPr>
      </w:pPr>
      <w:r>
        <w:rPr>
          <w:rFonts w:hint="eastAsia"/>
        </w:rPr>
        <w:t xml:space="preserve">递推更新</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numPr>
          <w:ilvl w:val="0"/>
          <w:numId w:val="1004"/>
        </w:numPr>
      </w:pPr>
      <w:r>
        <w:rPr>
          <w:rFonts w:hint="eastAsia"/>
        </w:rPr>
        <w:t xml:space="preserve">记录物理缺口、风险溢价、政策缓冲和预期折价的边际贡献。</w:t>
      </w:r>
    </w:p>
    <w:bookmarkEnd w:id="48"/>
    <w:bookmarkEnd w:id="49"/>
    <w:bookmarkStart w:id="113" w:name="参数校准与模型检验"/>
    <w:p>
      <w:pPr>
        <w:pStyle w:val="Heading1"/>
      </w:pPr>
      <w:r>
        <w:rPr>
          <w:rFonts w:hint="eastAsia"/>
        </w:rPr>
        <w:t xml:space="preserve">参数校准与模型检验</w:t>
      </w:r>
    </w:p>
    <w:bookmarkStart w:id="63" w:name="模型校准与拟合表现"/>
    <w:p>
      <w:pPr>
        <w:pStyle w:val="Heading2"/>
      </w:pPr>
      <w:r>
        <w:rPr>
          <w:rFonts w:hint="eastAsia"/>
        </w:rPr>
        <w:t xml:space="preserve">模型校准与拟合表现</w:t>
      </w:r>
    </w:p>
    <w:bookmarkStart w:id="54" w:name="多目标校准"/>
    <w:p>
      <w:pPr>
        <w:pStyle w:val="Heading3"/>
      </w:pPr>
      <w:r>
        <w:rPr>
          <w:rFonts w:hint="eastAsia"/>
        </w:rPr>
        <w:t xml:space="preserve">多目标校准</w:t>
      </w:r>
    </w:p>
    <w:p>
      <w:pPr>
        <w:pStyle w:val="FirstParagraph"/>
      </w:pPr>
      <w:r>
        <w:rPr>
          <w:rFonts w:hint="eastAsia"/>
        </w:rPr>
        <w:t xml:space="preserve">本文采用多目标校准函数，同时约束总体</w:t>
      </w:r>
      <w:r>
        <w:t xml:space="preserve"> </w:t>
      </w:r>
      <w:r>
        <w:rPr>
          <w:rFonts w:hint="eastAsia"/>
        </w:rPr>
        <w:t xml:space="preserve">RMSE、峰值、末日价格和局部阶段解释能力：</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bookmarkStart w:id="53" w:name="fig:candidate-tradeoff-bubble"/>
    <w:p>
      <w:pPr>
        <w:pStyle w:val="CaptionedFigure"/>
      </w:pPr>
      <w:r>
        <w:drawing>
          <wp:inline>
            <wp:extent cx="4587240" cy="3077972"/>
            <wp:effectExtent b="0" l="0" r="0" t="0"/>
            <wp:docPr descr="" title="" id="51" name="Picture"/>
            <a:graphic>
              <a:graphicData uri="http://schemas.openxmlformats.org/drawingml/2006/picture">
                <pic:pic>
                  <pic:nvPicPr>
                    <pic:cNvPr descr="候选模型权衡气泡图.png" id="52" name="Picture"/>
                    <pic:cNvPicPr>
                      <a:picLocks noChangeArrowheads="1" noChangeAspect="1"/>
                    </pic:cNvPicPr>
                  </pic:nvPicPr>
                  <pic:blipFill>
                    <a:blip r:embed="rId50"/>
                    <a:stretch>
                      <a:fillRect/>
                    </a:stretch>
                  </pic:blipFill>
                  <pic:spPr bwMode="auto">
                    <a:xfrm>
                      <a:off x="0" y="0"/>
                      <a:ext cx="4587240" cy="3077972"/>
                    </a:xfrm>
                    <a:prstGeom prst="rect">
                      <a:avLst/>
                    </a:prstGeom>
                    <a:noFill/>
                    <a:ln w="9525">
                      <a:noFill/>
                      <a:headEnd/>
                      <a:tailEnd/>
                    </a:ln>
                  </pic:spPr>
                </pic:pic>
              </a:graphicData>
            </a:graphic>
          </wp:inline>
        </w:drawing>
      </w:r>
    </w:p>
    <w:p>
      <w:pPr>
        <w:pStyle w:val="ImageCaption"/>
      </w:pPr>
      <w:r>
        <w:rPr>
          <w:rFonts w:hint="eastAsia"/>
        </w:rPr>
        <w:t xml:space="preserve">短期候选模型的精度与平台解释权衡。横轴为整体</w:t>
      </w:r>
      <w:r>
        <w:t xml:space="preserve"> </w:t>
      </w:r>
      <w:r>
        <w:rPr>
          <w:rFonts w:hint="eastAsia"/>
        </w:rPr>
        <w:t xml:space="preserve">RMSE，纵轴为高价平台</w:t>
      </w:r>
      <w:r>
        <w:t xml:space="preserve"> </w:t>
      </w:r>
      <w:r>
        <w:rPr>
          <w:rFonts w:hint="eastAsia"/>
        </w:rPr>
        <w:t xml:space="preserve">RMSE，气泡大小表示低价回落段误差；理想候选位于左下角且气泡较小。该图说明本文选择的综合最优模型不是单纯追求某一项误差最低，而是在整体拟合、高价平台解释和低价回落刻画之间取得平衡。</w:t>
      </w:r>
    </w:p>
    <w:bookmarkEnd w:id="53"/>
    <w:p>
      <w:pPr>
        <w:pStyle w:val="BodyText"/>
      </w:pPr>
      <w:r>
        <w:t xml:space="preserve">l S[table-format=4.3] l S[table-format=3.3]</w:t>
      </w:r>
      <w:r>
        <w:t xml:space="preserve"> </w:t>
      </w:r>
      <w:r>
        <w:rPr>
          <w:rFonts w:hint="eastAsia"/>
        </w:rPr>
        <w:t xml:space="preserve">参数</w:t>
      </w:r>
      <w:r>
        <w:t xml:space="preserve"> &amp;</w:t>
      </w:r>
      <w:r>
        <w:t xml:space="preserve"> </w:t>
      </w:r>
      <w:r>
        <w:rPr>
          <w:rFonts w:hint="eastAsia"/>
        </w:rPr>
        <w:t xml:space="preserve">数值</w:t>
      </w:r>
      <w:r>
        <w:t xml:space="preserve"> </w:t>
      </w:r>
      <w:r>
        <w:t xml:space="preserve">&amp; </w:t>
      </w:r>
      <w:r>
        <w:rPr>
          <w:rFonts w:hint="eastAsia"/>
        </w:rPr>
        <w:t xml:space="preserve">参数</w:t>
      </w:r>
      <w:r>
        <w:t xml:space="preserve"> &amp;</w:t>
      </w:r>
      <w:r>
        <w:t xml:space="preserve"> </w:t>
      </w:r>
      <w:r>
        <w:rPr>
          <w:rFonts w:hint="eastAsia"/>
        </w:rPr>
        <w:t xml:space="preserve">数值</w:t>
      </w:r>
      <w:r>
        <w:br/>
      </w:r>
      <w:r>
        <w:rPr>
          <w:rFonts w:hint="eastAsia"/>
        </w:rPr>
        <w:t xml:space="preserve">供应中断量</w:t>
      </w:r>
      <w:r>
        <w:t xml:space="preserve"> &amp; 1493 &amp; SPR </w:t>
      </w:r>
      <w:r>
        <w:rPr>
          <w:rFonts w:hint="eastAsia"/>
        </w:rPr>
        <w:t xml:space="preserve">释放上限</w:t>
      </w:r>
      <w:r>
        <w:t xml:space="preserve"> &amp; 670</w:t>
      </w:r>
      <w:r>
        <w:br/>
      </w:r>
      <w:r>
        <w:t xml:space="preserve">SPR </w:t>
      </w:r>
      <w:r>
        <w:rPr>
          <w:rFonts w:hint="eastAsia"/>
        </w:rPr>
        <w:t xml:space="preserve">启动延迟</w:t>
      </w:r>
      <w:r>
        <w:t xml:space="preserve"> &amp; 3 &amp; </w:t>
      </w:r>
      <w:r>
        <w:rPr>
          <w:rFonts w:hint="eastAsia"/>
        </w:rPr>
        <w:t xml:space="preserve">绕道启动日</w:t>
      </w:r>
      <w:r>
        <w:t xml:space="preserve"> &amp; 8</w:t>
      </w:r>
      <w:r>
        <w:br/>
      </w:r>
      <w:r>
        <w:rPr>
          <w:rFonts w:hint="eastAsia"/>
        </w:rPr>
        <w:t xml:space="preserve">绕道能力上限</w:t>
      </w:r>
      <w:r>
        <w:t xml:space="preserve"> &amp; 237 &amp; </w:t>
      </w:r>
      <w:r>
        <w:rPr>
          <w:rFonts w:hint="eastAsia"/>
        </w:rPr>
        <w:t xml:space="preserve">长期需求弹性</w:t>
      </w:r>
      <w:r>
        <w:t xml:space="preserve"> &amp; -0.25</w:t>
      </w:r>
      <w:r>
        <w:br/>
      </w:r>
      <w:r>
        <w:rPr>
          <w:rFonts w:hint="eastAsia"/>
        </w:rPr>
        <w:t xml:space="preserve">恐慌初始强度</w:t>
      </w:r>
      <w:r>
        <w:t xml:space="preserve"> &amp; 0.12 &amp; </w:t>
      </w:r>
      <w:r>
        <w:rPr>
          <w:rFonts w:hint="eastAsia"/>
        </w:rPr>
        <w:t xml:space="preserve">恐慌衰减速度</w:t>
      </w:r>
      <w:r>
        <w:t xml:space="preserve"> &amp; 0.11</w:t>
      </w:r>
      <w:r>
        <w:br/>
      </w:r>
      <w:r>
        <w:rPr>
          <w:rFonts w:hint="eastAsia"/>
        </w:rPr>
        <w:t xml:space="preserve">库存日缓冲上限</w:t>
      </w:r>
      <w:r>
        <w:t xml:space="preserve"> &amp; 250 &amp; </w:t>
      </w:r>
      <w:r>
        <w:rPr>
          <w:rFonts w:hint="eastAsia"/>
        </w:rPr>
        <w:t xml:space="preserve">价格传导系数</w:t>
      </w:r>
      <w:r>
        <w:t xml:space="preserve"> </w:t>
      </w:r>
      <m:oMath>
        <m:r>
          <m:t>ϕ</m:t>
        </m:r>
      </m:oMath>
      <w:r>
        <w:t xml:space="preserve"> </w:t>
      </w:r>
      <w:r>
        <w:t xml:space="preserve">&amp; 0.028</w:t>
      </w:r>
      <w:r>
        <w:br/>
      </w:r>
      <w:r>
        <w:rPr>
          <w:rFonts w:hint="eastAsia"/>
        </w:rPr>
        <w:t xml:space="preserve">调整速度</w:t>
      </w:r>
      <w:r>
        <w:t xml:space="preserve"> </w:t>
      </w:r>
      <m:oMath>
        <m:r>
          <m:t>v</m:t>
        </m:r>
      </m:oMath>
      <w:r>
        <w:t xml:space="preserve"> </w:t>
      </w:r>
      <w:r>
        <w:t xml:space="preserve">&amp; 0.344 &amp; </w:t>
      </w:r>
      <w:r>
        <w:rPr>
          <w:rFonts w:hint="eastAsia"/>
        </w:rPr>
        <w:t xml:space="preserve">风险权重</w:t>
      </w:r>
      <w:r>
        <w:t xml:space="preserve"> </w:t>
      </w:r>
      <m:oMath>
        <m:r>
          <m:t>β</m:t>
        </m:r>
      </m:oMath>
      <w:r>
        <w:t xml:space="preserve"> </w:t>
      </w:r>
      <w:r>
        <w:t xml:space="preserve">&amp; 2.462</w:t>
      </w:r>
      <w:r>
        <w:br/>
      </w:r>
      <w:r>
        <w:rPr>
          <w:rFonts w:hint="eastAsia"/>
        </w:rPr>
        <w:t xml:space="preserve">不确定性/制度风险强度</w:t>
      </w:r>
      <w:r>
        <w:t xml:space="preserve"> &amp; 0.247 &amp; </w:t>
      </w:r>
      <w:r>
        <w:rPr>
          <w:rFonts w:hint="eastAsia"/>
        </w:rPr>
        <w:t xml:space="preserve">库存响应系数</w:t>
      </w:r>
      <w:r>
        <w:t xml:space="preserve"> &amp; 0.666</w:t>
      </w:r>
      <w:r>
        <w:br/>
      </w:r>
      <w:r>
        <w:rPr>
          <w:rFonts w:hint="eastAsia"/>
        </w:rPr>
        <w:t xml:space="preserve">缓冲确认强度</w:t>
      </w:r>
      <w:r>
        <w:t xml:space="preserve"> &amp; 0.220 &amp; </w:t>
      </w:r>
      <w:r>
        <w:rPr>
          <w:rFonts w:hint="eastAsia"/>
        </w:rPr>
        <w:t xml:space="preserve">预期修复强度</w:t>
      </w:r>
      <w:r>
        <w:t xml:space="preserve"> &amp; 0.240</w:t>
      </w:r>
      <w:r>
        <w:br/>
      </w:r>
    </w:p>
    <w:p>
      <w:pPr>
        <w:pStyle w:val="BodyText"/>
      </w:pPr>
      <w:r>
        <w:rPr>
          <w:rFonts w:hint="eastAsia"/>
        </w:rPr>
        <w:t xml:space="preserve">注：供应中断量、SPR</w:t>
      </w:r>
      <w:r>
        <w:t xml:space="preserve"> </w:t>
      </w:r>
      <w:r>
        <w:rPr>
          <w:rFonts w:hint="eastAsia"/>
        </w:rPr>
        <w:t xml:space="preserve">释放上限、绕道能力上限和库存日缓冲上限的单位为万桶/日；其余无量纲参数用于刻画行为强度、调整速度或弹性。</w:t>
      </w:r>
    </w:p>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鲁棒性检验。本文后续所有模型评价均围绕这一区分展开，校准参数只在相应机制语境下解释。</w:t>
      </w:r>
    </w:p>
    <w:p>
      <w:pPr>
        <w:pStyle w:val="BodyText"/>
      </w:pPr>
      <w:r>
        <w:rPr>
          <w:rFonts w:hint="eastAsia"/>
        </w:rPr>
        <w:t xml:space="preserve">其中，供应中断量</w:t>
      </w:r>
      <w:r>
        <w:t xml:space="preserve"> 1493 </w:t>
      </w:r>
      <w:r>
        <w:rPr>
          <w:rFonts w:hint="eastAsia"/>
        </w:rPr>
        <w:t xml:space="preserve">万桶/日是在赛题给定中断范围内由短期冲突窗口校准得到的中心情景值，不等同于官方观测到的实际中断量。本文将其作为模型参数使用，并在长期乐观、中性、悲观情景以及蒙特卡洛抽样中覆盖</w:t>
      </w:r>
      <w:r>
        <w:t xml:space="preserve"> 1400–1800 </w:t>
      </w:r>
      <w:r>
        <w:rPr>
          <w:rFonts w:hint="eastAsia"/>
        </w:rPr>
        <w:t xml:space="preserve">万桶/日的扰动区间。</w:t>
      </w:r>
    </w:p>
    <w:bookmarkEnd w:id="54"/>
    <w:bookmarkStart w:id="62" w:name="拟合结果"/>
    <w:p>
      <w:pPr>
        <w:pStyle w:val="Heading3"/>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BodyText"/>
      </w:pPr>
      <w:r>
        <w:rPr>
          <w:rFonts w:hint="eastAsia"/>
          <w:b/>
          <w:bCs/>
        </w:rPr>
        <w:t xml:space="preserve">关键结论</w:t>
      </w:r>
      <w:r>
        <w:rPr>
          <w:rFonts w:hint="eastAsia"/>
        </w:rPr>
        <w:t xml:space="preserve">短期模型的核心价值不是声称逐日交易预测，而是在极端冲突窗口内同时解释前期冲击、中期平台和后期再定价，并且优于朴素上一日基准。</w:t>
      </w:r>
    </w:p>
    <w:bookmarkStart w:id="58" w:name="fig:short-term-fit"/>
    <w:p>
      <w:pPr>
        <w:pStyle w:val="CaptionedFigure"/>
      </w:pPr>
      <w:r>
        <w:drawing>
          <wp:inline>
            <wp:extent cx="4907280" cy="2587474"/>
            <wp:effectExtent b="0" l="0" r="0" t="0"/>
            <wp:docPr descr="" title="" id="56" name="Picture"/>
            <a:graphic>
              <a:graphicData uri="http://schemas.openxmlformats.org/drawingml/2006/picture">
                <pic:pic>
                  <pic:nvPicPr>
                    <pic:cNvPr descr="短期模型拟合效果.png" id="57" name="Picture"/>
                    <pic:cNvPicPr>
                      <a:picLocks noChangeArrowheads="1" noChangeAspect="1"/>
                    </pic:cNvPicPr>
                  </pic:nvPicPr>
                  <pic:blipFill>
                    <a:blip r:embed="rId55"/>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短期动态模型拟合效果。模型较好刻画了前期冲击、中期平台和后期再定价，是本文解释</w:t>
      </w:r>
      <w:r>
        <w:t xml:space="preserve"> 110–120 </w:t>
      </w:r>
      <w:r>
        <w:rPr>
          <w:rFonts w:hint="eastAsia"/>
        </w:rPr>
        <w:t xml:space="preserve">美元/桶价格平台的核心证据图。</w:t>
      </w:r>
    </w:p>
    <w:bookmarkEnd w:id="58"/>
    <w:p>
      <w:pPr>
        <w:pStyle w:val="BodyText"/>
      </w:pPr>
      <w:r>
        <w:t xml:space="preserve">l S[table-format=2.0] S[table-format=1.2] S[table-format=1.2] S[table-format=1.2]</w:t>
      </w:r>
      <w:r>
        <w:t xml:space="preserve"> </w:t>
      </w:r>
      <w:r>
        <w:rPr>
          <w:rFonts w:hint="eastAsia"/>
        </w:rPr>
        <w:t xml:space="preserve">分段</w:t>
      </w:r>
      <w:r>
        <w:t xml:space="preserve"> &amp;</w:t>
      </w:r>
      <w:r>
        <w:t xml:space="preserve"> </w:t>
      </w:r>
      <w:r>
        <w:rPr>
          <w:rFonts w:hint="eastAsia"/>
        </w:rPr>
        <w:t xml:space="preserve">样本数</w:t>
      </w:r>
      <w:r>
        <w:t xml:space="preserve"> </w:t>
      </w:r>
      <w:r>
        <w:t xml:space="preserve">&amp;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rPr>
          <w:rFonts w:hint="eastAsia"/>
        </w:rPr>
        <w:t xml:space="preserve">最大绝对误差</w:t>
      </w:r>
      <w:r>
        <w:br/>
      </w:r>
      <w:r>
        <w:rPr>
          <w:rFonts w:hint="eastAsia"/>
        </w:rPr>
        <w:t xml:space="preserve">全窗口</w:t>
      </w:r>
      <w:r>
        <w:t xml:space="preserve"> &amp; 46 &amp; 3.44 &amp; 2.85 &amp; 7.43</w:t>
      </w:r>
      <w:r>
        <w:br/>
      </w:r>
      <w:r>
        <w:rPr>
          <w:rFonts w:hint="eastAsia"/>
        </w:rPr>
        <w:t xml:space="preserve">前期冲击</w:t>
      </w:r>
      <w:r>
        <w:t xml:space="preserve"> &amp; 11 &amp; 3.14 &amp; 2.72 &amp; 5.91</w:t>
      </w:r>
      <w:r>
        <w:br/>
      </w:r>
      <w:r>
        <w:rPr>
          <w:rFonts w:hint="eastAsia"/>
        </w:rPr>
        <w:t xml:space="preserve">中期平台</w:t>
      </w:r>
      <w:r>
        <w:t xml:space="preserve"> &amp; 14 &amp; 4.39 &amp; 3.72 &amp; 7.43</w:t>
      </w:r>
      <w:r>
        <w:br/>
      </w:r>
      <w:r>
        <w:rPr>
          <w:rFonts w:hint="eastAsia"/>
        </w:rPr>
        <w:t xml:space="preserve">后期再定价</w:t>
      </w:r>
      <w:r>
        <w:t xml:space="preserve"> &amp; 21 &amp; 2.81 &amp; 2.35 &amp; 5.24</w:t>
      </w:r>
      <w:r>
        <w:br/>
      </w:r>
      <w:r>
        <w:rPr>
          <w:rFonts w:hint="eastAsia"/>
        </w:rPr>
        <w:t xml:space="preserve">高价平台</w:t>
      </w:r>
      <w:r>
        <w:t xml:space="preserve"> &amp; 4 &amp; 2.83 &amp; 2.34 &amp; 3.91</w:t>
      </w:r>
      <w:r>
        <w:br/>
      </w:r>
      <w:r>
        <w:rPr>
          <w:rFonts w:hint="eastAsia"/>
        </w:rPr>
        <w:t xml:space="preserve">低价回落</w:t>
      </w:r>
      <w:r>
        <w:t xml:space="preserve"> &amp; 21 &amp; 3.38 &amp; 2.94 &amp; 5.91</w:t>
      </w:r>
      <w:r>
        <w:br/>
      </w:r>
    </w:p>
    <w:p>
      <w:pPr>
        <w:pStyle w:val="CaptionedFigure"/>
      </w:pPr>
      <w:r>
        <w:drawing>
          <wp:inline>
            <wp:extent cx="4907280" cy="2765921"/>
            <wp:effectExtent b="0" l="0" r="0" t="0"/>
            <wp:docPr descr="" title="" id="60" name="Picture"/>
            <a:graphic>
              <a:graphicData uri="http://schemas.openxmlformats.org/drawingml/2006/picture">
                <pic:pic>
                  <pic:nvPicPr>
                    <pic:cNvPr descr="短期模型机制贡献.png" id="61" name="Picture"/>
                    <pic:cNvPicPr>
                      <a:picLocks noChangeArrowheads="1" noChangeAspect="1"/>
                    </pic:cNvPicPr>
                  </pic:nvPicPr>
                  <pic:blipFill>
                    <a:blip r:embed="rId59"/>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短期模型机制贡献分解。风险溢价解释价格快速进入高位平台，缓冲确认和预期修复解释后期回落，展示不同机制对价格路径的边际作用。</w:t>
      </w:r>
    </w:p>
    <w:bookmarkEnd w:id="62"/>
    <w:bookmarkEnd w:id="63"/>
    <w:bookmarkStart w:id="74" w:name="基准对比与统计检验"/>
    <w:p>
      <w:pPr>
        <w:pStyle w:val="Heading2"/>
      </w:pPr>
      <w:r>
        <w:rPr>
          <w:rFonts w:hint="eastAsia"/>
        </w:rPr>
        <w:t xml:space="preserve">基准对比与统计检验</w:t>
      </w:r>
    </w:p>
    <w:bookmarkStart w:id="73" w:name="基准对比与滞后检验"/>
    <w:p>
      <w:pPr>
        <w:pStyle w:val="Heading3"/>
      </w:pPr>
      <w:r>
        <w:rPr>
          <w:rFonts w:hint="eastAsia"/>
        </w:rPr>
        <w:t xml:space="preserve">基准对比与滞后检验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218758"/>
            <wp:effectExtent b="0" l="0" r="0" t="0"/>
            <wp:docPr descr="" title="" id="65" name="Picture"/>
            <a:graphic>
              <a:graphicData uri="http://schemas.openxmlformats.org/drawingml/2006/picture">
                <pic:pic>
                  <pic:nvPicPr>
                    <pic:cNvPr descr="评审质疑防御框架图.png" id="66" name="Picture"/>
                    <pic:cNvPicPr>
                      <a:picLocks noChangeArrowheads="1" noChangeAspect="1"/>
                    </pic:cNvPicPr>
                  </pic:nvPicPr>
                  <pic:blipFill>
                    <a:blip r:embed="rId64"/>
                    <a:stretch>
                      <a:fillRect/>
                    </a:stretch>
                  </pic:blipFill>
                  <pic:spPr bwMode="auto">
                    <a:xfrm>
                      <a:off x="0" y="0"/>
                      <a:ext cx="4907280" cy="4218758"/>
                    </a:xfrm>
                    <a:prstGeom prst="rect">
                      <a:avLst/>
                    </a:prstGeom>
                    <a:noFill/>
                    <a:ln w="9525">
                      <a:noFill/>
                      <a:headEnd/>
                      <a:tailEnd/>
                    </a:ln>
                  </pic:spPr>
                </pic:pic>
              </a:graphicData>
            </a:graphic>
          </wp:inline>
        </w:drawing>
      </w:r>
    </w:p>
    <w:p>
      <w:pPr>
        <w:pStyle w:val="ImageCaption"/>
      </w:pPr>
      <w:r>
        <w:rPr>
          <w:rFonts w:hint="eastAsia"/>
        </w:rPr>
        <w:t xml:space="preserve">模型鲁棒性检验框架。每类潜在风险都对应可复现的检验、图表或校验输出。</w:t>
      </w:r>
    </w:p>
    <w:p>
      <w:pPr>
        <w:pStyle w:val="BodyText"/>
      </w:pPr>
      <w:r>
        <w:t xml:space="preserve">l S[table-format=1.2] S[table-format=1.2] S[table-format=1.2] S[table-format=2.1]</w:t>
      </w:r>
      <w:r>
        <w:t xml:space="preserve"> </w:t>
      </w:r>
      <w:r>
        <w:rPr>
          <w:rFonts w:hint="eastAsia"/>
        </w:rPr>
        <w:t xml:space="preserve">模型</w:t>
      </w:r>
      <w:r>
        <w:t xml:space="preserve"> &amp;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t xml:space="preserve">MAPE(%)</w:t>
      </w:r>
      <w:r>
        <w:t xml:space="preserve"> </w:t>
      </w:r>
      <w:r>
        <w:t xml:space="preserve">&amp;</w:t>
      </w:r>
      <w:r>
        <w:t xml:space="preserve"> </w:t>
      </w:r>
      <w:r>
        <w:rPr>
          <w:rFonts w:hint="eastAsia"/>
        </w:rPr>
        <w:t xml:space="preserve">方向命中率(%)</w:t>
      </w:r>
      <w:r>
        <w:br/>
      </w:r>
      <w:r>
        <w:rPr>
          <w:rFonts w:hint="eastAsia"/>
        </w:rPr>
        <w:t xml:space="preserve">本文短期动态模型</w:t>
      </w:r>
      <w:r>
        <w:t xml:space="preserve"> &amp; 3.44 &amp; 2.85 &amp; 2.86 &amp; 64.4</w:t>
      </w:r>
      <w:r>
        <w:br/>
      </w:r>
      <w:r>
        <w:rPr>
          <w:rFonts w:hint="eastAsia"/>
        </w:rPr>
        <w:t xml:space="preserve">朴素上一日基准</w:t>
      </w:r>
      <w:r>
        <w:t xml:space="preserve"> &amp; 4.47 &amp; 3.57 &amp; 3.54 &amp; 46.7</w:t>
      </w:r>
      <w:r>
        <w:br/>
      </w:r>
      <w:r>
        <w:rPr>
          <w:rFonts w:hint="eastAsia"/>
        </w:rPr>
        <w:t xml:space="preserve">三日均值基准</w:t>
      </w:r>
      <w:r>
        <w:t xml:space="preserve"> &amp; 5.18 &amp; 4.16 &amp; 4.15 &amp; 44.4</w:t>
      </w:r>
      <w:r>
        <w:br/>
      </w:r>
      <w:r>
        <w:rPr>
          <w:rFonts w:hint="eastAsia"/>
        </w:rPr>
        <w:t xml:space="preserve">漂移随机游走基准</w:t>
      </w:r>
      <w:r>
        <w:t xml:space="preserve"> &amp; 4.84 &amp; 3.94 &amp; 3.91 &amp; 46.7</w:t>
      </w:r>
      <w:r>
        <w:br/>
      </w:r>
      <w:r>
        <w:rPr>
          <w:rFonts w:hint="eastAsia"/>
        </w:rPr>
        <w:t xml:space="preserve">滚动</w:t>
      </w:r>
      <w:r>
        <w:t xml:space="preserve"> ARIMA(1,1,0) </w:t>
      </w:r>
      <w:r>
        <w:rPr>
          <w:rFonts w:hint="eastAsia"/>
        </w:rPr>
        <w:t xml:space="preserve">基准</w:t>
      </w:r>
      <w:r>
        <w:t xml:space="preserve"> &amp; 4.53 &amp; 3.67 &amp; 3.63 &amp; 46.7</w:t>
      </w:r>
      <w:r>
        <w:br/>
      </w:r>
    </w:p>
    <w:p>
      <w:pPr>
        <w:pStyle w:val="BodyText"/>
      </w:pPr>
      <w:r>
        <w:rPr>
          <w:rFonts w:hint="eastAsia"/>
        </w:rPr>
        <w:t xml:space="preserve">注：RMSE</w:t>
      </w:r>
      <w:r>
        <w:t xml:space="preserve"> </w:t>
      </w:r>
      <w:r>
        <w:rPr>
          <w:rFonts w:hint="eastAsia"/>
        </w:rPr>
        <w:t xml:space="preserve">与</w:t>
      </w:r>
      <w:r>
        <w:t xml:space="preserve"> MAE </w:t>
      </w:r>
      <w:r>
        <w:rPr>
          <w:rFonts w:hint="eastAsia"/>
        </w:rPr>
        <w:t xml:space="preserve">单位为美元/桶；MAPE</w:t>
      </w:r>
      <w:r>
        <w:t xml:space="preserve"> </w:t>
      </w:r>
      <w:r>
        <w:rPr>
          <w:rFonts w:hint="eastAsia"/>
        </w:rPr>
        <w:t xml:space="preserve">与方向命中率以百分比计。数字列采用小数点对齐，便于横向比较。</w:t>
      </w:r>
    </w:p>
    <w:p>
      <w:pPr>
        <w:pStyle w:val="CaptionedFigure"/>
      </w:pPr>
      <w:r>
        <w:drawing>
          <wp:inline>
            <wp:extent cx="4587240" cy="2533904"/>
            <wp:effectExtent b="0" l="0" r="0" t="0"/>
            <wp:docPr descr="" title="" id="68" name="Picture"/>
            <a:graphic>
              <a:graphicData uri="http://schemas.openxmlformats.org/drawingml/2006/picture">
                <pic:pic>
                  <pic:nvPicPr>
                    <pic:cNvPr descr="短期模型基准对比.png" id="69" name="Picture"/>
                    <pic:cNvPicPr>
                      <a:picLocks noChangeArrowheads="1" noChangeAspect="1"/>
                    </pic:cNvPicPr>
                  </pic:nvPicPr>
                  <pic:blipFill>
                    <a:blip r:embed="rId6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图</w:t>
      </w:r>
      <w:r>
        <w:t xml:space="preserve"> </w:t>
      </w:r>
      <w:hyperlink w:anchor="fig:short-term-fit">
        <w:r>
          <w:rPr>
            <w:rStyle w:val="Hyperlink"/>
          </w:rPr>
          <w:t xml:space="preserve">4</w:t>
        </w:r>
      </w:hyperlink>
      <w:r>
        <w:t xml:space="preserve"> </w:t>
      </w:r>
      <w:r>
        <w:rPr>
          <w:rFonts w:hint="eastAsia"/>
        </w:rPr>
        <w:t xml:space="preserve">展示了短期主模型的路径拟合结果。为排除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71" name="Picture"/>
            <a:graphic>
              <a:graphicData uri="http://schemas.openxmlformats.org/drawingml/2006/picture">
                <pic:pic>
                  <pic:nvPicPr>
                    <pic:cNvPr descr="短期模型滞后平移检验.png" id="72" name="Picture"/>
                    <pic:cNvPicPr>
                      <a:picLocks noChangeArrowheads="1" noChangeAspect="1"/>
                    </pic:cNvPicPr>
                  </pic:nvPicPr>
                  <pic:blipFill>
                    <a:blip r:embed="rId7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检验。原始位置误差最低，说明拟合曲线不是简单把昨日真实价格滞后搬到今日。</w:t>
      </w:r>
    </w:p>
    <w:bookmarkEnd w:id="73"/>
    <w:bookmarkEnd w:id="74"/>
    <w:bookmarkStart w:id="94" w:name="模型鲁棒性与稳定性评估"/>
    <w:p>
      <w:pPr>
        <w:pStyle w:val="Heading2"/>
      </w:pPr>
      <w:r>
        <w:rPr>
          <w:rFonts w:hint="eastAsia"/>
        </w:rPr>
        <w:t xml:space="preserve">模型鲁棒性与稳定性评估</w:t>
      </w:r>
    </w:p>
    <w:bookmarkStart w:id="78" w:name="结构稳定性检验"/>
    <w:p>
      <w:pPr>
        <w:pStyle w:val="Heading3"/>
      </w:pPr>
      <w:r>
        <w:rPr>
          <w:rFonts w:hint="eastAsia"/>
        </w:rPr>
        <w:t xml:space="preserve">结构稳定性检验</w:t>
      </w:r>
    </w:p>
    <w:p>
      <w:pPr>
        <w:pStyle w:val="FirstParagraph"/>
      </w:pPr>
      <w:r>
        <w:rPr>
          <w:rFonts w:hint="eastAsia"/>
        </w:rPr>
        <w:t xml:space="preserve">由于冲突窗口只有</w:t>
      </w:r>
      <w:r>
        <w:t xml:space="preserve"> 46 </w:t>
      </w:r>
      <w:r>
        <w:rPr>
          <w:rFonts w:hint="eastAsia"/>
        </w:rPr>
        <w:t xml:space="preserve">个交易日，而校准参数较多，本文进一步进行参数扰动与结构边界检验。结果显示，在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美元/桶区间；递推结构检查也确认模型未将</w:t>
      </w:r>
      <w:r>
        <w:t xml:space="preserve"> 120 </w:t>
      </w:r>
      <w:r>
        <w:rPr>
          <w:rFonts w:hint="eastAsia"/>
        </w:rPr>
        <w:t xml:space="preserve">美元作为外生价格上限。本文因此将模型定位为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76" name="Picture"/>
            <a:graphic>
              <a:graphicData uri="http://schemas.openxmlformats.org/drawingml/2006/picture">
                <pic:pic>
                  <pic:nvPicPr>
                    <pic:cNvPr descr="短期模型过拟合压力测试.png" id="77" name="Picture"/>
                    <pic:cNvPicPr>
                      <a:picLocks noChangeArrowheads="1" noChangeAspect="1"/>
                    </pic:cNvPicPr>
                  </pic:nvPicPr>
                  <pic:blipFill>
                    <a:blip r:embed="rId75"/>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短期模型参数扰动检验。多数扰动样本仍保持在合理价格平台附近，说明</w:t>
      </w:r>
      <w:r>
        <w:t xml:space="preserve"> 110–120 </w:t>
      </w:r>
      <w:r>
        <w:rPr>
          <w:rFonts w:hint="eastAsia"/>
        </w:rPr>
        <w:t xml:space="preserve">美元/桶平台不依赖唯一参数点。</w:t>
      </w:r>
    </w:p>
    <w:bookmarkEnd w:id="78"/>
    <w:bookmarkStart w:id="82" w:name="分段误差与残差诊断"/>
    <w:p>
      <w:pPr>
        <w:pStyle w:val="Heading3"/>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80" name="Picture"/>
            <a:graphic>
              <a:graphicData uri="http://schemas.openxmlformats.org/drawingml/2006/picture">
                <pic:pic>
                  <pic:nvPicPr>
                    <pic:cNvPr descr="短期模型残差诊断增强.png" id="81" name="Picture"/>
                    <pic:cNvPicPr>
                      <a:picLocks noChangeArrowheads="1" noChangeAspect="1"/>
                    </pic:cNvPicPr>
                  </pic:nvPicPr>
                  <pic:blipFill>
                    <a:blip r:embed="rId79"/>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82"/>
    <w:bookmarkStart w:id="86" w:name="时间轴语义与删块稳健性复核"/>
    <w:p>
      <w:pPr>
        <w:pStyle w:val="Heading3"/>
      </w:pPr>
      <w:r>
        <w:rPr>
          <w:rFonts w:hint="eastAsia"/>
        </w:rPr>
        <w:t xml:space="preserve">时间轴语义与删块稳健性复核</w:t>
      </w:r>
    </w:p>
    <w:p>
      <w:pPr>
        <w:pStyle w:val="FirstParagraph"/>
      </w:pPr>
      <w:r>
        <w:rPr>
          <w:rFonts w:hint="eastAsia"/>
        </w:rPr>
        <w:t xml:space="preserve">短期递推中的</w:t>
      </w:r>
      <w:r>
        <w:t xml:space="preserve"> SPR </w:t>
      </w:r>
      <w:r>
        <w:rPr>
          <w:rFonts w:hint="eastAsia"/>
        </w:rPr>
        <w:t xml:space="preserve">释放、绕道恢复、需求收缩和恐慌衰减都依赖时间变量。若将每一行交易日都视为等间隔一步，可能低估周末和节假日期间政策与运输机制的实际推进；若采用日历日差，则相邻交易行在周末后会出现</w:t>
      </w:r>
      <w:r>
        <w:t xml:space="preserve"> 3 </w:t>
      </w:r>
      <w:r>
        <w:rPr>
          <w:rFonts w:hint="eastAsia"/>
        </w:rPr>
        <w:t xml:space="preserve">天跳变。为避免时间轴选择成为隐藏建模假设，本文在不重新调参的条件下，对同一组最优参数分别采用日历日口径和交易日序号口径进行复算。</w:t>
      </w:r>
    </w:p>
    <w:p>
      <w:pPr>
        <w:pStyle w:val="TableCaption"/>
      </w:pPr>
      <w:r>
        <w:rPr>
          <w:rFonts w:hint="eastAsia"/>
        </w:rPr>
        <w:t xml:space="preserve">短期模型时间轴口径对比</w:t>
      </w:r>
    </w:p>
    <w:tbl>
      <w:tblPr>
        <w:tblStyle w:val="Table"/>
        <w:tblW w:type="auto" w:w="0"/>
        <w:tblLook w:firstRow="1" w:lastRow="0" w:firstColumn="0" w:lastColumn="0" w:noHBand="0" w:noVBand="0" w:val="0020"/>
        <w:tblCaption w:val="短期模型时间轴口径对比"/>
      </w:tblPr>
      <w:tblGrid>
        <w:gridCol w:w="1584"/>
        <w:gridCol w:w="1584"/>
        <w:gridCol w:w="1584"/>
        <w:gridCol w:w="1584"/>
        <w:gridCol w:w="1584"/>
      </w:tblGrid>
      <w:tr>
        <w:trPr>
          <w:tblHeader w:val="on"/>
        </w:trPr>
        <w:tc>
          <w:tcPr/>
          <w:p>
            <w:pPr>
              <w:pStyle w:val="Compact"/>
              <w:jc w:val="left"/>
            </w:pPr>
            <w:r>
              <w:rPr>
                <w:rFonts w:hint="eastAsia"/>
              </w:rPr>
              <w:t xml:space="preserve">时间轴口径</w:t>
            </w:r>
          </w:p>
        </w:tc>
        <w:tc>
          <w:tcPr/>
          <w:p>
            <w:pPr>
              <w:pStyle w:val="Compact"/>
              <w:jc w:val="right"/>
            </w:pPr>
            <w:r>
              <w:rPr>
                <w:rFonts w:hint="eastAsia"/>
              </w:rPr>
              <w:t xml:space="preserve">最大时间索引</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综合得分</w:t>
            </w:r>
          </w:p>
        </w:tc>
      </w:tr>
      <w:tr>
        <w:tc>
          <w:tcPr/>
          <w:p>
            <w:pPr>
              <w:pStyle w:val="Compact"/>
              <w:jc w:val="left"/>
            </w:pPr>
            <w:r>
              <w:rPr>
                <w:rFonts w:hint="eastAsia"/>
              </w:rPr>
              <w:t xml:space="preserve">日历日口径</w:t>
            </w:r>
          </w:p>
        </w:tc>
        <w:tc>
          <w:tcPr/>
          <w:p>
            <w:pPr>
              <w:pStyle w:val="Compact"/>
              <w:jc w:val="right"/>
            </w:pPr>
            <w:r>
              <w:t xml:space="preserve">64</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6.638</w:t>
            </w:r>
          </w:p>
        </w:tc>
      </w:tr>
      <w:tr>
        <w:tc>
          <w:tcPr/>
          <w:p>
            <w:pPr>
              <w:pStyle w:val="Compact"/>
              <w:jc w:val="left"/>
            </w:pPr>
            <w:r>
              <w:rPr>
                <w:rFonts w:hint="eastAsia"/>
              </w:rPr>
              <w:t xml:space="preserve">交易日序号口径</w:t>
            </w:r>
          </w:p>
        </w:tc>
        <w:tc>
          <w:tcPr/>
          <w:p>
            <w:pPr>
              <w:pStyle w:val="Compact"/>
              <w:jc w:val="right"/>
            </w:pPr>
            <w:r>
              <w:t xml:space="preserve">45</w:t>
            </w:r>
          </w:p>
        </w:tc>
        <w:tc>
          <w:tcPr/>
          <w:p>
            <w:pPr>
              <w:pStyle w:val="Compact"/>
              <w:jc w:val="right"/>
            </w:pPr>
            <w:r>
              <w:t xml:space="preserve">7.075</w:t>
            </w:r>
          </w:p>
        </w:tc>
        <w:tc>
          <w:tcPr/>
          <w:p>
            <w:pPr>
              <w:pStyle w:val="Compact"/>
              <w:jc w:val="right"/>
            </w:pPr>
            <w:r>
              <w:t xml:space="preserve">5.631</w:t>
            </w:r>
          </w:p>
        </w:tc>
        <w:tc>
          <w:tcPr/>
          <w:p>
            <w:pPr>
              <w:pStyle w:val="Compact"/>
              <w:jc w:val="right"/>
            </w:pPr>
            <w:r>
              <w:t xml:space="preserve">19.365</w:t>
            </w:r>
          </w:p>
        </w:tc>
      </w:tr>
    </w:tbl>
    <w:p>
      <w:pPr>
        <w:pStyle w:val="BodyText"/>
      </w:pPr>
      <w:r>
        <w:rPr>
          <w:rFonts w:hint="eastAsia"/>
        </w:rPr>
        <w:t xml:space="preserve">结果显示，交易日序号口径在同参条件下明显恶化，尤其高价平台</w:t>
      </w:r>
      <w:r>
        <w:t xml:space="preserve"> RMSE </w:t>
      </w:r>
      <w:r>
        <w:rPr>
          <w:rFonts w:hint="eastAsia"/>
        </w:rPr>
        <w:t xml:space="preserve">升至</w:t>
      </w:r>
      <w:r>
        <w:t xml:space="preserve"> 15.22 </w:t>
      </w:r>
      <w:r>
        <w:rPr>
          <w:rFonts w:hint="eastAsia"/>
        </w:rPr>
        <w:t xml:space="preserve">美元/桶。因此，当前主模型保留日历日口径是合理的：封锁冲击、政策释放和运输恢复并不会在周末停止，按真实经过时间推进更符合机制解释题的语义。</w:t>
      </w:r>
    </w:p>
    <w:p>
      <w:pPr>
        <w:pStyle w:val="BodyText"/>
      </w:pPr>
      <w:r>
        <w:rPr>
          <w:rFonts w:hint="eastAsia"/>
        </w:rPr>
        <w:t xml:space="preserve">进一步地，本文将</w:t>
      </w:r>
      <w:r>
        <w:t xml:space="preserve"> 46 </w:t>
      </w:r>
      <w:r>
        <w:rPr>
          <w:rFonts w:hint="eastAsia"/>
        </w:rPr>
        <w:t xml:space="preserve">个交易日按时间顺序切分为</w:t>
      </w:r>
      <w:r>
        <w:t xml:space="preserve"> 5 </w:t>
      </w:r>
      <w:r>
        <w:rPr>
          <w:rFonts w:hint="eastAsia"/>
        </w:rPr>
        <w:t xml:space="preserve">个连续块，使用同一组参数检查各块误差。被删除块</w:t>
      </w:r>
      <w:r>
        <w:t xml:space="preserve"> RMSE </w:t>
      </w:r>
      <w:r>
        <w:rPr>
          <w:rFonts w:hint="eastAsia"/>
        </w:rPr>
        <w:t xml:space="preserve">分别为</w:t>
      </w:r>
      <w:r>
        <w:t xml:space="preserve"> 3.27、3.58、4.60、2.55 </w:t>
      </w:r>
      <w:r>
        <w:rPr>
          <w:rFonts w:hint="eastAsia"/>
        </w:rPr>
        <w:t xml:space="preserve">和</w:t>
      </w:r>
      <w:r>
        <w:t xml:space="preserve"> 2.84 </w:t>
      </w:r>
      <w:r>
        <w:rPr>
          <w:rFonts w:hint="eastAsia"/>
        </w:rPr>
        <w:t xml:space="preserve">美元/桶，标准差为</w:t>
      </w:r>
      <w:r>
        <w:t xml:space="preserve"> </w:t>
      </w:r>
      <w:r>
        <w:rPr>
          <w:rFonts w:hint="eastAsia"/>
        </w:rPr>
        <w:t xml:space="preserve">0.71。最难片段为</w:t>
      </w:r>
      <w:r>
        <w:t xml:space="preserve"> 2026 </w:t>
      </w:r>
      <w:r>
        <w:rPr>
          <w:rFonts w:hint="eastAsia"/>
        </w:rPr>
        <w:t xml:space="preserve">年</w:t>
      </w:r>
      <w:r>
        <w:t xml:space="preserve"> 3 </w:t>
      </w:r>
      <w:r>
        <w:rPr>
          <w:rFonts w:hint="eastAsia"/>
        </w:rPr>
        <w:t xml:space="preserve">月</w:t>
      </w:r>
      <w:r>
        <w:t xml:space="preserve"> 27 </w:t>
      </w:r>
      <w:r>
        <w:rPr>
          <w:rFonts w:hint="eastAsia"/>
        </w:rPr>
        <w:t xml:space="preserve">日至</w:t>
      </w:r>
      <w:r>
        <w:t xml:space="preserve"> 4 </w:t>
      </w:r>
      <w:r>
        <w:rPr>
          <w:rFonts w:hint="eastAsia"/>
        </w:rPr>
        <w:t xml:space="preserve">月</w:t>
      </w:r>
      <w:r>
        <w:t xml:space="preserve"> 9 </w:t>
      </w:r>
      <w:r>
        <w:rPr>
          <w:rFonts w:hint="eastAsia"/>
        </w:rPr>
        <w:t xml:space="preserve">日，RMSE</w:t>
      </w:r>
      <w:r>
        <w:t xml:space="preserve"> </w:t>
      </w:r>
      <w:r>
        <w:rPr>
          <w:rFonts w:hint="eastAsia"/>
        </w:rPr>
        <w:t xml:space="preserve">为</w:t>
      </w:r>
      <w:r>
        <w:t xml:space="preserve"> 4.60 </w:t>
      </w:r>
      <w:r>
        <w:rPr>
          <w:rFonts w:hint="eastAsia"/>
        </w:rPr>
        <w:t xml:space="preserve">美元/桶，说明模型的主要残余误差集中在中期平台再定价阶段，而不是平均分布在所有时期。</w:t>
      </w:r>
    </w:p>
    <w:p>
      <w:pPr>
        <w:pStyle w:val="CaptionedFigure"/>
      </w:pPr>
      <w:r>
        <w:drawing>
          <wp:inline>
            <wp:extent cx="4907280" cy="1890211"/>
            <wp:effectExtent b="0" l="0" r="0" t="0"/>
            <wp:docPr descr="" title="" id="84" name="Picture"/>
            <a:graphic>
              <a:graphicData uri="http://schemas.openxmlformats.org/drawingml/2006/picture">
                <pic:pic>
                  <pic:nvPicPr>
                    <pic:cNvPr descr="短期模型时间轴与删块稳健性.png" id="85" name="Picture"/>
                    <pic:cNvPicPr>
                      <a:picLocks noChangeArrowheads="1" noChangeAspect="1"/>
                    </pic:cNvPicPr>
                  </pic:nvPicPr>
                  <pic:blipFill>
                    <a:blip r:embed="rId83"/>
                    <a:stretch>
                      <a:fillRect/>
                    </a:stretch>
                  </pic:blipFill>
                  <pic:spPr bwMode="auto">
                    <a:xfrm>
                      <a:off x="0" y="0"/>
                      <a:ext cx="4907280" cy="1890211"/>
                    </a:xfrm>
                    <a:prstGeom prst="rect">
                      <a:avLst/>
                    </a:prstGeom>
                    <a:noFill/>
                    <a:ln w="9525">
                      <a:noFill/>
                      <a:headEnd/>
                      <a:tailEnd/>
                    </a:ln>
                  </pic:spPr>
                </pic:pic>
              </a:graphicData>
            </a:graphic>
          </wp:inline>
        </w:drawing>
      </w:r>
    </w:p>
    <w:p>
      <w:pPr>
        <w:pStyle w:val="ImageCaption"/>
      </w:pPr>
      <w:r>
        <w:rPr>
          <w:rFonts w:hint="eastAsia"/>
        </w:rPr>
        <w:t xml:space="preserve">短期模型时间轴与删块稳健性复核。左图比较日历日和交易日序号两种时间轴口径；右图展示同参删块后各片段误差。</w:t>
      </w:r>
    </w:p>
    <w:bookmarkEnd w:id="86"/>
    <w:bookmarkStart w:id="93" w:name="统计检验与-r-语言辅助定位"/>
    <w:p>
      <w:pPr>
        <w:pStyle w:val="Heading3"/>
      </w:pPr>
      <w:r>
        <w:rPr>
          <w:rFonts w:hint="eastAsia"/>
        </w:rPr>
        <w:t xml:space="preserve">统计检验与</w:t>
      </w:r>
      <w:r>
        <w:t xml:space="preserve"> R </w:t>
      </w:r>
      <w:r>
        <w:rPr>
          <w:rFonts w:hint="eastAsia"/>
        </w:rPr>
        <w:t xml:space="preserve">语言辅助定位</w:t>
      </w:r>
    </w:p>
    <w:p>
      <w:pPr>
        <w:pStyle w:val="FirstParagraph"/>
      </w:pPr>
      <w:r>
        <w:rPr>
          <w:rFonts w:hint="eastAsia"/>
        </w:rPr>
        <w:t xml:space="preserve">为进一步提高模型检验的严谨性，本文新增统计检验。该检验不改变短期主模型，只在剔除首日后构造可比较样本，将综合机制递推模型与朴素上一日基准进行误差和统计比较。之所以剔除首日，是因为朴素上一日基准需要上一交易日真实价格作为输入，首日没有可比预测值。因此，本节统计检验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短期模型统计检验结果</w:t>
      </w:r>
    </w:p>
    <w:tbl>
      <w:tblPr>
        <w:tblStyle w:val="Table"/>
        <w:tblW w:type="auto" w:w="0"/>
        <w:tblLook w:firstRow="1" w:lastRow="0" w:firstColumn="0" w:lastColumn="0" w:noHBand="0" w:noVBand="0" w:val="0020"/>
        <w:tblCaption w:val="短期模型统计检验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显著性边界，不作强显著性夸大</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校准诊断</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仅作拟合值与真实价格的刻画性校准诊断，不作为独立因果或样本外证明</w:t>
            </w:r>
          </w:p>
        </w:tc>
      </w:tr>
    </w:tbl>
    <w:p>
      <w:pPr>
        <w:pStyle w:val="CaptionedFigure"/>
      </w:pPr>
      <w:r>
        <w:drawing>
          <wp:inline>
            <wp:extent cx="4907280" cy="2826593"/>
            <wp:effectExtent b="0" l="0" r="0" t="0"/>
            <wp:docPr descr="" title="" id="88" name="Picture"/>
            <a:graphic>
              <a:graphicData uri="http://schemas.openxmlformats.org/drawingml/2006/picture">
                <pic:pic>
                  <pic:nvPicPr>
                    <pic:cNvPr descr="短期模型统计审计.png" id="89" name="Picture"/>
                    <pic:cNvPicPr>
                      <a:picLocks noChangeArrowheads="1" noChangeAspect="1"/>
                    </pic:cNvPicPr>
                  </pic:nvPicPr>
                  <pic:blipFill>
                    <a:blip r:embed="rId87"/>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短期模型统计检验。图中展示残差序列、残差自相关、残差分布和相对朴素基准的平方损失差。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个可比较交易日，绝对损失</w:t>
      </w:r>
      <w:r>
        <w:t xml:space="preserve"> DM </w:t>
      </w:r>
      <w:r>
        <w:rPr>
          <w:rFonts w:hint="eastAsia"/>
        </w:rPr>
        <w:t xml:space="preserve">检验也接近显著性边界，因此本文不把它写成压倒性证明，而是作为基准对比、滞后检验和机制消融之外的补充验证。Newey–West</w:t>
      </w:r>
      <w:r>
        <w:t xml:space="preserve"> </w:t>
      </w:r>
      <w:r>
        <w:rPr>
          <w:rFonts w:hint="eastAsia"/>
        </w:rPr>
        <w:t xml:space="preserve">回归仅用于刻画拟合路径与真实价格的线性一致性，不被用作独立样本外预测能力或因果识别证明。</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复核显示，价格水平和对数价格不能拒绝单位根假设，而对数收益率可拒绝单位根假设；GARCH(1,1)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91" name="Picture"/>
            <a:graphic>
              <a:graphicData uri="http://schemas.openxmlformats.org/drawingml/2006/picture">
                <pic:pic>
                  <pic:nvPicPr>
                    <pic:cNvPr descr="R短期误差学术诊断.png" id="92" name="Picture"/>
                    <pic:cNvPicPr>
                      <a:picLocks noChangeArrowheads="1" noChangeAspect="1"/>
                    </pic:cNvPicPr>
                  </pic:nvPicPr>
                  <pic:blipFill>
                    <a:blip r:embed="rId90"/>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93"/>
    <w:bookmarkEnd w:id="94"/>
    <w:bookmarkStart w:id="112" w:name="机制消融事件边界与机器学习辅助"/>
    <w:p>
      <w:pPr>
        <w:pStyle w:val="Heading2"/>
      </w:pPr>
      <w:r>
        <w:rPr>
          <w:rFonts w:hint="eastAsia"/>
        </w:rPr>
        <w:t xml:space="preserve">机制消融、事件边界与机器学习辅助</w:t>
      </w:r>
    </w:p>
    <w:bookmarkStart w:id="95" w:name="机制消融的定量证据"/>
    <w:p>
      <w:pPr>
        <w:pStyle w:val="Heading3"/>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95"/>
    <w:bookmarkStart w:id="96" w:name="机器学习辅助边界"/>
    <w:p>
      <w:pPr>
        <w:pStyle w:val="Heading3"/>
      </w:pPr>
      <w:r>
        <w:rPr>
          <w:rFonts w:hint="eastAsia"/>
        </w:rPr>
        <w:t xml:space="preserve">机器学习辅助边界</w:t>
      </w:r>
    </w:p>
    <w:p>
      <w:pPr>
        <w:pStyle w:val="FirstParagraph"/>
      </w:pPr>
      <w:r>
        <w:rPr>
          <w:rFonts w:hint="eastAsia"/>
        </w:rPr>
        <w:t xml:space="preserve">为检验历史价格特征是否还能进一步修正短期误差，本文使用冲突前历史滞后价格特征训练低自由度</w:t>
      </w:r>
      <w:r>
        <w:t xml:space="preserve"> Ridge </w:t>
      </w:r>
      <w:r>
        <w:rPr>
          <w:rFonts w:hint="eastAsia"/>
        </w:rPr>
        <w:t xml:space="preserve">收益率模型，并只将其作为机制路径的一日收益率辅助修正。结果显示，机制主模型</w:t>
      </w:r>
      <w:r>
        <w:t xml:space="preserve"> RMSE </w:t>
      </w:r>
      <w:r>
        <w:rPr>
          <w:rFonts w:hint="eastAsia"/>
        </w:rPr>
        <w:t xml:space="preserve">为</w:t>
      </w:r>
      <w:r>
        <w:t xml:space="preserve"> </w:t>
      </w:r>
      <w:r>
        <w:rPr>
          <w:rFonts w:hint="eastAsia"/>
        </w:rPr>
        <w:t xml:space="preserve">3.440，机制+Ridge</w:t>
      </w:r>
      <w:r>
        <w:t xml:space="preserve"> </w:t>
      </w:r>
      <w:r>
        <w:rPr>
          <w:rFonts w:hint="eastAsia"/>
        </w:rPr>
        <w:t xml:space="preserve">收益率修正后</w:t>
      </w:r>
      <w:r>
        <w:t xml:space="preserve"> RMSE </w:t>
      </w:r>
      <w:r>
        <w:rPr>
          <w:rFonts w:hint="eastAsia"/>
        </w:rPr>
        <w:t xml:space="preserve">降至</w:t>
      </w:r>
      <w:r>
        <w:t xml:space="preserve"> </w:t>
      </w:r>
      <w:r>
        <w:rPr>
          <w:rFonts w:hint="eastAsia"/>
        </w:rPr>
        <w:t xml:space="preserve">3.355，方向命中率升至</w:t>
      </w:r>
      <w:r>
        <w:t xml:space="preserve"> </w:t>
      </w:r>
      <w:r>
        <w:rPr>
          <w:rFonts w:hint="eastAsia"/>
        </w:rPr>
        <w:t xml:space="preserve">68.9%；但纯历史</w:t>
      </w:r>
      <w:r>
        <w:t xml:space="preserve"> Ridge </w:t>
      </w:r>
      <w:r>
        <w:rPr>
          <w:rFonts w:hint="eastAsia"/>
        </w:rPr>
        <w:t xml:space="preserve">模型</w:t>
      </w:r>
      <w:r>
        <w:t xml:space="preserve"> RMSE </w:t>
      </w:r>
      <w:r>
        <w:rPr>
          <w:rFonts w:hint="eastAsia"/>
        </w:rPr>
        <w:t xml:space="preserve">为</w:t>
      </w:r>
      <w:r>
        <w:t xml:space="preserve"> </w:t>
      </w:r>
      <w:r>
        <w:rPr>
          <w:rFonts w:hint="eastAsia"/>
        </w:rPr>
        <w:t xml:space="preserve">4.557，且历史</w:t>
      </w:r>
      <w:r>
        <w:t xml:space="preserve"> 46 </w:t>
      </w:r>
      <w:r>
        <w:rPr>
          <w:rFonts w:hint="eastAsia"/>
        </w:rPr>
        <w:t xml:space="preserve">日滚动验证中只有</w:t>
      </w:r>
      <w:r>
        <w:t xml:space="preserve"> 44.0% </w:t>
      </w:r>
      <w:r>
        <w:rPr>
          <w:rFonts w:hint="eastAsia"/>
        </w:rPr>
        <w:t xml:space="preserve">的窗口稳定优于朴素基准。因此，机器学习层的正确角色是修正短期收益惯性，而不是替代霍尔木兹封锁机制本身。完整在线残差校正表和辅助图随项目输出保留，正文仅保留这一结论。</w:t>
      </w:r>
    </w:p>
    <w:bookmarkEnd w:id="96"/>
    <w:bookmarkStart w:id="100" w:name="拐点预测步长与事件边界"/>
    <w:p>
      <w:pPr>
        <w:pStyle w:val="Heading3"/>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98" name="Picture"/>
            <a:graphic>
              <a:graphicData uri="http://schemas.openxmlformats.org/drawingml/2006/picture">
                <pic:pic>
                  <pic:nvPicPr>
                    <pic:cNvPr descr="短期模型拐点局部检验.png" id="99" name="Picture"/>
                    <pic:cNvPicPr>
                      <a:picLocks noChangeArrowheads="1" noChangeAspect="1"/>
                    </pic:cNvPicPr>
                  </pic:nvPicPr>
                  <pic:blipFill>
                    <a:blip r:embed="rId97"/>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从侧面印证了本模型高度特化于霍尔木兹封锁事件下的系统机制解释，具有清晰的场景适用边界。论文结论应限定在极端地缘冲突下的条件路径解释与情景预测，不能外推为普通时期的通用短线预测模型。</w:t>
      </w:r>
    </w:p>
    <w:bookmarkEnd w:id="100"/>
    <w:bookmarkStart w:id="108" w:name="参数自由度与稳健性区间"/>
    <w:p>
      <w:pPr>
        <w:pStyle w:val="Heading3"/>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美元/桶区间。这个结果意味着，价格平台并不依赖唯一一组精确参数点；但较大扰动会削弱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102" name="Picture"/>
            <a:graphic>
              <a:graphicData uri="http://schemas.openxmlformats.org/drawingml/2006/picture">
                <pic:pic>
                  <pic:nvPicPr>
                    <pic:cNvPr descr="短期模型稳健性带.png" id="103" name="Picture"/>
                    <pic:cNvPicPr>
                      <a:picLocks noChangeArrowheads="1" noChangeAspect="1"/>
                    </pic:cNvPicPr>
                  </pic:nvPicPr>
                  <pic:blipFill>
                    <a:blip r:embed="rId101"/>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p>
      <w:pPr>
        <w:pStyle w:val="BodyText"/>
      </w:pPr>
      <w:r>
        <w:rPr>
          <w:rFonts w:hint="eastAsia"/>
        </w:rPr>
        <w:t xml:space="preserve">最后，本文将短期模型质量拆成拟合精度、基准优势、机器学习辅助、历史滚动验证、滞后复制风险、拐点解释、分段稳定性、参数稳健性和残差结构九个维度，形成最终质量闸门，汇总结果见图</w:t>
      </w:r>
      <w:r>
        <w:t xml:space="preserve"> </w:t>
      </w:r>
      <w:hyperlink w:anchor="fig:short-quality-gate">
        <w:r>
          <w:rPr>
            <w:rStyle w:val="Hyperlink"/>
          </w:rPr>
          <w:t xml:space="preserve">5</w:t>
        </w:r>
      </w:hyperlink>
      <w:r>
        <w:rPr>
          <w:rFonts w:hint="eastAsia"/>
        </w:rPr>
        <w:t xml:space="preserve">。当前平均评分为</w:t>
      </w:r>
      <w:r>
        <w:t xml:space="preserve"> </w:t>
      </w:r>
      <w:r>
        <w:rPr>
          <w:rFonts w:hint="eastAsia"/>
        </w:rPr>
        <w:t xml:space="preserve">4.54/5，其中</w:t>
      </w:r>
      <w:r>
        <w:t xml:space="preserve"> 5 </w:t>
      </w:r>
      <w:r>
        <w:rPr>
          <w:rFonts w:hint="eastAsia"/>
        </w:rPr>
        <w:t xml:space="preserve">个维度直接通过、4</w:t>
      </w:r>
      <w:r>
        <w:t xml:space="preserve"> </w:t>
      </w:r>
      <w:r>
        <w:rPr>
          <w:rFonts w:hint="eastAsia"/>
        </w:rPr>
        <w:t xml:space="preserve">个维度谨慎通过。谨慎通过项主要对应机器学习辅助的边界、拐点幅度不能完全捕捉以及金融残差的波动聚集迹象；这些并不推翻主模型，而是限定了论文表述边界。</w:t>
      </w:r>
    </w:p>
    <w:bookmarkStart w:id="107" w:name="fig:short-quality-gate"/>
    <w:p>
      <w:pPr>
        <w:pStyle w:val="CaptionedFigure"/>
      </w:pPr>
      <w:r>
        <w:drawing>
          <wp:inline>
            <wp:extent cx="4160520" cy="3874484"/>
            <wp:effectExtent b="0" l="0" r="0" t="0"/>
            <wp:docPr descr="" title="" id="105" name="Picture"/>
            <a:graphic>
              <a:graphicData uri="http://schemas.openxmlformats.org/drawingml/2006/picture">
                <pic:pic>
                  <pic:nvPicPr>
                    <pic:cNvPr descr="短期模型最终质量雷达图.png" id="106" name="Picture"/>
                    <pic:cNvPicPr>
                      <a:picLocks noChangeArrowheads="1" noChangeAspect="1"/>
                    </pic:cNvPicPr>
                  </pic:nvPicPr>
                  <pic:blipFill>
                    <a:blip r:embed="rId104"/>
                    <a:stretch>
                      <a:fillRect/>
                    </a:stretch>
                  </pic:blipFill>
                  <pic:spPr bwMode="auto">
                    <a:xfrm>
                      <a:off x="0" y="0"/>
                      <a:ext cx="4160520" cy="3874484"/>
                    </a:xfrm>
                    <a:prstGeom prst="rect">
                      <a:avLst/>
                    </a:prstGeom>
                    <a:noFill/>
                    <a:ln w="9525">
                      <a:noFill/>
                      <a:headEnd/>
                      <a:tailEnd/>
                    </a:ln>
                  </pic:spPr>
                </pic:pic>
              </a:graphicData>
            </a:graphic>
          </wp:inline>
        </w:drawing>
      </w:r>
    </w:p>
    <w:p>
      <w:pPr>
        <w:pStyle w:val="ImageCaption"/>
      </w:pPr>
      <w:r>
        <w:rPr>
          <w:rFonts w:hint="eastAsia"/>
        </w:rPr>
        <w:t xml:space="preserve">短期模型最终质量闸门评分。该图用于汇总短期模型在拟合、基准、稳健性和边界检验上的综合表现。</w:t>
      </w:r>
    </w:p>
    <w:bookmarkEnd w:id="107"/>
    <w:bookmarkEnd w:id="108"/>
    <w:bookmarkStart w:id="109" w:name="内生性反事实基准与结构边界"/>
    <w:p>
      <w:pPr>
        <w:pStyle w:val="Heading3"/>
      </w:pPr>
      <w:r>
        <w:rPr>
          <w:rFonts w:hint="eastAsia"/>
        </w:rPr>
        <w:t xml:space="preserve">内生性、反事实基准与结构边界</w:t>
      </w:r>
    </w:p>
    <w:p>
      <w:pPr>
        <w:pStyle w:val="FirstParagraph"/>
      </w:pPr>
      <w:r>
        <w:rPr>
          <w:rFonts w:hint="eastAsia"/>
        </w:rPr>
        <w:t xml:space="preserve">关于恐慌变量的内生性问题，本文当前未使用</w:t>
      </w:r>
      <w:r>
        <w:t xml:space="preserve"> AI Agent </w:t>
      </w:r>
      <w:r>
        <w:rPr>
          <w:rFonts w:hint="eastAsia"/>
        </w:rPr>
        <w:t xml:space="preserve">新闻爬虫数据，也未把新闻情绪序列作为模型输入。模型中的恐慌初始强度和恐慌衰减速度用于刻画冲突初期风险溢价衰减，而不是由新闻文本统计得到的外生恐慌指数。若后续加入新闻情绪模块，应使用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w:t>
      </w:r>
    </w:p>
    <w:p>
      <w:pPr>
        <w:pStyle w:val="BodyText"/>
      </w:pPr>
      <w:r>
        <w:rPr>
          <w:rFonts w:hint="eastAsia"/>
        </w:rPr>
        <w:t xml:space="preserve">关于</w:t>
      </w:r>
      <w:r>
        <w:t xml:space="preserve"> 200 </w:t>
      </w:r>
      <w:r>
        <w:rPr>
          <w:rFonts w:hint="eastAsia"/>
        </w:rPr>
        <w:t xml:space="preserve">美元以上反事实基准，传统供需模型的高价结果来自低短期弹性条件下的线性需求反事实基准，而不是现实预测；常弹性需求口径只作为机械上界参照。弹性敏感性检验显示，当需求价格弹性由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美元/桶。因此，本文要论证的是：低短期弹性静态供需模型会显著高估现实价格，需要引入库存、SPR、绕道、需求收缩、价格传导折价和预期修复等动态机制解释现实平台。</w:t>
      </w:r>
    </w:p>
    <w:p>
      <w:pPr>
        <w:pStyle w:val="BodyText"/>
      </w:pPr>
      <w:r>
        <w:rPr>
          <w:rFonts w:hint="eastAsia"/>
        </w:rPr>
        <w:t xml:space="preserve">最后，本文检查递推结构的价格边界。短期动态递推函数没有设置</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美元只作为题面观测参考区间出现在图表阴影和展示配置中，不参与价格递推计算。当前模型更准确的表述是机制递推模型：它可以说明</w:t>
      </w:r>
      <w:r>
        <w:t xml:space="preserve"> 120 </w:t>
      </w:r>
      <w:r>
        <w:rPr>
          <w:rFonts w:hint="eastAsia"/>
        </w:rPr>
        <w:t xml:space="preserve">美元平台不是外生价格上限，但不声称已经实现了多智能体动态纳什均衡。</w:t>
      </w:r>
    </w:p>
    <w:bookmarkEnd w:id="109"/>
    <w:bookmarkStart w:id="111" w:name="鲁棒性与边界检验总览"/>
    <w:p>
      <w:pPr>
        <w:pStyle w:val="Heading3"/>
      </w:pPr>
      <w:r>
        <w:rPr>
          <w:rFonts w:hint="eastAsia"/>
        </w:rPr>
        <w:t xml:space="preserve">鲁棒性与边界检验总览</w:t>
      </w:r>
    </w:p>
    <w:p>
      <w:pPr>
        <w:pStyle w:val="FirstParagraph"/>
      </w:pPr>
      <w:r>
        <w:rPr>
          <w:rFonts w:hint="eastAsia"/>
        </w:rPr>
        <w:t xml:space="preserve">本文将关键不确定性来源转化为鲁棒性与边界检验。表</w:t>
      </w:r>
      <w:r>
        <w:t xml:space="preserve"> </w:t>
      </w:r>
      <w:hyperlink w:anchor="tab:adversarial-tests">
        <w:r>
          <w:rPr>
            <w:rStyle w:val="Hyperlink"/>
          </w:rPr>
          <w:t xml:space="preserve">4</w:t>
        </w:r>
      </w:hyperlink>
      <w:r>
        <w:t xml:space="preserve"> </w:t>
      </w:r>
      <w:r>
        <w:rPr>
          <w:rFonts w:hint="eastAsia"/>
        </w:rPr>
        <w:t xml:space="preserve">中的检验均不重新寻找最优参数，而是在同一模型框架下改变某个关键条件，观察主结论是否保持稳定。</w:t>
      </w:r>
    </w:p>
    <w:bookmarkStart w:id="110" w:name="tab:adversarial-tests"/>
    <w:p>
      <w:pPr>
        <w:pStyle w:val="TableCaption"/>
      </w:pPr>
      <w:r>
        <w:rPr>
          <w:rFonts w:hint="eastAsia"/>
        </w:rPr>
        <w:t xml:space="preserve">鲁棒性与边界检验总览</w:t>
      </w:r>
    </w:p>
    <w:tbl>
      <w:tblPr>
        <w:tblStyle w:val="Table"/>
        <w:tblW w:type="auto" w:w="0"/>
        <w:tblLook w:firstRow="1" w:lastRow="0" w:firstColumn="0" w:lastColumn="0" w:noHBand="0" w:noVBand="0" w:val="0020"/>
        <w:tblCaption w:val="鲁棒性与边界检验总览"/>
      </w:tblPr>
      <w:tblGrid>
        <w:gridCol w:w="1980"/>
        <w:gridCol w:w="1980"/>
        <w:gridCol w:w="1980"/>
        <w:gridCol w:w="1980"/>
      </w:tblGrid>
      <w:tr>
        <w:trPr>
          <w:tblHeader w:val="on"/>
        </w:trPr>
        <w:tc>
          <w:tcPr/>
          <w:p>
            <w:pPr>
              <w:pStyle w:val="Compact"/>
              <w:jc w:val="left"/>
            </w:pPr>
            <w:r>
              <w:rPr>
                <w:rFonts w:hint="eastAsia"/>
              </w:rPr>
              <w:t xml:space="preserve">检验假设</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相对朴素基准的有效性</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机制递推模型相对无变化预测具有误差优势</w:t>
            </w:r>
          </w:p>
        </w:tc>
      </w:tr>
      <w:tr>
        <w:tc>
          <w:tcPr/>
          <w:p>
            <w:pPr>
              <w:pStyle w:val="Compact"/>
              <w:jc w:val="left"/>
            </w:pPr>
            <w:r>
              <w:rPr>
                <w:rFonts w:hint="eastAsia"/>
              </w:rPr>
              <w:t xml:space="preserve">滞后复制风险</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题面弹性与价格传导的区分</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参数扰动稳定性</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价格平台不依赖唯一一组参数点</w:t>
            </w:r>
          </w:p>
        </w:tc>
      </w:tr>
      <w:tr>
        <w:tc>
          <w:tcPr/>
          <w:p>
            <w:pPr>
              <w:pStyle w:val="Compact"/>
              <w:jc w:val="left"/>
            </w:pPr>
            <w:r>
              <w:rPr>
                <w:rFonts w:hint="eastAsia"/>
              </w:rPr>
              <w:t xml:space="preserve">长期点预测边界</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89.58–106.44 </w:t>
            </w:r>
            <w:r>
              <w:rPr>
                <w:rFonts w:hint="eastAsia"/>
              </w:rPr>
              <w:t xml:space="preserve">美元/桶，突破</w:t>
            </w:r>
            <w:r>
              <w:t xml:space="preserve"> 120 </w:t>
            </w:r>
            <w:r>
              <w:rPr>
                <w:rFonts w:hint="eastAsia"/>
              </w:rPr>
              <w:t xml:space="preserve">概率约</w:t>
            </w:r>
            <w:r>
              <w:t xml:space="preserve"> 16.3%</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长期制度风险边界</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110"/>
    <w:bookmarkEnd w:id="111"/>
    <w:bookmarkEnd w:id="112"/>
    <w:bookmarkEnd w:id="113"/>
    <w:bookmarkStart w:id="134" w:name="天三情景预测"/>
    <w:p>
      <w:pPr>
        <w:pStyle w:val="Heading1"/>
      </w:pPr>
      <w:r>
        <w:t xml:space="preserve">60–180 </w:t>
      </w:r>
      <w:r>
        <w:rPr>
          <w:rFonts w:hint="eastAsia"/>
        </w:rPr>
        <w:t xml:space="preserve">天三情景预测</w:t>
      </w:r>
    </w:p>
    <w:bookmarkStart w:id="114"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的表述。三情景曲线表示条件中心路径，而不是未来每日收盘价的精确点预测；其可信度由机制一致性、官方外生数据校验、敏感性分析、蒙特卡洛概率区间和状态转移扰动共同评价。</w:t>
      </w:r>
    </w:p>
    <w:p>
      <w:pPr>
        <w:pStyle w:val="BodyText"/>
      </w:pPr>
      <w:r>
        <w:rPr>
          <w:rFonts w:hint="eastAsia"/>
        </w:rPr>
        <w:t xml:space="preserve">长短期模型并非两套互不相干的模型。短期部分使用同一套物理缺口和市场价格形成递推式，回答封锁初期价格平台如何形成；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长期模型从短期动态递推模型延伸而来，但在四个方面做了时间尺度调整：</w:t>
      </w:r>
    </w:p>
    <w:p>
      <w:pPr>
        <w:numPr>
          <w:ilvl w:val="0"/>
          <w:numId w:val="1005"/>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5"/>
        </w:numPr>
      </w:pPr>
      <w:r>
        <w:rPr>
          <w:rFonts w:hint="eastAsia"/>
        </w:rPr>
        <w:t xml:space="preserve">缓冲侧：SPR、商业库存和绕道运输继续发挥作用，但其边际能力随时间下降或受运输瓶颈约束。</w:t>
      </w:r>
    </w:p>
    <w:p>
      <w:pPr>
        <w:numPr>
          <w:ilvl w:val="0"/>
          <w:numId w:val="1005"/>
        </w:numPr>
      </w:pPr>
      <w:r>
        <w:rPr>
          <w:rFonts w:hint="eastAsia"/>
        </w:rPr>
        <w:t xml:space="preserve">需求侧：长期需求价格弹性高于短期弹性，反映高油价持续后消费、生产和替代能源调整更充分。</w:t>
      </w:r>
    </w:p>
    <w:p>
      <w:pPr>
        <w:numPr>
          <w:ilvl w:val="0"/>
          <w:numId w:val="1005"/>
        </w:numPr>
      </w:pPr>
      <w:r>
        <w:rPr>
          <w:rFonts w:hint="eastAsia"/>
        </w:rPr>
        <w:t xml:space="preserve">风险侧：恐慌溢价逐步衰减，不确定性溢价拆分为前期冲击不确定性和持续封锁制度风险，使长期价格由物理恢复与制度风险共同决定。</w:t>
      </w:r>
    </w:p>
    <w:p>
      <w:pPr>
        <w:pStyle w:val="FirstParagraph"/>
      </w:pPr>
      <w:r>
        <w:rPr>
          <w:rFonts w:hint="eastAsia"/>
        </w:rPr>
        <w:t xml:space="preserve">为避免短期弹性与长期弹性之间出现突变，本文采用平滑过渡函数刻画需求调整过程。设题面短期弹性为</w:t>
      </w:r>
      <w:r>
        <w:t xml:space="preserve"> </w:t>
      </w:r>
      <m:oMath>
        <m:sSub>
          <m:e>
            <m:r>
              <m:t>ε</m:t>
            </m:r>
          </m:e>
          <m:sub>
            <m:r>
              <m:t>s</m:t>
            </m:r>
          </m:sub>
        </m:sSub>
        <m:r>
          <m:rPr>
            <m:sty m:val="p"/>
          </m:rPr>
          <m:t>=</m:t>
        </m:r>
        <m:r>
          <m:rPr>
            <m:sty m:val="p"/>
          </m:rPr>
          <m:t>−</m:t>
        </m:r>
        <m:r>
          <m:t>0.05</m:t>
        </m:r>
      </m:oMath>
      <w:r>
        <w:rPr>
          <w:rFonts w:hint="eastAsia"/>
        </w:rPr>
        <w:t xml:space="preserve">，长期情景目标弹性为</w:t>
      </w:r>
      <w:r>
        <w:t xml:space="preserve"> </w:t>
      </w:r>
      <m:oMath>
        <m:sSub>
          <m:e>
            <m:r>
              <m:t>ε</m:t>
            </m:r>
          </m:e>
          <m:sub>
            <m:r>
              <m:rPr>
                <m:sty m:val="p"/>
              </m:rPr>
              <m:t>∞</m:t>
            </m:r>
          </m:sub>
        </m:sSub>
      </m:oMath>
      <w:r>
        <w:rPr>
          <w:rFonts w:hint="eastAsia"/>
        </w:rPr>
        <w:t xml:space="preserve">，冲击后的第</w:t>
      </w:r>
      <w:r>
        <w:t xml:space="preserve"> </w:t>
      </w:r>
      <m:oMath>
        <m:sSub>
          <m:e>
            <m:r>
              <m:t>t</m:t>
            </m:r>
          </m:e>
          <m:sub>
            <m:r>
              <m:t>s</m:t>
            </m:r>
          </m:sub>
        </m:sSub>
        <m:r>
          <m:rPr>
            <m:sty m:val="p"/>
          </m:rPr>
          <m:t>=</m:t>
        </m:r>
        <m:r>
          <m:t>60</m:t>
        </m:r>
      </m:oMath>
      <w:r>
        <w:t xml:space="preserve"> </w:t>
      </w:r>
      <w:r>
        <w:rPr>
          <w:rFonts w:hint="eastAsia"/>
        </w:rPr>
        <w:t xml:space="preserve">天作为长期外推起点，则</w:t>
      </w:r>
    </w:p>
    <w:p>
      <w:pPr>
        <w:pStyle w:val="BodyText"/>
      </w:pPr>
      <m:oMathPara>
        <m:oMathParaPr>
          <m:jc m:val="center"/>
        </m:oMathParaPr>
        <m:oMath>
          <m:sSub>
            <m:e>
              <m:r>
                <m:t>ε</m:t>
              </m:r>
            </m:e>
            <m:sub>
              <m:r>
                <m:t>t</m:t>
              </m:r>
            </m:sub>
          </m:sSub>
          <m:r>
            <m:rPr>
              <m:sty m:val="p"/>
            </m:rPr>
            <m:t>=</m:t>
          </m:r>
          <m:sSub>
            <m:e>
              <m:r>
                <m:t>ε</m:t>
              </m:r>
            </m:e>
            <m:sub>
              <m:r>
                <m:t>s</m:t>
              </m:r>
            </m:sub>
          </m:sSub>
          <m:r>
            <m:rPr>
              <m:sty m:val="p"/>
            </m:rPr>
            <m:t>+</m:t>
          </m:r>
          <m:d>
            <m:dPr>
              <m:begChr m:val="("/>
              <m:sepChr m:val=""/>
              <m:endChr m:val=")"/>
              <m:grow/>
            </m:dPr>
            <m:e>
              <m:sSub>
                <m:e>
                  <m:r>
                    <m:t>ε</m:t>
                  </m:r>
                </m:e>
                <m:sub>
                  <m:r>
                    <m:rPr>
                      <m:sty m:val="p"/>
                    </m:rPr>
                    <m:t>∞</m:t>
                  </m:r>
                </m:sub>
              </m:sSub>
              <m:r>
                <m:rPr>
                  <m:sty m:val="p"/>
                </m:rPr>
                <m:t>−</m:t>
              </m:r>
              <m:sSub>
                <m:e>
                  <m:r>
                    <m:t>ε</m:t>
                  </m:r>
                </m:e>
                <m:sub>
                  <m:r>
                    <m:t>s</m:t>
                  </m:r>
                </m:sub>
              </m:sSub>
            </m:e>
          </m:d>
          <m:d>
            <m:dPr>
              <m:begChr m:val="["/>
              <m:sepChr m:val=""/>
              <m:endChr m:val="]"/>
              <m:grow/>
            </m:dPr>
            <m:e>
              <m:r>
                <m:t>1</m:t>
              </m:r>
              <m:r>
                <m:rPr>
                  <m:sty m:val="p"/>
                </m:rPr>
                <m:t>−</m:t>
              </m:r>
              <m:r>
                <m:rPr>
                  <m:sty m:val="p"/>
                </m:rPr>
                <m:t>exp</m:t>
              </m:r>
              <m:d>
                <m:dPr>
                  <m:begChr m:val="("/>
                  <m:sepChr m:val=""/>
                  <m:endChr m:val=")"/>
                  <m:grow/>
                </m:dPr>
                <m:e>
                  <m:r>
                    <m:rPr>
                      <m:sty m:val="p"/>
                    </m:rPr>
                    <m:t>−</m:t>
                  </m:r>
                  <m:sSub>
                    <m:e>
                      <m:r>
                        <m:t>α</m:t>
                      </m:r>
                    </m:e>
                    <m:sub>
                      <m:r>
                        <m:t>ε</m:t>
                      </m:r>
                    </m:sub>
                  </m:sSub>
                  <m:r>
                    <m:rPr>
                      <m:sty m:val="p"/>
                    </m:rPr>
                    <m:t>max</m:t>
                  </m:r>
                  <m:r>
                    <m:rPr>
                      <m:sty m:val="p"/>
                    </m:rPr>
                    <m:t>(</m:t>
                  </m:r>
                  <m:r>
                    <m:t>t</m:t>
                  </m:r>
                  <m:r>
                    <m:rPr>
                      <m:sty m:val="p"/>
                    </m:rPr>
                    <m:t>−</m:t>
                  </m:r>
                  <m:sSub>
                    <m:e>
                      <m:r>
                        <m:t>t</m:t>
                      </m:r>
                    </m:e>
                    <m:sub>
                      <m:r>
                        <m:t>s</m:t>
                      </m:r>
                    </m:sub>
                  </m:sSub>
                  <m:r>
                    <m:rPr>
                      <m:sty m:val="p"/>
                    </m:rPr>
                    <m:t>,</m:t>
                  </m:r>
                  <m:r>
                    <m:t>0</m:t>
                  </m:r>
                  <m:r>
                    <m:rPr>
                      <m:sty m:val="p"/>
                    </m:rPr>
                    <m:t>)</m:t>
                  </m:r>
                </m:e>
              </m:d>
            </m:e>
          </m:d>
          <m:r>
            <m:rPr>
              <m:sty m:val="p"/>
            </m:rPr>
            <m:t>,</m:t>
          </m:r>
          <m:r>
            <m:t> </m:t>
          </m:r>
          <m:r>
            <m:t>t</m:t>
          </m:r>
          <m:r>
            <m:rPr>
              <m:sty m:val="p"/>
            </m:rPr>
            <m:t>≥</m:t>
          </m:r>
          <m:r>
            <m:t>0</m:t>
          </m:r>
          <m:r>
            <m:rPr>
              <m:sty m:val="p"/>
            </m:rPr>
            <m:t>.</m:t>
          </m:r>
        </m:oMath>
      </m:oMathPara>
    </w:p>
    <w:p>
      <w:pPr>
        <w:pStyle w:val="FirstParagraph"/>
      </w:pPr>
      <w:r>
        <w:rPr>
          <w:rFonts w:hint="eastAsia"/>
        </w:rPr>
        <w:t xml:space="preserve">其中</w:t>
      </w:r>
      <w:r>
        <w:t xml:space="preserve"> </w:t>
      </w:r>
      <m:oMath>
        <m:sSub>
          <m:e>
            <m:r>
              <m:t>α</m:t>
            </m:r>
          </m:e>
          <m:sub>
            <m:r>
              <m:t>ε</m:t>
            </m:r>
          </m:sub>
        </m:sSub>
      </m:oMath>
      <w:r>
        <w:t xml:space="preserve"> </w:t>
      </w:r>
      <w:r>
        <w:rPr>
          <w:rFonts w:hint="eastAsia"/>
        </w:rPr>
        <w:t xml:space="preserve">为需求调整速度。该式表示：封锁初期消费与生产难以及时替代，弹性接近题面低弹性；高油价持续后，炼厂采购、交通消费、工业用能和替代运输逐渐调整，弹性绝对值向长期情景值平滑靠近。因此，表中长期弹性不是在第</w:t>
      </w:r>
      <w:r>
        <w:t xml:space="preserve"> 60 </w:t>
      </w:r>
      <w:r>
        <w:rPr>
          <w:rFonts w:hint="eastAsia"/>
        </w:rPr>
        <w:t xml:space="preserve">天突然替换短期弹性，而是作为</w:t>
      </w:r>
      <w:r>
        <w:t xml:space="preserve"> </w:t>
      </w:r>
      <m:oMath>
        <m:sSub>
          <m:e>
            <m:r>
              <m:t>ε</m:t>
            </m:r>
          </m:e>
          <m:sub>
            <m:r>
              <m:t>t</m:t>
            </m:r>
          </m:sub>
        </m:sSub>
      </m:oMath>
      <w:r>
        <w:t xml:space="preserve"> </w:t>
      </w:r>
      <w:r>
        <w:rPr>
          <w:rFonts w:hint="eastAsia"/>
        </w:rPr>
        <w:t xml:space="preserve">的渐近目标进入递推。</w:t>
      </w:r>
    </w:p>
    <w:p>
      <w:pPr>
        <w:pStyle w:val="BodyText"/>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为其他产油国增产或替代供应增量。考虑到现实中的政策反馈机制，本文设置</w:t>
      </w:r>
      <w:r>
        <w:t xml:space="preserve"> SPR </w:t>
      </w:r>
      <w:r>
        <w:rPr>
          <w:rFonts w:hint="eastAsia"/>
        </w:rPr>
        <w:t xml:space="preserve">的实际释放量为缺口与价格压力的自适应函数：</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为长期持续后的政策收缩系数。二者定义为</w:t>
      </w:r>
    </w:p>
    <w:p>
      <w:pPr>
        <w:pStyle w:val="BodyText"/>
      </w:pPr>
      <m:oMathPara>
        <m:oMathParaPr>
          <m:jc m:val="center"/>
        </m:oMathParaPr>
        <m:oMath>
          <m:sSub>
            <m:e>
              <m:r>
                <m:t>λ</m:t>
              </m:r>
            </m:e>
            <m:sub>
              <m:r>
                <m:t>t</m:t>
              </m:r>
            </m:sub>
          </m:sSub>
          <m:r>
            <m:rPr>
              <m:sty m:val="p"/>
            </m:rPr>
            <m:t>=</m:t>
          </m:r>
          <m:r>
            <m:rPr>
              <m:sty m:val="p"/>
            </m:rPr>
            <m:t>c</m:t>
          </m:r>
          <m:r>
            <m:rPr>
              <m:sty m:val="p"/>
            </m:rPr>
            <m:t>l</m:t>
          </m:r>
          <m:r>
            <m:rPr>
              <m:sty m:val="p"/>
            </m:rPr>
            <m:t>i</m:t>
          </m:r>
          <m:r>
            <m:rPr>
              <m:sty m:val="p"/>
            </m:rPr>
            <m:t>p</m:t>
          </m:r>
          <m:d>
            <m:dPr>
              <m:begChr m:val="["/>
              <m:sepChr m:val=""/>
              <m:endChr m:val="]"/>
              <m:grow/>
            </m:dPr>
            <m:e>
              <m:sSub>
                <m:e>
                  <m:r>
                    <m:t>λ</m:t>
                  </m:r>
                </m:e>
                <m:sub>
                  <m:r>
                    <m:t>0</m:t>
                  </m:r>
                </m:sub>
              </m:sSub>
              <m:r>
                <m:rPr>
                  <m:sty m:val="p"/>
                </m:rPr>
                <m:t>+</m:t>
              </m:r>
              <m:sSub>
                <m:e>
                  <m:r>
                    <m:t>λ</m:t>
                  </m:r>
                </m:e>
                <m:sub>
                  <m:r>
                    <m:t>G</m:t>
                  </m:r>
                </m:sub>
              </m:sSub>
              <m:f>
                <m:fPr>
                  <m:type m:val="bar"/>
                </m:fPr>
                <m:num>
                  <m:r>
                    <m:rPr>
                      <m:sty m:val="p"/>
                    </m:rPr>
                    <m:t>max</m:t>
                  </m:r>
                  <m:r>
                    <m:rPr>
                      <m:sty m:val="p"/>
                    </m:rPr>
                    <m:t>(</m:t>
                  </m:r>
                  <m:sSub>
                    <m:e>
                      <m:r>
                        <m:t>G</m:t>
                      </m:r>
                    </m:e>
                    <m:sub>
                      <m:r>
                        <m:t>t</m:t>
                      </m:r>
                      <m:r>
                        <m:rPr>
                          <m:sty m:val="p"/>
                        </m:rPr>
                        <m:t>,</m:t>
                      </m:r>
                      <m:r>
                        <m:rPr>
                          <m:sty m:val="p"/>
                        </m:rPr>
                        <m:t>p</m:t>
                      </m:r>
                      <m:r>
                        <m:rPr>
                          <m:sty m:val="p"/>
                        </m:rPr>
                        <m:t>r</m:t>
                      </m:r>
                      <m:r>
                        <m:rPr>
                          <m:sty m:val="p"/>
                        </m:rPr>
                        <m:t>e</m:t>
                      </m:r>
                    </m:sub>
                  </m:sSub>
                  <m:r>
                    <m:rPr>
                      <m:sty m:val="p"/>
                    </m:rPr>
                    <m:t>,</m:t>
                  </m:r>
                  <m:r>
                    <m:t>0</m:t>
                  </m:r>
                  <m:r>
                    <m:rPr>
                      <m:sty m:val="p"/>
                    </m:rPr>
                    <m:t>)</m:t>
                  </m:r>
                </m:num>
                <m:den>
                  <m:sSub>
                    <m:e>
                      <m:r>
                        <m:t>D</m:t>
                      </m:r>
                    </m:e>
                    <m:sub>
                      <m:r>
                        <m:t>0</m:t>
                      </m:r>
                    </m:sub>
                  </m:sSub>
                </m:den>
              </m:f>
              <m:r>
                <m:rPr>
                  <m:sty m:val="p"/>
                </m:rPr>
                <m:t>+</m:t>
              </m:r>
              <m:sSub>
                <m:e>
                  <m:r>
                    <m:t>λ</m:t>
                  </m:r>
                </m:e>
                <m:sub>
                  <m:r>
                    <m:t>P</m:t>
                  </m:r>
                </m:sub>
              </m:sSub>
              <m:r>
                <m:rPr>
                  <m:sty m:val="p"/>
                </m:rPr>
                <m:t>max</m:t>
              </m:r>
              <m:d>
                <m:dPr>
                  <m:begChr m:val="("/>
                  <m:sepChr m:val=""/>
                  <m:endChr m:val=")"/>
                  <m:grow/>
                </m:dPr>
                <m:e>
                  <m:f>
                    <m:fPr>
                      <m:type m:val="bar"/>
                    </m:fPr>
                    <m:num>
                      <m:sSub>
                        <m:e>
                          <m:acc>
                            <m:accPr>
                              <m:chr m:val="̂"/>
                            </m:accPr>
                            <m:e>
                              <m:r>
                                <m:t>P</m:t>
                              </m:r>
                            </m:e>
                          </m:acc>
                        </m:e>
                        <m:sub>
                          <m:r>
                            <m:t>t</m:t>
                          </m:r>
                        </m:sub>
                      </m:sSub>
                      <m:r>
                        <m:rPr>
                          <m:sty m:val="p"/>
                        </m:rPr>
                        <m:t>−</m:t>
                      </m:r>
                      <m:sSub>
                        <m:e>
                          <m:r>
                            <m:t>P</m:t>
                          </m:r>
                        </m:e>
                        <m:sub>
                          <m:r>
                            <m:t>0</m:t>
                          </m:r>
                        </m:sub>
                      </m:sSub>
                    </m:num>
                    <m:den>
                      <m:sSub>
                        <m:e>
                          <m:r>
                            <m:t>P</m:t>
                          </m:r>
                        </m:e>
                        <m:sub>
                          <m:r>
                            <m:t>0</m:t>
                          </m:r>
                        </m:sub>
                      </m:sSub>
                    </m:den>
                  </m:f>
                  <m:r>
                    <m:rPr>
                      <m:sty m:val="p"/>
                    </m:rPr>
                    <m:t>,</m:t>
                  </m:r>
                  <m:r>
                    <m:t>0</m:t>
                  </m:r>
                </m:e>
              </m:d>
              <m:r>
                <m:rPr>
                  <m:sty m:val="p"/>
                </m:rPr>
                <m:t>,</m:t>
              </m:r>
              <m:sSub>
                <m:e>
                  <m:r>
                    <m:t>λ</m:t>
                  </m:r>
                </m:e>
                <m:sub>
                  <m:r>
                    <m:rPr>
                      <m:sty m:val="p"/>
                    </m:rPr>
                    <m:t>min</m:t>
                  </m:r>
                </m:sub>
              </m:sSub>
              <m:r>
                <m:rPr>
                  <m:sty m:val="p"/>
                </m:rPr>
                <m:t>,</m:t>
              </m:r>
              <m:r>
                <m:t>1</m:t>
              </m:r>
            </m:e>
          </m:d>
          <m:r>
            <m:rPr>
              <m:sty m:val="p"/>
            </m:rPr>
            <m:t>,</m:t>
          </m:r>
        </m:oMath>
      </m:oMathPara>
    </w:p>
    <w:p>
      <w:pPr>
        <w:pStyle w:val="FirstParagraph"/>
      </w:pPr>
      <m:oMathPara>
        <m:oMathParaPr>
          <m:jc m:val="center"/>
        </m:oMathParaPr>
        <m:oMath>
          <m:sSub>
            <m:e>
              <m:r>
                <m:t>τ</m:t>
              </m:r>
            </m:e>
            <m:sub>
              <m:r>
                <m:t>t</m:t>
              </m:r>
            </m:sub>
          </m:sSub>
          <m:r>
            <m:rPr>
              <m:sty m:val="p"/>
            </m:rPr>
            <m:t>=</m:t>
          </m:r>
          <m:sSub>
            <m:e>
              <m:r>
                <m:t>τ</m:t>
              </m:r>
            </m:e>
            <m:sub>
              <m:r>
                <m:rPr>
                  <m:sty m:val="p"/>
                </m:rPr>
                <m:t>min</m:t>
              </m:r>
            </m:sub>
          </m:sSub>
          <m:r>
            <m:rPr>
              <m:sty m:val="p"/>
            </m:rPr>
            <m:t>+</m:t>
          </m:r>
          <m:f>
            <m:fPr>
              <m:type m:val="bar"/>
            </m:fPr>
            <m:num>
              <m:r>
                <m:t>1</m:t>
              </m:r>
              <m:r>
                <m:rPr>
                  <m:sty m:val="p"/>
                </m:rPr>
                <m:t>−</m:t>
              </m:r>
              <m:sSub>
                <m:e>
                  <m:r>
                    <m:t>τ</m:t>
                  </m:r>
                </m:e>
                <m:sub>
                  <m:r>
                    <m:rPr>
                      <m:sty m:val="p"/>
                    </m:rPr>
                    <m:t>min</m:t>
                  </m:r>
                </m:sub>
              </m:sSub>
            </m:num>
            <m:den>
              <m:r>
                <m:t>1</m:t>
              </m:r>
              <m:r>
                <m:rPr>
                  <m:sty m:val="p"/>
                </m:rPr>
                <m:t>+</m:t>
              </m:r>
              <m:r>
                <m:rPr>
                  <m:sty m:val="p"/>
                </m:rPr>
                <m:t>exp</m:t>
              </m:r>
              <m:d>
                <m:dPr>
                  <m:begChr m:val="["/>
                  <m:sepChr m:val=""/>
                  <m:endChr m:val="]"/>
                  <m:grow/>
                </m:dPr>
                <m:e>
                  <m:sSub>
                    <m:e>
                      <m:r>
                        <m:t>κ</m:t>
                      </m:r>
                    </m:e>
                    <m:sub>
                      <m:r>
                        <m:t>τ</m:t>
                      </m:r>
                    </m:sub>
                  </m:sSub>
                  <m:r>
                    <m:rPr>
                      <m:sty m:val="p"/>
                    </m:rPr>
                    <m:t>(</m:t>
                  </m:r>
                  <m:r>
                    <m:t>t</m:t>
                  </m:r>
                  <m:r>
                    <m:rPr>
                      <m:sty m:val="p"/>
                    </m:rPr>
                    <m:t>−</m:t>
                  </m:r>
                  <m:sSub>
                    <m:e>
                      <m:r>
                        <m:t>t</m:t>
                      </m:r>
                    </m:e>
                    <m:sub>
                      <m:r>
                        <m:rPr>
                          <m:sty m:val="p"/>
                        </m:rPr>
                        <m:t>s</m:t>
                      </m:r>
                      <m:r>
                        <m:rPr>
                          <m:sty m:val="p"/>
                        </m:rPr>
                        <m:t>h</m:t>
                      </m:r>
                      <m:r>
                        <m:rPr>
                          <m:sty m:val="p"/>
                        </m:rPr>
                        <m:t>r</m:t>
                      </m:r>
                      <m:r>
                        <m:rPr>
                          <m:sty m:val="p"/>
                        </m:rPr>
                        <m:t>i</m:t>
                      </m:r>
                      <m:r>
                        <m:rPr>
                          <m:sty m:val="p"/>
                        </m:rPr>
                        <m:t>n</m:t>
                      </m:r>
                      <m:r>
                        <m:rPr>
                          <m:sty m:val="p"/>
                        </m:rPr>
                        <m:t>k</m:t>
                      </m:r>
                    </m:sub>
                  </m:sSub>
                  <m:r>
                    <m:rPr>
                      <m:sty m:val="p"/>
                    </m:rPr>
                    <m:t>)</m:t>
                  </m:r>
                </m:e>
              </m:d>
            </m:den>
          </m:f>
          <m:r>
            <m:rPr>
              <m:sty m:val="p"/>
            </m:rPr>
            <m:t>.</m:t>
          </m:r>
        </m:oMath>
      </m:oMathPara>
    </w:p>
    <w:p>
      <w:pPr>
        <w:pStyle w:val="FirstParagraph"/>
      </w:pPr>
      <w:r>
        <w:rPr>
          <w:rFonts w:hint="eastAsia"/>
        </w:rPr>
        <w:t xml:space="preserve">其中</w:t>
      </w:r>
      <w:r>
        <w:t xml:space="preserve"> </w:t>
      </w:r>
      <m:oMath>
        <m:r>
          <m:rPr>
            <m:sty m:val="p"/>
          </m:rPr>
          <m:t>c</m:t>
        </m:r>
        <m:r>
          <m:rPr>
            <m:sty m:val="p"/>
          </m:rPr>
          <m:t>l</m:t>
        </m:r>
        <m:r>
          <m:rPr>
            <m:sty m:val="p"/>
          </m:rPr>
          <m:t>i</m:t>
        </m:r>
        <m:r>
          <m:rPr>
            <m:sty m:val="p"/>
          </m:rPr>
          <m:t>p</m:t>
        </m:r>
        <m:r>
          <m:rPr>
            <m:sty m:val="p"/>
          </m:rPr>
          <m:t>(</m:t>
        </m:r>
        <m:r>
          <m:t>x</m:t>
        </m:r>
        <m:r>
          <m:rPr>
            <m:sty m:val="p"/>
          </m:rPr>
          <m:t>,</m:t>
        </m:r>
        <m:r>
          <m:t>a</m:t>
        </m:r>
        <m:r>
          <m:rPr>
            <m:sty m:val="p"/>
          </m:rPr>
          <m:t>,</m:t>
        </m:r>
        <m:r>
          <m:t>b</m:t>
        </m:r>
        <m:r>
          <m:rPr>
            <m:sty m:val="p"/>
          </m:rPr>
          <m:t>)</m:t>
        </m:r>
        <m:r>
          <m:rPr>
            <m:sty m:val="p"/>
          </m:rPr>
          <m:t>=</m:t>
        </m:r>
        <m:r>
          <m:rPr>
            <m:sty m:val="p"/>
          </m:rPr>
          <m:t>min</m:t>
        </m:r>
        <m:r>
          <m:rPr>
            <m:sty m:val="p"/>
          </m:rPr>
          <m:t>{</m:t>
        </m:r>
        <m:r>
          <m:rPr>
            <m:sty m:val="p"/>
          </m:rPr>
          <m:t>max</m:t>
        </m:r>
        <m:r>
          <m:rPr>
            <m:sty m:val="p"/>
          </m:rPr>
          <m:t>(</m:t>
        </m:r>
        <m:r>
          <m:t>x</m:t>
        </m:r>
        <m:r>
          <m:rPr>
            <m:sty m:val="p"/>
          </m:rPr>
          <m:t>,</m:t>
        </m:r>
        <m:r>
          <m:t>a</m:t>
        </m:r>
        <m:r>
          <m:rPr>
            <m:sty m:val="p"/>
          </m:rPr>
          <m:t>)</m:t>
        </m:r>
        <m:r>
          <m:rPr>
            <m:sty m:val="p"/>
          </m:rPr>
          <m:t>,</m:t>
        </m:r>
        <m:r>
          <m:t>b</m:t>
        </m:r>
        <m:r>
          <m:rPr>
            <m:sty m:val="p"/>
          </m:rPr>
          <m:t>}</m:t>
        </m:r>
      </m:oMath>
      <w:r>
        <w:rPr>
          <w:rFonts w:hint="eastAsia"/>
        </w:rPr>
        <w:t xml:space="preserve">，</w:t>
      </w:r>
      <m:oMath>
        <m:sSub>
          <m:e>
            <m:r>
              <m:t>t</m:t>
            </m:r>
          </m:e>
          <m:sub>
            <m:r>
              <m:rPr>
                <m:sty m:val="p"/>
              </m:rPr>
              <m:t>s</m:t>
            </m:r>
            <m:r>
              <m:rPr>
                <m:sty m:val="p"/>
              </m:rPr>
              <m:t>h</m:t>
            </m:r>
            <m:r>
              <m:rPr>
                <m:sty m:val="p"/>
              </m:rPr>
              <m:t>r</m:t>
            </m:r>
            <m:r>
              <m:rPr>
                <m:sty m:val="p"/>
              </m:rPr>
              <m:t>i</m:t>
            </m:r>
            <m:r>
              <m:rPr>
                <m:sty m:val="p"/>
              </m:rPr>
              <m:t>n</m:t>
            </m:r>
            <m:r>
              <m:rPr>
                <m:sty m:val="p"/>
              </m:rPr>
              <m:t>k</m:t>
            </m:r>
          </m:sub>
        </m:sSub>
      </m:oMath>
      <w:r>
        <w:t xml:space="preserve"> </w:t>
      </w:r>
      <w:r>
        <w:rPr>
          <w:rFonts w:hint="eastAsia"/>
        </w:rPr>
        <w:t xml:space="preserve">对应表中</w:t>
      </w:r>
      <w:r>
        <w:t xml:space="preserve"> SPR </w:t>
      </w:r>
      <w:r>
        <w:rPr>
          <w:rFonts w:hint="eastAsia"/>
        </w:rPr>
        <w:t xml:space="preserve">收缩起点。上述定义使</w:t>
      </w:r>
      <w:r>
        <w:t xml:space="preserve"> SPR </w:t>
      </w:r>
      <w:r>
        <w:rPr>
          <w:rFonts w:hint="eastAsia"/>
        </w:rPr>
        <w:t xml:space="preserve">在缺口较大、价格压力较高时保持较强释放；当长期封锁进入政策收缩期且缺口逐步闭合时，</w:t>
      </w:r>
      <m:oMath>
        <m:sSub>
          <m:e>
            <m:r>
              <m:t>τ</m:t>
            </m:r>
          </m:e>
          <m:sub>
            <m:r>
              <m:t>t</m:t>
            </m:r>
          </m:sub>
        </m:sSub>
      </m:oMath>
      <w:r>
        <w:t xml:space="preserve"> </w:t>
      </w:r>
      <w:r>
        <w:rPr>
          <w:rFonts w:hint="eastAsia"/>
        </w:rPr>
        <w:t xml:space="preserve">平滑下降，实际释放量转向缺口驱动。因此，当缺口已基本闭合时，SPR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114"/>
    <w:bookmarkStart w:id="117" w:name="长期参数来源与校验边界"/>
    <w:p>
      <w:pPr>
        <w:pStyle w:val="Heading2"/>
      </w:pPr>
      <w:r>
        <w:rPr>
          <w:rFonts w:hint="eastAsia"/>
        </w:rPr>
        <w:t xml:space="preserve">长期参数来源与校验边界</w:t>
      </w:r>
    </w:p>
    <w:p>
      <w:pPr>
        <w:pStyle w:val="FirstParagraph"/>
      </w:pPr>
      <w:r>
        <w:rPr>
          <w:rFonts w:hint="eastAsia"/>
        </w:rPr>
        <w:t xml:space="preserve">长期模型中的部分参数不是可以从附件直接读取的真实观测量，而是用于描述恢复速度、政策收缩和制度风险衰减的机制参数。本文对长期参数采用三条约束：一是方向必须来自赛题机制或能源市场逻辑；二是数值作为基准情景假设进入，不冒充官方统计数据；三是所有关键参数必须进入扰动区间、敏感性排序或蒙特卡洛检验。长期参数来源与校验方式见表</w:t>
      </w:r>
      <w:r>
        <w:t xml:space="preserve"> </w:t>
      </w:r>
      <w:hyperlink w:anchor="tab:long-parameter-audit">
        <w:r>
          <w:rPr>
            <w:rStyle w:val="Hyperlink"/>
          </w:rPr>
          <w:t xml:space="preserve">5</w:t>
        </w:r>
      </w:hyperlink>
      <w:r>
        <w:t xml:space="preserve">。</w:t>
      </w:r>
    </w:p>
    <w:bookmarkStart w:id="115" w:name="tab:long-parameter-audit"/>
    <w:p>
      <w:pPr>
        <w:pStyle w:val="TableCaption"/>
      </w:pPr>
      <w:r>
        <w:rPr>
          <w:rFonts w:hint="eastAsia"/>
        </w:rPr>
        <w:t xml:space="preserve">长期关键参数来源与校验方式</w:t>
      </w:r>
    </w:p>
    <w:tbl>
      <w:tblPr>
        <w:tblStyle w:val="Table"/>
        <w:tblW w:type="auto" w:w="0"/>
        <w:tblLook w:firstRow="1" w:lastRow="0" w:firstColumn="0" w:lastColumn="0" w:noHBand="0" w:noVBand="0" w:val="0020"/>
        <w:tblCaption w:val="长期关键参数来源与校验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校验方式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滞后检验、蒙特卡洛情景树和状态转移情景树合读，不作为同步价格拟合因子。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多国月度产量、进出口和炼厂产出作数量级校验。</w:t>
            </w:r>
          </w:p>
        </w:tc>
        <w:tc>
          <w:tcPr/>
          <w:p>
            <w:pPr>
              <w:pStyle w:val="Compact"/>
              <w:jc w:val="left"/>
            </w:pPr>
            <w:r>
              <w:rPr>
                <w:rFonts w:hint="eastAsia"/>
              </w:rPr>
              <w:t xml:space="preserve">用于长期条件外推；JODI</w:t>
            </w:r>
            <w:r>
              <w:t xml:space="preserve"> </w:t>
            </w:r>
            <w:r>
              <w:rPr>
                <w:rFonts w:hint="eastAsia"/>
              </w:rPr>
              <w:t xml:space="preserve">按多国上报口径解释，不等同完整全球总量。</w:t>
            </w:r>
          </w:p>
        </w:tc>
      </w:tr>
    </w:tbl>
    <w:bookmarkEnd w:id="115"/>
    <w:p>
      <w:pPr>
        <w:pStyle w:val="BodyText"/>
      </w:pPr>
      <w:r>
        <w:rPr>
          <w:rFonts w:hint="eastAsia"/>
          <w:b/>
          <w:bCs/>
        </w:rPr>
        <w:t xml:space="preserve">关键结论</w:t>
      </w:r>
      <w:r>
        <w:rPr>
          <w:rFonts w:hint="eastAsia"/>
        </w:rPr>
        <w:t xml:space="preserve">长期参数的角色是描述机制强弱和恢复速度，而不是替代真实数据。本文把这些参数显式列出、放入扰动区间，并用敏感性和蒙特卡洛结果报告其不确定性。</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“长期参数约束层”</w:t>
      </w:r>
      <w:r>
        <w:rPr>
          <w:rFonts w:hint="eastAsia"/>
        </w:rPr>
        <w:t xml:space="preserve">。具体做法是由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上限可信度和风险权重进行约束。得到的乘数见表</w:t>
      </w:r>
      <w:r>
        <w:t xml:space="preserve"> </w:t>
      </w:r>
      <w:hyperlink w:anchor="tab:official-factor-multipliers">
        <w:r>
          <w:rPr>
            <w:rStyle w:val="Hyperlink"/>
          </w:rPr>
          <w:t xml:space="preserve">6</w:t>
        </w:r>
      </w:hyperlink>
      <w:r>
        <w:t xml:space="preserve">。</w:t>
      </w:r>
    </w:p>
    <w:bookmarkStart w:id="116" w:name="tab:official-factor-multipliers"/>
    <w:p>
      <w:pPr>
        <w:pStyle w:val="TableCaption"/>
      </w:pPr>
      <w:r>
        <w:rPr>
          <w:rFonts w:hint="eastAsia"/>
        </w:rPr>
        <w:t xml:space="preserve">官方外生数据生成的长期参数约束因子</w:t>
      </w:r>
    </w:p>
    <w:tbl>
      <w:tblPr>
        <w:tblStyle w:val="Table"/>
        <w:tblW w:type="auto" w:w="0"/>
        <w:tblLook w:firstRow="1" w:lastRow="0" w:firstColumn="0" w:lastColumn="0" w:noHBand="0" w:noVBand="0" w:val="0020"/>
        <w:tblCaption w:val="官方外生数据生成的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0.9560</w:t>
            </w:r>
          </w:p>
        </w:tc>
        <w:tc>
          <w:tcPr/>
          <w:p>
            <w:pPr>
              <w:pStyle w:val="Compact"/>
              <w:jc w:val="left"/>
            </w:pPr>
            <w:r>
              <w:t xml:space="preserve">JODI </w:t>
            </w:r>
            <w:r>
              <w:rPr>
                <w:rFonts w:hint="eastAsia"/>
              </w:rPr>
              <w:t xml:space="preserve">与</w:t>
            </w:r>
            <w:r>
              <w:t xml:space="preserve"> OPEC </w:t>
            </w:r>
            <w:r>
              <w:rPr>
                <w:rFonts w:hint="eastAsia"/>
              </w:rPr>
              <w:t xml:space="preserve">均显示需求韧性，需求破坏不宜设得过强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0.9750</w:t>
            </w:r>
          </w:p>
        </w:tc>
        <w:tc>
          <w:tcPr/>
          <w:p>
            <w:pPr>
              <w:pStyle w:val="Compact"/>
              <w:jc w:val="left"/>
            </w:pPr>
            <w:r>
              <w:rPr>
                <w:rFonts w:hint="eastAsia"/>
              </w:rPr>
              <w:t xml:space="preserve">高价下需求会调整，但</w:t>
            </w:r>
            <w:r>
              <w:t xml:space="preserve"> OPEC </w:t>
            </w:r>
            <w:r>
              <w:rPr>
                <w:rFonts w:hint="eastAsia"/>
              </w:rPr>
              <w:t xml:space="preserve">正常需求增长使长期弹性略收敛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1.0543</w:t>
            </w:r>
          </w:p>
        </w:tc>
        <w:tc>
          <w:tcPr/>
          <w:p>
            <w:pPr>
              <w:pStyle w:val="Compact"/>
              <w:jc w:val="left"/>
            </w:pPr>
            <w:r>
              <w:t xml:space="preserve">JODI </w:t>
            </w:r>
            <w:r>
              <w:rPr>
                <w:rFonts w:hint="eastAsia"/>
              </w:rPr>
              <w:t xml:space="preserve">进出口收缩叠加</w:t>
            </w:r>
            <w:r>
              <w:t xml:space="preserve"> OPEC DoC </w:t>
            </w:r>
            <w:r>
              <w:rPr>
                <w:rFonts w:hint="eastAsia"/>
              </w:rPr>
              <w:t xml:space="preserve">需求差额上升，抬升尾部风险</w:t>
            </w:r>
          </w:p>
        </w:tc>
      </w:tr>
      <w:tr>
        <w:tc>
          <w:tcPr/>
          <w:p>
            <w:pPr>
              <w:pStyle w:val="Compact"/>
              <w:jc w:val="left"/>
            </w:pPr>
            <w:r>
              <w:rPr>
                <w:rFonts w:hint="eastAsia"/>
              </w:rPr>
              <w:t xml:space="preserve">长期不确定性强度</w:t>
            </w:r>
          </w:p>
        </w:tc>
        <w:tc>
          <w:tcPr/>
          <w:p>
            <w:pPr>
              <w:pStyle w:val="Compact"/>
              <w:jc w:val="right"/>
            </w:pPr>
            <w:r>
              <w:t xml:space="preserve">1.0303</w:t>
            </w:r>
          </w:p>
        </w:tc>
        <w:tc>
          <w:tcPr/>
          <w:p>
            <w:pPr>
              <w:pStyle w:val="Compact"/>
              <w:jc w:val="left"/>
            </w:pPr>
            <w:r>
              <w:rPr>
                <w:rFonts w:hint="eastAsia"/>
              </w:rPr>
              <w:t xml:space="preserve">贸易收缩和下半年需求差额峰值使制度风险略上调</w:t>
            </w:r>
          </w:p>
        </w:tc>
      </w:tr>
    </w:tbl>
    <w:bookmarkEnd w:id="116"/>
    <w:bookmarkEnd w:id="117"/>
    <w:bookmarkStart w:id="133"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94.36</w:t>
            </w:r>
          </w:p>
        </w:tc>
        <w:tc>
          <w:tcPr/>
          <w:p>
            <w:pPr>
              <w:pStyle w:val="Compact"/>
              <w:jc w:val="right"/>
            </w:pPr>
            <w:r>
              <w:t xml:space="preserve">92.79</w:t>
            </w:r>
          </w:p>
        </w:tc>
        <w:tc>
          <w:tcPr/>
          <w:p>
            <w:pPr>
              <w:pStyle w:val="Compact"/>
              <w:jc w:val="right"/>
            </w:pPr>
            <w:r>
              <w:t xml:space="preserve">87.78</w:t>
            </w:r>
          </w:p>
        </w:tc>
        <w:tc>
          <w:tcPr/>
          <w:p>
            <w:pPr>
              <w:pStyle w:val="Compact"/>
              <w:jc w:val="right"/>
            </w:pPr>
            <w:r>
              <w:t xml:space="preserve">103.79</w:t>
            </w:r>
          </w:p>
        </w:tc>
        <w:tc>
          <w:tcPr/>
          <w:p>
            <w:pPr>
              <w:pStyle w:val="Compact"/>
              <w:jc w:val="right"/>
            </w:pPr>
            <w:r>
              <w:t xml:space="preserve">92.16</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107.12</w:t>
            </w:r>
          </w:p>
        </w:tc>
        <w:tc>
          <w:tcPr/>
          <w:p>
            <w:pPr>
              <w:pStyle w:val="Compact"/>
              <w:jc w:val="right"/>
            </w:pPr>
            <w:r>
              <w:t xml:space="preserve">102.43</w:t>
            </w:r>
          </w:p>
        </w:tc>
        <w:tc>
          <w:tcPr/>
          <w:p>
            <w:pPr>
              <w:pStyle w:val="Compact"/>
              <w:jc w:val="right"/>
            </w:pPr>
            <w:r>
              <w:t xml:space="preserve">94.15</w:t>
            </w:r>
          </w:p>
        </w:tc>
        <w:tc>
          <w:tcPr/>
          <w:p>
            <w:pPr>
              <w:pStyle w:val="Compact"/>
              <w:jc w:val="right"/>
            </w:pPr>
            <w:r>
              <w:t xml:space="preserve">110.68</w:t>
            </w:r>
          </w:p>
        </w:tc>
        <w:tc>
          <w:tcPr/>
          <w:p>
            <w:pPr>
              <w:pStyle w:val="Compact"/>
              <w:jc w:val="right"/>
            </w:pPr>
            <w:r>
              <w:t xml:space="preserve">102.17</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127.81</w:t>
            </w:r>
          </w:p>
        </w:tc>
        <w:tc>
          <w:tcPr/>
          <w:p>
            <w:pPr>
              <w:pStyle w:val="Compact"/>
              <w:jc w:val="right"/>
            </w:pPr>
            <w:r>
              <w:t xml:space="preserve">118.64</w:t>
            </w:r>
          </w:p>
        </w:tc>
        <w:tc>
          <w:tcPr/>
          <w:p>
            <w:pPr>
              <w:pStyle w:val="Compact"/>
              <w:jc w:val="right"/>
            </w:pPr>
            <w:r>
              <w:t xml:space="preserve">110.16</w:t>
            </w:r>
          </w:p>
        </w:tc>
        <w:tc>
          <w:tcPr/>
          <w:p>
            <w:pPr>
              <w:pStyle w:val="Compact"/>
              <w:jc w:val="right"/>
            </w:pPr>
            <w:r>
              <w:t xml:space="preserve">133.91</w:t>
            </w:r>
          </w:p>
        </w:tc>
        <w:tc>
          <w:tcPr/>
          <w:p>
            <w:pPr>
              <w:pStyle w:val="Compact"/>
              <w:jc w:val="right"/>
            </w:pPr>
            <w:r>
              <w:t xml:space="preserve">120.01</w:t>
            </w:r>
          </w:p>
        </w:tc>
        <w:tc>
          <w:tcPr/>
          <w:p>
            <w:pPr>
              <w:pStyle w:val="Compact"/>
              <w:jc w:val="right"/>
            </w:pPr>
            <w:r>
              <w:rPr>
                <w:rFonts w:hint="eastAsia"/>
              </w:rPr>
              <w:t xml:space="preserve">高</w:t>
            </w:r>
          </w:p>
        </w:tc>
      </w:tr>
    </w:tbl>
    <w:bookmarkStart w:id="121" w:name="fig:long-term-fan"/>
    <w:p>
      <w:pPr>
        <w:pStyle w:val="CaptionedFigure"/>
      </w:pPr>
      <w:r>
        <w:drawing>
          <wp:inline>
            <wp:extent cx="5227320" cy="2777013"/>
            <wp:effectExtent b="0" l="0" r="0" t="0"/>
            <wp:docPr descr="" title="" id="119" name="Picture"/>
            <a:graphic>
              <a:graphicData uri="http://schemas.openxmlformats.org/drawingml/2006/picture">
                <pic:pic>
                  <pic:nvPicPr>
                    <pic:cNvPr descr="蒙特卡洛情景树高级组合图.png" id="120" name="Picture"/>
                    <pic:cNvPicPr>
                      <a:picLocks noChangeArrowheads="1" noChangeAspect="1"/>
                    </pic:cNvPicPr>
                  </pic:nvPicPr>
                  <pic:blipFill>
                    <a:blip r:embed="rId118"/>
                    <a:stretch>
                      <a:fillRect/>
                    </a:stretch>
                  </pic:blipFill>
                  <pic:spPr bwMode="auto">
                    <a:xfrm>
                      <a:off x="0" y="0"/>
                      <a:ext cx="5227320" cy="2777013"/>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长期情景预测主图：蒙特卡洛情景树高级组合图。左侧展示中心路径、抽样路径云和</w:t>
      </w:r>
      <w:r>
        <w:t xml:space="preserve"> 5%–95% / 25%–75% </w:t>
      </w:r>
      <w:r>
        <w:rPr>
          <w:rFonts w:hint="eastAsia"/>
        </w:rPr>
        <w:t xml:space="preserve">条件区间，右上展示第</w:t>
      </w:r>
      <w:r>
        <w:t xml:space="preserve"> 180 </w:t>
      </w:r>
      <w:r>
        <w:rPr>
          <w:rFonts w:hint="eastAsia"/>
        </w:rPr>
        <w:t xml:space="preserve">天终点分布，右下展示外推期突破</w:t>
      </w:r>
      <w:r>
        <w:t xml:space="preserve"> 120、130 </w:t>
      </w:r>
      <w:r>
        <w:rPr>
          <w:rFonts w:hint="eastAsia"/>
        </w:rPr>
        <w:t xml:space="preserve">美元/桶的累计概率曲线；该图证明长期结论应读作条件区间和尾部概率，而不是单点预测。</w:t>
      </w:r>
    </w:p>
    <w:bookmarkEnd w:id="121"/>
    <w:p>
      <w:pPr>
        <w:pStyle w:val="CaptionedFigure"/>
      </w:pPr>
      <w:r>
        <w:drawing>
          <wp:inline>
            <wp:extent cx="5013960" cy="2757678"/>
            <wp:effectExtent b="0" l="0" r="0" t="0"/>
            <wp:docPr descr="" title="" id="123" name="Picture"/>
            <a:graphic>
              <a:graphicData uri="http://schemas.openxmlformats.org/drawingml/2006/picture">
                <pic:pic>
                  <pic:nvPicPr>
                    <pic:cNvPr descr="短期拟合与长期预测总览.png" id="124" name="Picture"/>
                    <pic:cNvPicPr>
                      <a:picLocks noChangeArrowheads="1" noChangeAspect="1"/>
                    </pic:cNvPicPr>
                  </pic:nvPicPr>
                  <pic:blipFill>
                    <a:blip r:embed="rId122"/>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图</w:t>
      </w:r>
      <w:r>
        <w:t xml:space="preserve"> </w:t>
      </w:r>
      <w:hyperlink w:anchor="fig:long-term-fan">
        <w:r>
          <w:rPr>
            <w:rStyle w:val="Hyperlink"/>
          </w:rPr>
          <w:t xml:space="preserve">6</w:t>
        </w:r>
      </w:hyperlink>
      <w:r>
        <w:t xml:space="preserve"> </w:t>
      </w:r>
      <w:r>
        <w:rPr>
          <w:rFonts w:hint="eastAsia"/>
        </w:rPr>
        <w:t xml:space="preserve">给出长期情景预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与实现波动率相关性生成综合状态转移压力，用于温和提高早中期升级概率。这样得到的长期图由中心路径、状态概率和尾部区间共同构成。</w:t>
      </w:r>
    </w:p>
    <w:p>
      <w:pPr>
        <w:pStyle w:val="BodyText"/>
      </w:pPr>
      <w:r>
        <w:rPr>
          <w:rFonts w:hint="eastAsia"/>
        </w:rPr>
        <w:t xml:space="preserve">三状态马尔可夫链的基础转移矩阵设为</w:t>
      </w:r>
    </w:p>
    <w:p>
      <w:pPr>
        <w:pStyle w:val="BodyText"/>
      </w:pPr>
      <m:oMathPara>
        <m:oMathParaPr>
          <m:jc m:val="center"/>
        </m:oMathParaPr>
        <m:oMath>
          <m:sSub>
            <m:e>
              <m:r>
                <m:t>M</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0.90</m:t>
                    </m:r>
                  </m:e>
                  <m:e>
                    <m:r>
                      <m:t>0.09</m:t>
                    </m:r>
                  </m:e>
                  <m:e>
                    <m:r>
                      <m:t>0.01</m:t>
                    </m:r>
                  </m:e>
                </m:mr>
                <m:mr>
                  <m:e>
                    <m:r>
                      <m:t>0.16</m:t>
                    </m:r>
                  </m:e>
                  <m:e>
                    <m:r>
                      <m:t>0.78</m:t>
                    </m:r>
                  </m:e>
                  <m:e>
                    <m:r>
                      <m:t>0.06</m:t>
                    </m:r>
                  </m:e>
                </m:mr>
                <m:mr>
                  <m:e>
                    <m:r>
                      <m:t>0.07</m:t>
                    </m:r>
                  </m:e>
                  <m:e>
                    <m:r>
                      <m:t>0.24</m:t>
                    </m:r>
                  </m:e>
                  <m:e>
                    <m:r>
                      <m:t>0.69</m:t>
                    </m:r>
                  </m:e>
                </m:mr>
              </m:m>
            </m:e>
          </m:d>
          <m:r>
            <m:rPr>
              <m:sty m:val="p"/>
            </m:rPr>
            <m:t>,</m:t>
          </m:r>
          <m:r>
            <m:t> </m:t>
          </m:r>
          <m:r>
            <m:rPr>
              <m:nor/>
              <m:sty m:val="p"/>
            </m:rPr>
            <m:t>行、列顺序均为 </m:t>
          </m:r>
          <m:r>
            <m:rPr>
              <m:sty m:val="p"/>
            </m:rPr>
            <m:t>(</m:t>
          </m:r>
          <m:r>
            <m:rPr>
              <m:nor/>
              <m:sty m:val="p"/>
            </m:rPr>
            <m:t>缓和</m:t>
          </m:r>
          <m:r>
            <m:rPr>
              <m:sty m:val="p"/>
            </m:rPr>
            <m:t>,</m:t>
          </m:r>
          <m:r>
            <m:rPr>
              <m:nor/>
              <m:sty m:val="p"/>
            </m:rPr>
            <m:t>维持</m:t>
          </m:r>
          <m:r>
            <m:rPr>
              <m:sty m:val="p"/>
            </m:rPr>
            <m:t>,</m:t>
          </m:r>
          <m:r>
            <m:rPr>
              <m:nor/>
              <m:sty m:val="p"/>
            </m:rPr>
            <m:t>升级</m:t>
          </m:r>
          <m:r>
            <m:rPr>
              <m:sty m:val="p"/>
            </m:rPr>
            <m:t>)</m:t>
          </m:r>
          <m:r>
            <m:rPr>
              <m:sty m:val="p"/>
            </m:rPr>
            <m:t>.</m:t>
          </m:r>
        </m:oMath>
      </m:oMathPara>
    </w:p>
    <w:p>
      <w:pPr>
        <w:pStyle w:val="FirstParagraph"/>
      </w:pPr>
      <w:r>
        <w:rPr>
          <w:rFonts w:hint="eastAsia"/>
        </w:rPr>
        <w:t xml:space="preserve">矩阵含义见表</w:t>
      </w:r>
      <w:r>
        <w:t xml:space="preserve"> </w:t>
      </w:r>
      <w:hyperlink w:anchor="tab:state-transition-matrix">
        <w:r>
          <w:rPr>
            <w:rStyle w:val="Hyperlink"/>
          </w:rPr>
          <w:t xml:space="preserve">7</w:t>
        </w:r>
      </w:hyperlink>
      <w:r>
        <w:rPr>
          <w:rFonts w:hint="eastAsia"/>
        </w:rPr>
        <w:t xml:space="preserve">。基础矩阵体现三个假设：缓和状态具有较强持续性，维持状态是最常见的中间状态，升级状态也可能持续但更容易回到维持状态。外部风险读数通过综合压力</w:t>
      </w:r>
      <w:r>
        <w:t xml:space="preserve"> </w:t>
      </w:r>
      <m:oMath>
        <m:r>
          <m:t>q</m:t>
        </m:r>
        <m:r>
          <m:rPr>
            <m:sty m:val="p"/>
          </m:rPr>
          <m:t>∈</m:t>
        </m:r>
        <m:r>
          <m:rPr>
            <m:sty m:val="p"/>
          </m:rPr>
          <m:t>[</m:t>
        </m:r>
        <m:r>
          <m:t>0</m:t>
        </m:r>
        <m:r>
          <m:rPr>
            <m:sty m:val="p"/>
          </m:rPr>
          <m:t>,</m:t>
        </m:r>
        <m:r>
          <m:t>1</m:t>
        </m:r>
        <m:r>
          <m:rPr>
            <m:sty m:val="p"/>
          </m:rPr>
          <m:t>]</m:t>
        </m:r>
      </m:oMath>
      <w:r>
        <w:t xml:space="preserve"> </w:t>
      </w:r>
      <w:r>
        <w:rPr>
          <w:rFonts w:hint="eastAsia"/>
        </w:rPr>
        <w:t xml:space="preserve">进入时变矩阵：</w:t>
      </w:r>
    </w:p>
    <w:p>
      <w:pPr>
        <w:pStyle w:val="BodyText"/>
      </w:pPr>
      <m:oMathPara>
        <m:oMathParaPr>
          <m:jc m:val="center"/>
        </m:oMathParaPr>
        <m:oMath>
          <m:r>
            <m:t>q</m:t>
          </m:r>
          <m:r>
            <m:rPr>
              <m:sty m:val="p"/>
            </m:rPr>
            <m:t>=</m:t>
          </m:r>
          <m:r>
            <m:t>0.6</m:t>
          </m:r>
          <m:sSub>
            <m:e>
              <m:r>
                <m:t>q</m:t>
              </m:r>
            </m:e>
            <m:sub>
              <m:r>
                <m:rPr>
                  <m:sty m:val="p"/>
                </m:rPr>
                <m:t>O</m:t>
              </m:r>
              <m:r>
                <m:rPr>
                  <m:sty m:val="p"/>
                </m:rPr>
                <m:t>V</m:t>
              </m:r>
              <m:r>
                <m:rPr>
                  <m:sty m:val="p"/>
                </m:rPr>
                <m:t>X</m:t>
              </m:r>
            </m:sub>
          </m:sSub>
          <m:r>
            <m:rPr>
              <m:sty m:val="p"/>
            </m:rPr>
            <m:t>+</m:t>
          </m:r>
          <m:r>
            <m:t>0.4</m:t>
          </m:r>
          <m:sSub>
            <m:e>
              <m:r>
                <m:t>q</m:t>
              </m:r>
            </m:e>
            <m:sub>
              <m:r>
                <m:rPr>
                  <m:sty m:val="p"/>
                </m:rPr>
                <m:t>G</m:t>
              </m:r>
              <m:r>
                <m:rPr>
                  <m:sty m:val="p"/>
                </m:rPr>
                <m:t>P</m:t>
              </m:r>
              <m:r>
                <m:rPr>
                  <m:sty m:val="p"/>
                </m:rPr>
                <m:t>R</m:t>
              </m:r>
            </m:sub>
          </m:sSub>
          <m:r>
            <m:rPr>
              <m:sty m:val="p"/>
            </m:rPr>
            <m:t>,</m:t>
          </m:r>
          <m:r>
            <m:t> </m:t>
          </m:r>
          <m:sSub>
            <m:e>
              <m:r>
                <m:t>d</m:t>
              </m:r>
            </m:e>
            <m:sub>
              <m:r>
                <m:t>t</m:t>
              </m:r>
            </m:sub>
          </m:sSub>
          <m:r>
            <m:rPr>
              <m:sty m:val="p"/>
            </m:rPr>
            <m:t>=</m:t>
          </m:r>
          <m:r>
            <m:rPr>
              <m:sty m:val="p"/>
            </m:rPr>
            <m:t>c</m:t>
          </m:r>
          <m:r>
            <m:rPr>
              <m:sty m:val="p"/>
            </m:rPr>
            <m:t>l</m:t>
          </m:r>
          <m:r>
            <m:rPr>
              <m:sty m:val="p"/>
            </m:rPr>
            <m:t>i</m:t>
          </m:r>
          <m:r>
            <m:rPr>
              <m:sty m:val="p"/>
            </m:rPr>
            <m:t>p</m:t>
          </m:r>
          <m:d>
            <m:dPr>
              <m:begChr m:val="("/>
              <m:sepChr m:val=""/>
              <m:endChr m:val=")"/>
              <m:grow/>
            </m:dPr>
            <m:e>
              <m:r>
                <m:t>1</m:t>
              </m:r>
              <m:r>
                <m:rPr>
                  <m:sty m:val="p"/>
                </m:rPr>
                <m:t>−</m:t>
              </m:r>
              <m:f>
                <m:fPr>
                  <m:type m:val="bar"/>
                </m:fPr>
                <m:num>
                  <m:r>
                    <m:t>t</m:t>
                  </m:r>
                  <m:r>
                    <m:rPr>
                      <m:sty m:val="p"/>
                    </m:rPr>
                    <m:t>−</m:t>
                  </m:r>
                  <m:r>
                    <m:t>60</m:t>
                  </m:r>
                </m:num>
                <m:den>
                  <m:r>
                    <m:t>140</m:t>
                  </m:r>
                </m:den>
              </m:f>
              <m:r>
                <m:rPr>
                  <m:sty m:val="p"/>
                </m:rPr>
                <m:t>,</m:t>
              </m:r>
              <m:r>
                <m:t>0.18</m:t>
              </m:r>
              <m:r>
                <m:rPr>
                  <m:sty m:val="p"/>
                </m:rPr>
                <m:t>,</m:t>
              </m:r>
              <m:r>
                <m:t>1</m:t>
              </m:r>
            </m:e>
          </m:d>
          <m:r>
            <m:rPr>
              <m:sty m:val="p"/>
            </m:rPr>
            <m:t>,</m:t>
          </m:r>
        </m:oMath>
      </m:oMathPara>
    </w:p>
    <w:p>
      <w:pPr>
        <w:pStyle w:val="FirstParagraph"/>
      </w:pPr>
      <w:r>
        <w:rPr>
          <w:rFonts w:hint="eastAsia"/>
        </w:rPr>
        <w:t xml:space="preserve">其中</w:t>
      </w:r>
      <w:r>
        <w:t xml:space="preserve"> </w:t>
      </w:r>
      <m:oMath>
        <m:sSub>
          <m:e>
            <m:r>
              <m:t>q</m:t>
            </m:r>
          </m:e>
          <m:sub>
            <m:r>
              <m:rPr>
                <m:sty m:val="p"/>
              </m:rPr>
              <m:t>O</m:t>
            </m:r>
            <m:r>
              <m:rPr>
                <m:sty m:val="p"/>
              </m:rPr>
              <m:t>V</m:t>
            </m:r>
            <m:r>
              <m:rPr>
                <m:sty m:val="p"/>
              </m:rPr>
              <m:t>X</m:t>
            </m:r>
          </m:sub>
        </m:sSub>
      </m:oMath>
      <w:r>
        <w:t xml:space="preserve"> </w:t>
      </w:r>
      <w:r>
        <w:rPr>
          <w:rFonts w:hint="eastAsia"/>
        </w:rPr>
        <w:t xml:space="preserve">由</w:t>
      </w:r>
      <w:r>
        <w:t xml:space="preserve"> OVX </w:t>
      </w:r>
      <w:r>
        <w:rPr>
          <w:rFonts w:hint="eastAsia"/>
        </w:rPr>
        <w:t xml:space="preserve">冲突窗口历史分位数和滞后</w:t>
      </w:r>
      <w:r>
        <w:t xml:space="preserve"> OVX </w:t>
      </w:r>
      <w:r>
        <w:rPr>
          <w:rFonts w:hint="eastAsia"/>
        </w:rPr>
        <w:t xml:space="preserve">与</w:t>
      </w:r>
      <w:r>
        <w:t xml:space="preserve"> 7 </w:t>
      </w:r>
      <w:r>
        <w:rPr>
          <w:rFonts w:hint="eastAsia"/>
        </w:rPr>
        <w:t xml:space="preserve">日实现波动率相关性计算，</w:t>
      </w:r>
      <m:oMath>
        <m:sSub>
          <m:e>
            <m:r>
              <m:t>q</m:t>
            </m:r>
          </m:e>
          <m:sub>
            <m:r>
              <m:rPr>
                <m:sty m:val="p"/>
              </m:rPr>
              <m:t>G</m:t>
            </m:r>
            <m:r>
              <m:rPr>
                <m:sty m:val="p"/>
              </m:rPr>
              <m:t>P</m:t>
            </m:r>
            <m:r>
              <m:rPr>
                <m:sty m:val="p"/>
              </m:rPr>
              <m:t>R</m:t>
            </m:r>
          </m:sub>
        </m:sSub>
      </m:oMath>
      <w:r>
        <w:t xml:space="preserve"> </w:t>
      </w:r>
      <w:r>
        <w:rPr>
          <w:rFonts w:hint="eastAsia"/>
        </w:rPr>
        <w:t xml:space="preserve">由</w:t>
      </w:r>
      <w:r>
        <w:t xml:space="preserve"> GPR </w:t>
      </w:r>
      <w:r>
        <w:rPr>
          <w:rFonts w:hint="eastAsia"/>
        </w:rPr>
        <w:t xml:space="preserve">事件月历史分位数计算。本项目实算得到</w:t>
      </w:r>
      <w:r>
        <w:t xml:space="preserve"> </w:t>
      </w:r>
      <m:oMath>
        <m:r>
          <m:t>q</m:t>
        </m:r>
        <m:r>
          <m:rPr>
            <m:sty m:val="p"/>
          </m:rPr>
          <m:t>=</m:t>
        </m:r>
        <m:r>
          <m:t>0.831</m:t>
        </m:r>
      </m:oMath>
      <w:r>
        <w:rPr>
          <w:rFonts w:hint="eastAsia"/>
        </w:rPr>
        <w:t xml:space="preserve">。对基础矩阵第</w:t>
      </w:r>
      <w:r>
        <w:t xml:space="preserve"> </w:t>
      </w:r>
      <m:oMath>
        <m:r>
          <m:t>i</m:t>
        </m:r>
      </m:oMath>
      <w:r>
        <w:t xml:space="preserve"> </w:t>
      </w:r>
      <w:r>
        <w:rPr>
          <w:rFonts w:hint="eastAsia"/>
        </w:rPr>
        <w:t xml:space="preserve">行</w:t>
      </w:r>
      <w:r>
        <w:t xml:space="preserve"> </w:t>
      </w:r>
      <m:oMath>
        <m:sSub>
          <m:e>
            <m:r>
              <m:t>m</m:t>
            </m:r>
          </m:e>
          <m:sub>
            <m:r>
              <m:t>i</m:t>
            </m:r>
          </m:sub>
        </m:sSub>
        <m:r>
          <m:rPr>
            <m:sty m:val="p"/>
          </m:rPr>
          <m:t>(</m:t>
        </m:r>
        <m:r>
          <m:t>t</m:t>
        </m:r>
        <m:r>
          <m:rPr>
            <m:sty m:val="p"/>
          </m:rPr>
          <m:t>)</m:t>
        </m:r>
      </m:oMath>
      <w:r>
        <w:t xml:space="preserve"> </w:t>
      </w:r>
      <w:r>
        <w:rPr>
          <w:rFonts w:hint="eastAsia"/>
        </w:rPr>
        <w:t xml:space="preserve">的修正为</w:t>
      </w:r>
    </w:p>
    <w:p>
      <w:pPr>
        <w:pStyle w:val="BodyText"/>
      </w:pPr>
      <m:oMathPara>
        <m:oMathParaPr>
          <m:jc m:val="center"/>
        </m:oMathParaPr>
        <m:oMath>
          <m:sSub>
            <m:e>
              <m:acc>
                <m:accPr>
                  <m:chr m:val="̃"/>
                </m:accPr>
                <m:e>
                  <m:r>
                    <m:t>m</m:t>
                  </m:r>
                </m:e>
              </m:acc>
            </m:e>
            <m:sub>
              <m:r>
                <m:t>i</m:t>
              </m:r>
              <m:r>
                <m:rPr>
                  <m:sty m:val="p"/>
                </m:rPr>
                <m:t>,</m:t>
              </m:r>
              <m:r>
                <m:t>E</m:t>
              </m:r>
            </m:sub>
          </m:sSub>
          <m:r>
            <m:rPr>
              <m:sty m:val="p"/>
            </m:rPr>
            <m:t>(</m:t>
          </m:r>
          <m:r>
            <m:t>t</m:t>
          </m:r>
          <m:r>
            <m:rPr>
              <m:sty m:val="p"/>
            </m:rPr>
            <m:t>)</m:t>
          </m:r>
          <m:r>
            <m:rPr>
              <m:sty m:val="p"/>
            </m:rPr>
            <m:t>=</m:t>
          </m:r>
          <m:sSub>
            <m:e>
              <m:r>
                <m:t>m</m:t>
              </m:r>
            </m:e>
            <m:sub>
              <m:r>
                <m:t>i</m:t>
              </m:r>
              <m:r>
                <m:rPr>
                  <m:sty m:val="p"/>
                </m:rPr>
                <m:t>,</m:t>
              </m:r>
              <m:r>
                <m:t>E</m:t>
              </m:r>
            </m:sub>
          </m:sSub>
          <m:r>
            <m:rPr>
              <m:sty m:val="p"/>
            </m:rPr>
            <m:t>+</m:t>
          </m:r>
          <m:r>
            <m:t>0.020</m:t>
          </m:r>
          <m:r>
            <m:t>q</m:t>
          </m:r>
          <m:sSub>
            <m:e>
              <m:r>
                <m:t>d</m:t>
              </m:r>
            </m:e>
            <m:sub>
              <m:r>
                <m:t>t</m:t>
              </m:r>
            </m:sub>
          </m:sSub>
          <m:r>
            <m:rPr>
              <m:sty m:val="p"/>
            </m:rPr>
            <m:t>,</m:t>
          </m:r>
          <m:r>
            <m:t> </m:t>
          </m:r>
          <m:sSub>
            <m:e>
              <m:acc>
                <m:accPr>
                  <m:chr m:val="̃"/>
                </m:accPr>
                <m:e>
                  <m:r>
                    <m:t>m</m:t>
                  </m:r>
                </m:e>
              </m:acc>
            </m:e>
            <m:sub>
              <m:r>
                <m:t>i</m:t>
              </m:r>
              <m:r>
                <m:rPr>
                  <m:sty m:val="p"/>
                </m:rPr>
                <m:t>,</m:t>
              </m:r>
              <m:r>
                <m:t>C</m:t>
              </m:r>
            </m:sub>
          </m:sSub>
          <m:r>
            <m:rPr>
              <m:sty m:val="p"/>
            </m:rPr>
            <m:t>(</m:t>
          </m:r>
          <m:r>
            <m:t>t</m:t>
          </m:r>
          <m:r>
            <m:rPr>
              <m:sty m:val="p"/>
            </m:rPr>
            <m:t>)</m:t>
          </m:r>
          <m:r>
            <m:rPr>
              <m:sty m:val="p"/>
            </m:rPr>
            <m:t>=</m:t>
          </m:r>
          <m:sSub>
            <m:e>
              <m:r>
                <m:t>m</m:t>
              </m:r>
            </m:e>
            <m:sub>
              <m:r>
                <m:t>i</m:t>
              </m:r>
              <m:r>
                <m:rPr>
                  <m:sty m:val="p"/>
                </m:rPr>
                <m:t>,</m:t>
              </m:r>
              <m:r>
                <m:t>C</m:t>
              </m:r>
            </m:sub>
          </m:sSub>
          <m:r>
            <m:rPr>
              <m:sty m:val="p"/>
            </m:rPr>
            <m:t>−</m:t>
          </m:r>
          <m:r>
            <m:t>0.014</m:t>
          </m:r>
          <m:r>
            <m:t>q</m:t>
          </m:r>
          <m:sSub>
            <m:e>
              <m:r>
                <m:t>d</m:t>
              </m:r>
            </m:e>
            <m:sub>
              <m:r>
                <m:t>t</m:t>
              </m:r>
            </m:sub>
          </m:sSub>
          <m:r>
            <m:rPr>
              <m:sty m:val="p"/>
            </m:rPr>
            <m:t>,</m:t>
          </m:r>
        </m:oMath>
      </m:oMathPara>
    </w:p>
    <w:p>
      <w:pPr>
        <w:pStyle w:val="FirstParagraph"/>
      </w:pPr>
      <w:r>
        <w:rPr>
          <w:rFonts w:hint="eastAsia"/>
        </w:rPr>
        <w:t xml:space="preserve">其中</w:t>
      </w:r>
      <w:r>
        <w:t xml:space="preserve"> </w:t>
      </w:r>
      <m:oMath>
        <m:r>
          <m:t>E</m:t>
        </m:r>
      </m:oMath>
      <w:r>
        <w:t xml:space="preserve"> </w:t>
      </w:r>
      <w:r>
        <w:rPr>
          <w:rFonts w:hint="eastAsia"/>
        </w:rPr>
        <w:t xml:space="preserve">表示升级列，</w:t>
      </w:r>
      <m:oMath>
        <m:r>
          <m:t>C</m:t>
        </m:r>
      </m:oMath>
      <w:r>
        <w:t xml:space="preserve"> </w:t>
      </w:r>
      <w:r>
        <w:rPr>
          <w:rFonts w:hint="eastAsia"/>
        </w:rPr>
        <w:t xml:space="preserve">表示缓和列；若当前已处于升级状态，则升级列额外增加</w:t>
      </w:r>
      <w:r>
        <w:t xml:space="preserve"> </w:t>
      </w:r>
      <m:oMath>
        <m:r>
          <m:t>0.010</m:t>
        </m:r>
        <m:r>
          <m:t>q</m:t>
        </m:r>
        <m:sSub>
          <m:e>
            <m:r>
              <m:t>d</m:t>
            </m:r>
          </m:e>
          <m:sub>
            <m:r>
              <m:t>t</m:t>
            </m:r>
          </m:sub>
        </m:sSub>
      </m:oMath>
      <w:r>
        <w:rPr>
          <w:rFonts w:hint="eastAsia"/>
        </w:rPr>
        <w:t xml:space="preserve">，维持列减少</w:t>
      </w:r>
      <w:r>
        <w:t xml:space="preserve"> </w:t>
      </w:r>
      <m:oMath>
        <m:r>
          <m:t>0.004</m:t>
        </m:r>
        <m:r>
          <m:t>q</m:t>
        </m:r>
        <m:sSub>
          <m:e>
            <m:r>
              <m:t>d</m:t>
            </m:r>
          </m:e>
          <m:sub>
            <m:r>
              <m:t>t</m:t>
            </m:r>
          </m:sub>
        </m:sSub>
      </m:oMath>
      <w:r>
        <w:rPr>
          <w:rFonts w:hint="eastAsia"/>
        </w:rPr>
        <w:t xml:space="preserve">；若当前处于缓和状态，则维持列增加</w:t>
      </w:r>
      <w:r>
        <w:t xml:space="preserve"> </w:t>
      </w:r>
      <m:oMath>
        <m:r>
          <m:t>0.006</m:t>
        </m:r>
        <m:r>
          <m:t>q</m:t>
        </m:r>
        <m:sSub>
          <m:e>
            <m:r>
              <m:t>d</m:t>
            </m:r>
          </m:e>
          <m:sub>
            <m:r>
              <m:t>t</m:t>
            </m:r>
          </m:sub>
        </m:sSub>
      </m:oMath>
      <w:r>
        <w:rPr>
          <w:rFonts w:hint="eastAsia"/>
        </w:rPr>
        <w:t xml:space="preserve">。第</w:t>
      </w:r>
      <w:r>
        <w:t xml:space="preserve"> 120 </w:t>
      </w:r>
      <w:r>
        <w:rPr>
          <w:rFonts w:hint="eastAsia"/>
        </w:rPr>
        <w:t xml:space="preserve">天后，缓和列上调</w:t>
      </w:r>
      <w:r>
        <w:t xml:space="preserve"> </w:t>
      </w:r>
      <w:r>
        <w:rPr>
          <w:rFonts w:hint="eastAsia"/>
        </w:rPr>
        <w:t xml:space="preserve">0.04、升级列下调</w:t>
      </w:r>
      <w:r>
        <w:t xml:space="preserve"> </w:t>
      </w:r>
      <w:r>
        <w:rPr>
          <w:rFonts w:hint="eastAsia"/>
        </w:rPr>
        <w:t xml:space="preserve">0.04；第</w:t>
      </w:r>
      <w:r>
        <w:t xml:space="preserve"> 150 </w:t>
      </w:r>
      <w:r>
        <w:rPr>
          <w:rFonts w:hint="eastAsia"/>
        </w:rPr>
        <w:t xml:space="preserve">天后，缓和列再上调</w:t>
      </w:r>
      <w:r>
        <w:t xml:space="preserve"> </w:t>
      </w:r>
      <w:r>
        <w:rPr>
          <w:rFonts w:hint="eastAsia"/>
        </w:rPr>
        <w:t xml:space="preserve">0.03，维持列和升级列分别下调</w:t>
      </w:r>
      <w:r>
        <w:t xml:space="preserve"> 0.02 </w:t>
      </w:r>
      <w:r>
        <w:rPr>
          <w:rFonts w:hint="eastAsia"/>
        </w:rPr>
        <w:t xml:space="preserve">与</w:t>
      </w:r>
      <w:r>
        <w:t xml:space="preserve"> </w:t>
      </w:r>
      <w:r>
        <w:rPr>
          <w:rFonts w:hint="eastAsia"/>
        </w:rPr>
        <w:t xml:space="preserve">0.01。所有行最后经非负裁剪和归一化处理。这一设定使状态转移既有固定结构，也受到市场隐含波动率和地缘风险读数的约束。</w:t>
      </w:r>
    </w:p>
    <w:bookmarkStart w:id="125" w:name="tab:state-transition-matrix"/>
    <w:p>
      <w:pPr>
        <w:pStyle w:val="TableCaption"/>
      </w:pPr>
      <w:r>
        <w:rPr>
          <w:rFonts w:hint="eastAsia"/>
        </w:rPr>
        <w:t xml:space="preserve">长期状态转移基础矩阵</w:t>
      </w:r>
    </w:p>
    <w:tbl>
      <w:tblPr>
        <w:tblStyle w:val="Table"/>
        <w:tblW w:type="auto" w:w="0"/>
        <w:tblLook w:firstRow="1" w:lastRow="0" w:firstColumn="0" w:lastColumn="0" w:noHBand="0" w:noVBand="0" w:val="0020"/>
        <w:tblCaption w:val="长期状态转移基础矩阵"/>
      </w:tblPr>
      <w:tblGrid>
        <w:gridCol w:w="1980"/>
        <w:gridCol w:w="1980"/>
        <w:gridCol w:w="1980"/>
        <w:gridCol w:w="1980"/>
      </w:tblGrid>
      <w:tr>
        <w:trPr>
          <w:tblHeader w:val="on"/>
        </w:trPr>
        <w:tc>
          <w:tcPr/>
          <w:p>
            <w:pPr>
              <w:pStyle w:val="Compact"/>
              <w:jc w:val="left"/>
            </w:pPr>
            <w:r>
              <w:rPr>
                <w:rFonts w:hint="eastAsia"/>
              </w:rPr>
              <w:t xml:space="preserve">当前状态</w:t>
            </w:r>
          </w:p>
        </w:tc>
        <w:tc>
          <w:tcPr/>
          <w:p>
            <w:pPr>
              <w:pStyle w:val="Compact"/>
              <w:jc w:val="right"/>
            </w:pPr>
            <w:r>
              <w:rPr>
                <w:rFonts w:hint="eastAsia"/>
              </w:rPr>
              <w:t xml:space="preserve">转为缓和</w:t>
            </w:r>
          </w:p>
        </w:tc>
        <w:tc>
          <w:tcPr/>
          <w:p>
            <w:pPr>
              <w:pStyle w:val="Compact"/>
              <w:jc w:val="right"/>
            </w:pPr>
            <w:r>
              <w:rPr>
                <w:rFonts w:hint="eastAsia"/>
              </w:rPr>
              <w:t xml:space="preserve">转为维持</w:t>
            </w:r>
          </w:p>
        </w:tc>
        <w:tc>
          <w:tcPr/>
          <w:p>
            <w:pPr>
              <w:pStyle w:val="Compact"/>
              <w:jc w:val="right"/>
            </w:pPr>
            <w:r>
              <w:rPr>
                <w:rFonts w:hint="eastAsia"/>
              </w:rPr>
              <w:t xml:space="preserve">转为升级</w:t>
            </w:r>
          </w:p>
        </w:tc>
      </w:tr>
      <w:tr>
        <w:tc>
          <w:tcPr/>
          <w:p>
            <w:pPr>
              <w:pStyle w:val="Compact"/>
              <w:jc w:val="left"/>
            </w:pPr>
            <w:r>
              <w:rPr>
                <w:rFonts w:hint="eastAsia"/>
              </w:rPr>
              <w:t xml:space="preserve">缓和</w:t>
            </w:r>
          </w:p>
        </w:tc>
        <w:tc>
          <w:tcPr/>
          <w:p>
            <w:pPr>
              <w:pStyle w:val="Compact"/>
              <w:jc w:val="right"/>
            </w:pPr>
            <w:r>
              <w:t xml:space="preserve">0.90</w:t>
            </w:r>
          </w:p>
        </w:tc>
        <w:tc>
          <w:tcPr/>
          <w:p>
            <w:pPr>
              <w:pStyle w:val="Compact"/>
              <w:jc w:val="right"/>
            </w:pPr>
            <w:r>
              <w:t xml:space="preserve">0.09</w:t>
            </w:r>
          </w:p>
        </w:tc>
        <w:tc>
          <w:tcPr/>
          <w:p>
            <w:pPr>
              <w:pStyle w:val="Compact"/>
              <w:jc w:val="right"/>
            </w:pPr>
            <w:r>
              <w:t xml:space="preserve">0.01</w:t>
            </w:r>
          </w:p>
        </w:tc>
      </w:tr>
      <w:tr>
        <w:tc>
          <w:tcPr/>
          <w:p>
            <w:pPr>
              <w:pStyle w:val="Compact"/>
              <w:jc w:val="left"/>
            </w:pPr>
            <w:r>
              <w:rPr>
                <w:rFonts w:hint="eastAsia"/>
              </w:rPr>
              <w:t xml:space="preserve">维持</w:t>
            </w:r>
          </w:p>
        </w:tc>
        <w:tc>
          <w:tcPr/>
          <w:p>
            <w:pPr>
              <w:pStyle w:val="Compact"/>
              <w:jc w:val="right"/>
            </w:pPr>
            <w:r>
              <w:t xml:space="preserve">0.16</w:t>
            </w:r>
          </w:p>
        </w:tc>
        <w:tc>
          <w:tcPr/>
          <w:p>
            <w:pPr>
              <w:pStyle w:val="Compact"/>
              <w:jc w:val="right"/>
            </w:pPr>
            <w:r>
              <w:t xml:space="preserve">0.78</w:t>
            </w:r>
          </w:p>
        </w:tc>
        <w:tc>
          <w:tcPr/>
          <w:p>
            <w:pPr>
              <w:pStyle w:val="Compact"/>
              <w:jc w:val="right"/>
            </w:pPr>
            <w:r>
              <w:t xml:space="preserve">0.06</w:t>
            </w:r>
          </w:p>
        </w:tc>
      </w:tr>
      <w:tr>
        <w:tc>
          <w:tcPr/>
          <w:p>
            <w:pPr>
              <w:pStyle w:val="Compact"/>
              <w:jc w:val="left"/>
            </w:pPr>
            <w:r>
              <w:rPr>
                <w:rFonts w:hint="eastAsia"/>
              </w:rPr>
              <w:t xml:space="preserve">升级</w:t>
            </w:r>
          </w:p>
        </w:tc>
        <w:tc>
          <w:tcPr/>
          <w:p>
            <w:pPr>
              <w:pStyle w:val="Compact"/>
              <w:jc w:val="right"/>
            </w:pPr>
            <w:r>
              <w:t xml:space="preserve">0.07</w:t>
            </w:r>
          </w:p>
        </w:tc>
        <w:tc>
          <w:tcPr/>
          <w:p>
            <w:pPr>
              <w:pStyle w:val="Compact"/>
              <w:jc w:val="right"/>
            </w:pPr>
            <w:r>
              <w:t xml:space="preserve">0.24</w:t>
            </w:r>
          </w:p>
        </w:tc>
        <w:tc>
          <w:tcPr/>
          <w:p>
            <w:pPr>
              <w:pStyle w:val="Compact"/>
              <w:jc w:val="right"/>
            </w:pPr>
            <w:r>
              <w:t xml:space="preserve">0.69</w:t>
            </w:r>
          </w:p>
        </w:tc>
      </w:tr>
    </w:tbl>
    <w:bookmarkEnd w:id="125"/>
    <w:bookmarkStart w:id="129" w:name="fig:state-transition-fan"/>
    <w:p>
      <w:pPr>
        <w:pStyle w:val="CaptionedFigure"/>
      </w:pPr>
      <w:r>
        <w:drawing>
          <wp:inline>
            <wp:extent cx="5013960" cy="3654242"/>
            <wp:effectExtent b="0" l="0" r="0" t="0"/>
            <wp:docPr descr="" title="" id="127" name="Picture"/>
            <a:graphic>
              <a:graphicData uri="http://schemas.openxmlformats.org/drawingml/2006/picture">
                <pic:pic>
                  <pic:nvPicPr>
                    <pic:cNvPr descr="长期状态转移情景树.png" id="128" name="Picture"/>
                    <pic:cNvPicPr>
                      <a:picLocks noChangeArrowheads="1" noChangeAspect="1"/>
                    </pic:cNvPicPr>
                  </pic:nvPicPr>
                  <pic:blipFill>
                    <a:blip r:embed="rId126"/>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长期状态转移情景树。上图为状态转移后的价格扇形区间，下图为缓和、维持、升级三类状态的样本占比；该图用于回应长期中性线过平的问题，并展示二次升级风险如何进入尾部区间。</w:t>
      </w:r>
    </w:p>
    <w:bookmarkEnd w:id="129"/>
    <w:p>
      <w:pPr>
        <w:pStyle w:val="BodyText"/>
      </w:pPr>
      <w:r>
        <w:rPr>
          <w:rFonts w:hint="eastAsia"/>
        </w:rPr>
        <w:t xml:space="preserve">结果显示，中性情景下价格在</w:t>
      </w:r>
      <w:r>
        <w:t xml:space="preserve"> 180 </w:t>
      </w:r>
      <w:r>
        <w:rPr>
          <w:rFonts w:hint="eastAsia"/>
        </w:rPr>
        <w:t xml:space="preserve">天附近回落至约</w:t>
      </w:r>
      <w:r>
        <w:t xml:space="preserve"> 94.15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133.91 </w:t>
      </w:r>
      <w:r>
        <w:rPr>
          <w:rFonts w:hint="eastAsia"/>
        </w:rPr>
        <w:t xml:space="preserve">美元/桶的高点。图</w:t>
      </w:r>
      <w:r>
        <w:t xml:space="preserve"> </w:t>
      </w:r>
      <w:hyperlink w:anchor="fig:state-transition-fan">
        <w:r>
          <w:rPr>
            <w:rStyle w:val="Hyperlink"/>
          </w:rPr>
          <w:t xml:space="preserve">7</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为多国上报口径，OPEC</w:t>
            </w:r>
            <w:r>
              <w:t xml:space="preserve"> </w:t>
            </w:r>
            <w:r>
              <w:rPr>
                <w:rFonts w:hint="eastAsia"/>
              </w:rPr>
              <w:t xml:space="preserve">为正常基线预测，OVX</w:t>
            </w:r>
            <w:r>
              <w:t xml:space="preserve"> </w:t>
            </w:r>
            <w:r>
              <w:rPr>
                <w:rFonts w:hint="eastAsia"/>
              </w:rPr>
              <w:t xml:space="preserve">为期权市场波动预期；这些数据用于数量级和风险约束，不能直接替代赛题冲击参数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89.58–106.44 </w:t>
            </w:r>
            <w:r>
              <w:rPr>
                <w:rFonts w:hint="eastAsia"/>
              </w:rPr>
              <w:t xml:space="preserve">美元/桶，最高价突破</w:t>
            </w:r>
            <w:r>
              <w:t xml:space="preserve"> 120 </w:t>
            </w:r>
            <w:r>
              <w:rPr>
                <w:rFonts w:hint="eastAsia"/>
              </w:rPr>
              <w:t xml:space="preserve">概率约</w:t>
            </w:r>
            <w:r>
              <w:t xml:space="preserve"> 16.3%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概率约</w:t>
            </w:r>
            <w:r>
              <w:t xml:space="preserve"> 38.3%</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87.78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94.15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110.16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中性第</w:t>
      </w:r>
      <w:r>
        <w:t xml:space="preserve"> 180 </w:t>
      </w:r>
      <w:r>
        <w:rPr>
          <w:rFonts w:hint="eastAsia"/>
        </w:rPr>
        <w:t xml:space="preserve">天物理缺口已基本闭合，但价格仍高于战前</w:t>
      </w:r>
      <w:r>
        <w:t xml:space="preserve"> 75 </w:t>
      </w:r>
      <w:r>
        <w:rPr>
          <w:rFonts w:hint="eastAsia"/>
        </w:rPr>
        <w:t xml:space="preserve">美元/桶，原因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94.15 </w:t>
      </w:r>
      <w:r>
        <w:rPr>
          <w:rFonts w:hint="eastAsia"/>
        </w:rPr>
        <w:t xml:space="preserve">美元/桶应理解为</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31" name="Picture"/>
            <a:graphic>
              <a:graphicData uri="http://schemas.openxmlformats.org/drawingml/2006/picture">
                <pic:pic>
                  <pic:nvPicPr>
                    <pic:cNvPr descr="库存与供需缺口风险.png" id="132" name="Picture"/>
                    <pic:cNvPicPr>
                      <a:picLocks noChangeArrowheads="1" noChangeAspect="1"/>
                    </pic:cNvPicPr>
                  </pic:nvPicPr>
                  <pic:blipFill>
                    <a:blip r:embed="rId130"/>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商业库存剩余量与剩余供需缺口变化。悲观情景下缓冲能力下降、剩余缺口更难闭合，因此二次跳涨风险主要来自库存约束与制度风险叠加。</w:t>
      </w:r>
    </w:p>
    <w:bookmarkEnd w:id="133"/>
    <w:bookmarkEnd w:id="134"/>
    <w:bookmarkStart w:id="178" w:name="敏感性分析"/>
    <w:p>
      <w:pPr>
        <w:pStyle w:val="Heading1"/>
      </w:pPr>
      <w:r>
        <w:rPr>
          <w:rFonts w:hint="eastAsia"/>
        </w:rPr>
        <w:t xml:space="preserve">敏感性分析</w:t>
      </w:r>
    </w:p>
    <w:bookmarkStart w:id="135"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天价格、外推期最高价、剩余供需缺口和二次跳涨风险变化。除题面物理量和行为参数外，本阶段还把长期机制强度参数单独纳入检验，使长期结论的关键常数透明化。综合敏感度定义为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35"/>
    <w:bookmarkStart w:id="144"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bookmarkStart w:id="139" w:name="fig:sensitivity-tornado"/>
    <w:p>
      <w:pPr>
        <w:pStyle w:val="CaptionedFigure"/>
      </w:pPr>
      <w:r>
        <w:drawing>
          <wp:inline>
            <wp:extent cx="4907280" cy="2998893"/>
            <wp:effectExtent b="0" l="0" r="0" t="0"/>
            <wp:docPr descr="" title="" id="137" name="Picture"/>
            <a:graphic>
              <a:graphicData uri="http://schemas.openxmlformats.org/drawingml/2006/picture">
                <pic:pic>
                  <pic:nvPicPr>
                    <pic:cNvPr descr="参数敏感性龙卷风图.png" id="138" name="Picture"/>
                    <pic:cNvPicPr>
                      <a:picLocks noChangeArrowheads="1" noChangeAspect="1"/>
                    </pic:cNvPicPr>
                  </pic:nvPicPr>
                  <pic:blipFill>
                    <a:blip r:embed="rId136"/>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关键参数综合敏感度排序。封锁风险衰减速度、地缘风险权重和制度风险强度排名靠前，说明长期结论主要受市场吸收封锁风险的速度控制。</w:t>
      </w:r>
    </w:p>
    <w:bookmarkEnd w:id="139"/>
    <w:bookmarkStart w:id="143" w:name="fig:sensitivity-heatmap"/>
    <w:p>
      <w:pPr>
        <w:pStyle w:val="CaptionedFigure"/>
      </w:pPr>
      <w:r>
        <w:drawing>
          <wp:inline>
            <wp:extent cx="4800600" cy="2971150"/>
            <wp:effectExtent b="0" l="0" r="0" t="0"/>
            <wp:docPr descr="" title="" id="141" name="Picture"/>
            <a:graphic>
              <a:graphicData uri="http://schemas.openxmlformats.org/drawingml/2006/picture">
                <pic:pic>
                  <pic:nvPicPr>
                    <pic:cNvPr descr="长期敏感性扰动热力图.png" id="142" name="Picture"/>
                    <pic:cNvPicPr>
                      <a:picLocks noChangeArrowheads="1" noChangeAspect="1"/>
                    </pic:cNvPicPr>
                  </pic:nvPicPr>
                  <pic:blipFill>
                    <a:blip r:embed="rId140"/>
                    <a:stretch>
                      <a:fillRect/>
                    </a:stretch>
                  </pic:blipFill>
                  <pic:spPr bwMode="auto">
                    <a:xfrm>
                      <a:off x="0" y="0"/>
                      <a:ext cx="4800600" cy="2971150"/>
                    </a:xfrm>
                    <a:prstGeom prst="rect">
                      <a:avLst/>
                    </a:prstGeom>
                    <a:noFill/>
                    <a:ln w="9525">
                      <a:noFill/>
                      <a:headEnd/>
                      <a:tailEnd/>
                    </a:ln>
                  </pic:spPr>
                </pic:pic>
              </a:graphicData>
            </a:graphic>
          </wp:inline>
        </w:drawing>
      </w:r>
    </w:p>
    <w:p>
      <w:pPr>
        <w:pStyle w:val="ImageCaption"/>
      </w:pPr>
      <w:r>
        <w:rPr>
          <w:rFonts w:hint="eastAsia"/>
        </w:rPr>
        <w:t xml:space="preserve">长期敏感性扰动热力图。颜色表示不同参数扰动档位下第</w:t>
      </w:r>
      <w:r>
        <w:t xml:space="preserve"> 180 </w:t>
      </w:r>
      <w:r>
        <w:rPr>
          <w:rFonts w:hint="eastAsia"/>
        </w:rPr>
        <w:t xml:space="preserve">天价格相对中性基准的变化方向和幅度，红色代表终点价格上升，蓝色代表终点价格下降。相比单一排序图，该图进一步展示同一参数在不同扰动档位下是否呈现稳定方向，说明长期结论主要受封锁风险衰减速度、地缘风险权重和制度风险强度共同控制。</w:t>
      </w:r>
    </w:p>
    <w:bookmarkEnd w:id="143"/>
    <w:p>
      <w:pPr>
        <w:pStyle w:val="BodyText"/>
      </w:pPr>
      <w:r>
        <w:rPr>
          <w:rFonts w:hint="eastAsia"/>
        </w:rPr>
        <w:t xml:space="preserve">敏感性分析表明，第</w:t>
      </w:r>
      <w:r>
        <w:t xml:space="preserve"> 180 </w:t>
      </w:r>
      <w:r>
        <w:rPr>
          <w:rFonts w:hint="eastAsia"/>
        </w:rPr>
        <w:t xml:space="preserve">天终点价格对市场风险吸收速度最敏感。图</w:t>
      </w:r>
      <w:r>
        <w:t xml:space="preserve"> </w:t>
      </w:r>
      <w:hyperlink w:anchor="fig:sensitivity-tornado">
        <w:r>
          <w:rPr>
            <w:rStyle w:val="Hyperlink"/>
          </w:rPr>
          <w:t xml:space="preserve">8</w:t>
        </w:r>
      </w:hyperlink>
      <w:r>
        <w:t xml:space="preserve"> </w:t>
      </w:r>
      <w:r>
        <w:rPr>
          <w:rFonts w:hint="eastAsia"/>
        </w:rPr>
        <w:t xml:space="preserve">中，封锁风险衰减速度从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p>
      <w:pPr>
        <w:pStyle w:val="BodyText"/>
      </w:pPr>
      <w:r>
        <w:rPr>
          <w:rFonts w:hint="eastAsia"/>
          <w:b/>
          <w:bCs/>
        </w:rPr>
        <w:t xml:space="preserve">关键结论</w:t>
      </w:r>
      <w:r>
        <w:rPr>
          <w:rFonts w:hint="eastAsia"/>
        </w:rPr>
        <w:t xml:space="preserve">敏感性排序将隐藏常数显性化：长期预测最依赖封锁风险衰减速度，其次才是地缘风险权重和制度风险强度。这种写法主动承认模型边界，比只报一个中性预测点更稳。</w:t>
      </w:r>
    </w:p>
    <w:bookmarkEnd w:id="144"/>
    <w:bookmarkStart w:id="155"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BodyText"/>
      </w:pPr>
      <w:r>
        <w:rPr>
          <w:rFonts w:hint="eastAsia"/>
        </w:rPr>
        <w:t xml:space="preserve">需要说明的是，蒙特卡洛抽样并不把所有参数视为彼此独立。本文通过综合压力指数引入方向一致的相关结构：高压状态下，供应中断更大、政策缓冲更弱、运输恢复更慢、风险溢价更高；低压状态下则相反。因此，蒙特卡洛结果应理解为基于题面机制和历史波动尺度的条件先验分布，而不是从未来市场中估计出来的真实协方差矩阵。表中突破概率也是在这些条件假设下的尾部概率，不是无条件历史频率。</w:t>
      </w:r>
    </w:p>
    <w:p>
      <w:pPr>
        <w:pStyle w:val="BodyText"/>
      </w:pPr>
      <w:r>
        <w:rPr>
          <w:rFonts w:hint="eastAsia"/>
        </w:rPr>
        <w:t xml:space="preserve">本文进一步利用</w:t>
      </w:r>
      <w:r>
        <w:t xml:space="preserve"> 2017–2025 </w:t>
      </w:r>
      <w:r>
        <w:rPr>
          <w:rFonts w:hint="eastAsia"/>
        </w:rPr>
        <w:t xml:space="preserve">年附件历史数据构造</w:t>
      </w:r>
      <w:r>
        <w:t xml:space="preserve"> 2146 </w:t>
      </w:r>
      <w:r>
        <w:rPr>
          <w:rFonts w:hint="eastAsia"/>
        </w:rPr>
        <w:t xml:space="preserve">个同长度窗口，校准长期扰动尺度。2026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0.073，并将状态转移日度扰动波动率校准为</w:t>
      </w:r>
      <w:r>
        <w:t xml:space="preserve"> </w:t>
      </w:r>
      <w:r>
        <w:rPr>
          <w:rFonts w:hint="eastAsia"/>
        </w:rPr>
        <w:t xml:space="preserve">0.0132。历史数据因此进入长期模型的不确定性参数层，而不直接替代霍尔木兹封锁机制。</w:t>
      </w:r>
    </w:p>
    <w:p>
      <w:pPr>
        <w:pStyle w:val="CaptionedFigure"/>
      </w:pPr>
      <w:r>
        <w:drawing>
          <wp:inline>
            <wp:extent cx="4587240" cy="1761500"/>
            <wp:effectExtent b="0" l="0" r="0" t="0"/>
            <wp:docPr descr="" title="" id="146" name="Picture"/>
            <a:graphic>
              <a:graphicData uri="http://schemas.openxmlformats.org/drawingml/2006/picture">
                <pic:pic>
                  <pic:nvPicPr>
                    <pic:cNvPr descr="历史波动参数校准.png" id="147" name="Picture"/>
                    <pic:cNvPicPr>
                      <a:picLocks noChangeArrowheads="1" noChangeAspect="1"/>
                    </pic:cNvPicPr>
                  </pic:nvPicPr>
                  <pic:blipFill>
                    <a:blip r:embed="rId145"/>
                    <a:stretch>
                      <a:fillRect/>
                    </a:stretch>
                  </pic:blipFill>
                  <pic:spPr bwMode="auto">
                    <a:xfrm>
                      <a:off x="0" y="0"/>
                      <a:ext cx="4587240" cy="1761500"/>
                    </a:xfrm>
                    <a:prstGeom prst="rect">
                      <a:avLst/>
                    </a:prstGeom>
                    <a:noFill/>
                    <a:ln w="9525">
                      <a:noFill/>
                      <a:headEnd/>
                      <a:tailEnd/>
                    </a:ln>
                  </pic:spPr>
                </pic:pic>
              </a:graphicData>
            </a:graphic>
          </wp:inline>
        </w:drawing>
      </w:r>
    </w:p>
    <w:p>
      <w:pPr>
        <w:pStyle w:val="ImageCaption"/>
      </w:pPr>
      <w:r>
        <w:rPr>
          <w:rFonts w:hint="eastAsia"/>
        </w:rPr>
        <w:t xml:space="preserve">历史波动参数校准。2017–2025</w:t>
      </w:r>
      <w:r>
        <w:t xml:space="preserve"> </w:t>
      </w:r>
      <w:r>
        <w:rPr>
          <w:rFonts w:hint="eastAsia"/>
        </w:rPr>
        <w:t xml:space="preserve">同长度窗口为长期蒙特卡洛和状态转移扰动提供历史尺度。</w:t>
      </w:r>
    </w:p>
    <w:bookmarkStart w:id="151" w:name="fig:mc-path-cloud"/>
    <w:p>
      <w:pPr>
        <w:pStyle w:val="CaptionedFigure"/>
      </w:pPr>
      <w:r>
        <w:drawing>
          <wp:inline>
            <wp:extent cx="4907280" cy="2661575"/>
            <wp:effectExtent b="0" l="0" r="0" t="0"/>
            <wp:docPr descr="" title="" id="149" name="Picture"/>
            <a:graphic>
              <a:graphicData uri="http://schemas.openxmlformats.org/drawingml/2006/picture">
                <pic:pic>
                  <pic:nvPicPr>
                    <pic:cNvPr descr="传统蒙特卡洛路径云图.png" id="150" name="Picture"/>
                    <pic:cNvPicPr>
                      <a:picLocks noChangeArrowheads="1" noChangeAspect="1"/>
                    </pic:cNvPicPr>
                  </pic:nvPicPr>
                  <pic:blipFill>
                    <a:blip r:embed="rId148"/>
                    <a:stretch>
                      <a:fillRect/>
                    </a:stretch>
                  </pic:blipFill>
                  <pic:spPr bwMode="auto">
                    <a:xfrm>
                      <a:off x="0" y="0"/>
                      <a:ext cx="4907280" cy="2661575"/>
                    </a:xfrm>
                    <a:prstGeom prst="rect">
                      <a:avLst/>
                    </a:prstGeom>
                    <a:noFill/>
                    <a:ln w="9525">
                      <a:noFill/>
                      <a:headEnd/>
                      <a:tailEnd/>
                    </a:ln>
                  </pic:spPr>
                </pic:pic>
              </a:graphicData>
            </a:graphic>
          </wp:inline>
        </w:drawing>
      </w:r>
    </w:p>
    <w:p>
      <w:pPr>
        <w:pStyle w:val="ImageCaption"/>
      </w:pPr>
      <w:r>
        <w:rPr>
          <w:rFonts w:hint="eastAsia"/>
        </w:rPr>
        <w:t xml:space="preserve">传统蒙特卡洛路径云图。图中从</w:t>
      </w:r>
      <w:r>
        <w:t xml:space="preserve"> 2000 </w:t>
      </w:r>
      <w:r>
        <w:rPr>
          <w:rFonts w:hint="eastAsia"/>
        </w:rPr>
        <w:t xml:space="preserve">条模拟路径中分层抽取代表路径，黑线为中位数路径，蓝色虚线为</w:t>
      </w:r>
      <w:r>
        <w:t xml:space="preserve"> P05/P95 </w:t>
      </w:r>
      <w:r>
        <w:rPr>
          <w:rFonts w:hint="eastAsia"/>
        </w:rPr>
        <w:t xml:space="preserve">条件边界，红色虚线为</w:t>
      </w:r>
      <w:r>
        <w:t xml:space="preserve"> 120 </w:t>
      </w:r>
      <w:r>
        <w:rPr>
          <w:rFonts w:hint="eastAsia"/>
        </w:rPr>
        <w:t xml:space="preserve">美元/桶风险线。</w:t>
      </w:r>
    </w:p>
    <w:bookmarkEnd w:id="151"/>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16.3%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3.9%</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8.4%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89.58</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96.69</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106.44</w:t>
            </w:r>
          </w:p>
        </w:tc>
      </w:tr>
      <w:tr>
        <w:tc>
          <w:tcPr/>
          <w:p>
            <w:pPr>
              <w:pStyle w:val="Compact"/>
              <w:jc w:val="left"/>
            </w:pPr>
            <w:r>
              <w:rPr>
                <w:rFonts w:hint="eastAsia"/>
              </w:rPr>
              <w:t xml:space="preserve">外推期最高价</w:t>
            </w:r>
            <w:r>
              <w:t xml:space="preserve"> P95</w:t>
            </w:r>
          </w:p>
        </w:tc>
        <w:tc>
          <w:tcPr/>
          <w:p>
            <w:pPr>
              <w:pStyle w:val="Compact"/>
              <w:jc w:val="right"/>
            </w:pPr>
            <w:r>
              <w:t xml:space="preserve">128.53</w:t>
            </w:r>
          </w:p>
        </w:tc>
      </w:tr>
    </w:tbl>
    <w:p>
      <w:pPr>
        <w:pStyle w:val="CaptionedFigure"/>
      </w:pPr>
      <w:r>
        <w:drawing>
          <wp:inline>
            <wp:extent cx="4160520" cy="2352876"/>
            <wp:effectExtent b="0" l="0" r="0" t="0"/>
            <wp:docPr descr="" title="" id="153" name="Picture"/>
            <a:graphic>
              <a:graphicData uri="http://schemas.openxmlformats.org/drawingml/2006/picture">
                <pic:pic>
                  <pic:nvPicPr>
                    <pic:cNvPr descr="蒙特卡洛尾部风险概率.png" id="154" name="Picture"/>
                    <pic:cNvPicPr>
                      <a:picLocks noChangeArrowheads="1" noChangeAspect="1"/>
                    </pic:cNvPicPr>
                  </pic:nvPicPr>
                  <pic:blipFill>
                    <a:blip r:embed="rId152"/>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蒙特卡洛尾部风险概率。突破阈值概率随外推时间变化，说明长期模型应报告条件尾部风险，而不是只给单条中性预测线。</w:t>
      </w:r>
    </w:p>
    <w:p>
      <w:pPr>
        <w:pStyle w:val="BodyText"/>
      </w:pPr>
      <w:r>
        <w:rPr>
          <w:rFonts w:hint="eastAsia"/>
        </w:rPr>
        <w:t xml:space="preserve">结果表明，蒙特卡洛路径的第</w:t>
      </w:r>
      <w:r>
        <w:t xml:space="preserve"> 180 </w:t>
      </w:r>
      <w:r>
        <w:rPr>
          <w:rFonts w:hint="eastAsia"/>
        </w:rPr>
        <w:t xml:space="preserve">天中位数价格为</w:t>
      </w:r>
      <w:r>
        <w:t xml:space="preserve"> 96.69 </w:t>
      </w:r>
      <w:r>
        <w:rPr>
          <w:rFonts w:hint="eastAsia"/>
        </w:rPr>
        <w:t xml:space="preserve">美元/桶，与接入官方外生约束和</w:t>
      </w:r>
      <w:r>
        <w:t xml:space="preserve"> OVX </w:t>
      </w:r>
      <w:r>
        <w:rPr>
          <w:rFonts w:hint="eastAsia"/>
        </w:rPr>
        <w:t xml:space="preserve">后的中性情景</w:t>
      </w:r>
      <w:r>
        <w:t xml:space="preserve"> 94.15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美元/桶的概率为</w:t>
      </w:r>
      <w:r>
        <w:t xml:space="preserve"> </w:t>
      </w:r>
      <w:r>
        <w:rPr>
          <w:rFonts w:hint="eastAsia"/>
        </w:rPr>
        <w:t xml:space="preserve">16.3%，突破</w:t>
      </w:r>
      <w:r>
        <w:t xml:space="preserve"> 130 </w:t>
      </w:r>
      <w:r>
        <w:rPr>
          <w:rFonts w:hint="eastAsia"/>
        </w:rPr>
        <w:t xml:space="preserve">美元/桶的概率为</w:t>
      </w:r>
      <w:r>
        <w:t xml:space="preserve"> </w:t>
      </w:r>
      <w:r>
        <w:rPr>
          <w:rFonts w:hint="eastAsia"/>
        </w:rPr>
        <w:t xml:space="preserve">3.9%。这说明长期风险的重点不是中性点预测本身，而是多因素联动恶化下的尾部组合风险；OVX</w:t>
      </w:r>
      <w:r>
        <w:t xml:space="preserve"> </w:t>
      </w:r>
      <w:r>
        <w:rPr>
          <w:rFonts w:hint="eastAsia"/>
        </w:rPr>
        <w:t xml:space="preserve">接入后，模型对市场隐含波动率给出的尾部定价更加敏感。</w:t>
      </w:r>
    </w:p>
    <w:bookmarkEnd w:id="155"/>
    <w:bookmarkStart w:id="159"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为状态切换时的跳变项。状态转移概率</w:t>
      </w:r>
      <w:r>
        <w:t xml:space="preserve"> </w:t>
      </w:r>
      <m:oMath>
        <m:sSub>
          <m:e>
            <m:r>
              <m:t>m</m:t>
            </m:r>
          </m:e>
          <m:sub>
            <m:r>
              <m:t>i</m:t>
            </m:r>
            <m:r>
              <m:t>j</m:t>
            </m:r>
          </m:sub>
        </m:sSub>
        <m:r>
          <m:rPr>
            <m:sty m:val="p"/>
          </m:rPr>
          <m:t>(</m:t>
        </m:r>
        <m:r>
          <m:t>t</m:t>
        </m:r>
        <m:r>
          <m:rPr>
            <m:sty m:val="p"/>
          </m:rPr>
          <m:t>)</m:t>
        </m:r>
      </m:oMath>
      <w:r>
        <w:t xml:space="preserve"> </w:t>
      </w:r>
      <w:r>
        <w:rPr>
          <w:rFonts w:hint="eastAsia"/>
        </w:rPr>
        <w:t xml:space="preserve">还受到</w:t>
      </w:r>
      <w:r>
        <w:t xml:space="preserve"> GPR </w:t>
      </w:r>
      <w:r>
        <w:rPr>
          <w:rFonts w:hint="eastAsia"/>
        </w:rPr>
        <w:t xml:space="preserve">与</w:t>
      </w:r>
      <w:r>
        <w:t xml:space="preserve"> OVX </w:t>
      </w:r>
      <w:r>
        <w:rPr>
          <w:rFonts w:hint="eastAsia"/>
        </w:rPr>
        <w:t xml:space="preserve">生成的综合状态转移压力约束：GPR</w:t>
      </w:r>
      <w:r>
        <w:t xml:space="preserve"> </w:t>
      </w:r>
      <w:r>
        <w:rPr>
          <w:rFonts w:hint="eastAsia"/>
        </w:rPr>
        <w:t xml:space="preserve">反映地缘风险高位，OVX</w:t>
      </w:r>
      <w:r>
        <w:t xml:space="preserve"> </w:t>
      </w:r>
      <w:r>
        <w:rPr>
          <w:rFonts w:hint="eastAsia"/>
        </w:rPr>
        <w:t xml:space="preserve">反映期权市场对未来波动的定价，二者只温和提高早中期升级概率，并随外推时间衰减。该设定的含义是：长期物理机制决定价格中枢，事件状态切换决定价格围绕中枢的震荡和局部跳变。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89.58 </w:t>
      </w:r>
      <w:r>
        <w:rPr>
          <w:rFonts w:hint="eastAsia"/>
        </w:rPr>
        <w:t xml:space="preserve">美元/桶，5%–95%</w:t>
      </w:r>
      <w:r>
        <w:t xml:space="preserve"> </w:t>
      </w:r>
      <w:r>
        <w:rPr>
          <w:rFonts w:hint="eastAsia"/>
        </w:rPr>
        <w:t xml:space="preserve">条件区间为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38.3%，突破</w:t>
      </w:r>
      <w:r>
        <w:t xml:space="preserve"> 130 </w:t>
      </w:r>
      <w:r>
        <w:rPr>
          <w:rFonts w:hint="eastAsia"/>
        </w:rPr>
        <w:t xml:space="preserve">美元/桶的条件概率为</w:t>
      </w:r>
      <w:r>
        <w:t xml:space="preserve"> </w:t>
      </w:r>
      <w:r>
        <w:rPr>
          <w:rFonts w:hint="eastAsia"/>
        </w:rPr>
        <w:t xml:space="preserve">5.7%。这说明状态切换和市场风险约束确实会放大外推期局部峰值，但不会推翻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57" name="Picture"/>
            <a:graphic>
              <a:graphicData uri="http://schemas.openxmlformats.org/drawingml/2006/picture">
                <pic:pic>
                  <pic:nvPicPr>
                    <pic:cNvPr descr="R长期状态转移扇形图.png" id="158" name="Picture"/>
                    <pic:cNvPicPr>
                      <a:picLocks noChangeArrowheads="1" noChangeAspect="1"/>
                    </pic:cNvPicPr>
                  </pic:nvPicPr>
                  <pic:blipFill>
                    <a:blip r:embed="rId156"/>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条件区间，虚线为原中性中心路径；该图证明长期预测的可信表达是区间和状态切换，而非逐日点预测。</w:t>
      </w:r>
    </w:p>
    <w:bookmarkEnd w:id="159"/>
    <w:bookmarkStart w:id="166" w:name="滞后地缘风险指数检验"/>
    <w:p>
      <w:pPr>
        <w:pStyle w:val="Heading2"/>
      </w:pPr>
      <w:r>
        <w:rPr>
          <w:rFonts w:hint="eastAsia"/>
        </w:rPr>
        <w:t xml:space="preserve">滞后地缘风险指数检验</w:t>
      </w:r>
    </w:p>
    <w:p>
      <w:pPr>
        <w:pStyle w:val="FirstParagraph"/>
      </w:pPr>
      <w:r>
        <w:rPr>
          <w:rFonts w:hint="eastAsia"/>
        </w:rPr>
        <w:t xml:space="preserve">综合机制递推模型中包含地缘风险权重和恐慌衰减项。若直接用新闻情绪或风险指数解释同日油价，可能存在反向因果：油价上涨可能先刺激媒体报道增加，随后模型又用新闻恐慌解释油价上涨。本文使用</w:t>
      </w:r>
      <w:r>
        <w:t xml:space="preserve"> Caldara-Iacoviello GPR </w:t>
      </w:r>
      <w:r>
        <w:rPr>
          <w:rFonts w:hint="eastAsia"/>
        </w:rPr>
        <w:t xml:space="preserve">月度指数做外部校验，并采用滞后一期口径处理新闻风险变量与油价之间的反馈关系。</w:t>
      </w:r>
    </w:p>
    <w:p>
      <w:pPr>
        <w:pStyle w:val="TableCaption"/>
      </w:pPr>
      <w:r>
        <w:rPr>
          <w:rFonts w:hint="eastAsia"/>
        </w:rPr>
        <w:t xml:space="preserve">滞后</w:t>
      </w:r>
      <w:r>
        <w:t xml:space="preserve"> GPR </w:t>
      </w:r>
      <w:r>
        <w:rPr>
          <w:rFonts w:hint="eastAsia"/>
        </w:rPr>
        <w:t xml:space="preserve">风险检验指标</w:t>
      </w:r>
    </w:p>
    <w:tbl>
      <w:tblPr>
        <w:tblStyle w:val="Table"/>
        <w:tblW w:type="auto" w:w="0"/>
        <w:tblLook w:firstRow="1" w:lastRow="0" w:firstColumn="0" w:lastColumn="0" w:noHBand="0" w:noVBand="0" w:val="0020"/>
        <w:tblCaption w:val="滞后 GPR 风险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61" name="Picture"/>
            <a:graphic>
              <a:graphicData uri="http://schemas.openxmlformats.org/drawingml/2006/picture">
                <pic:pic>
                  <pic:nvPicPr>
                    <pic:cNvPr descr="地缘风险指数滞后审计.png" id="162" name="Picture"/>
                    <pic:cNvPicPr>
                      <a:picLocks noChangeArrowheads="1" noChangeAspect="1"/>
                    </pic:cNvPicPr>
                  </pic:nvPicPr>
                  <pic:blipFill>
                    <a:blip r:embed="rId160"/>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地缘风险指数检验：同步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64" name="Picture"/>
            <a:graphic>
              <a:graphicData uri="http://schemas.openxmlformats.org/drawingml/2006/picture">
                <pic:pic>
                  <pic:nvPicPr>
                    <pic:cNvPr descr="滞后GPR与布伦特收益关系.png" id="165" name="Picture"/>
                    <pic:cNvPicPr>
                      <a:picLocks noChangeArrowheads="1" noChangeAspect="1"/>
                    </pic:cNvPicPr>
                  </pic:nvPicPr>
                  <pic:blipFill>
                    <a:blip r:embed="rId163"/>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更适合作为风险溢价外部校验，而非单独点预测模型。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处于历史高分位，说明模型中的地缘风险溢价具有外部风险指数支撑。第二，滞后</w:t>
      </w:r>
      <w:r>
        <w:t xml:space="preserve"> GPR </w:t>
      </w:r>
      <w:r>
        <w:rPr>
          <w:rFonts w:hint="eastAsia"/>
        </w:rPr>
        <w:t xml:space="preserve">对月度收益的解释力有限，因此本文不将其直接加入短期拟合，也不把风险指数写成强点预测变量。这使模型在风险解释和内生性边界之间保持较稳妥的定位。</w:t>
      </w:r>
    </w:p>
    <w:bookmarkEnd w:id="166"/>
    <w:bookmarkStart w:id="170" w:name="市场隐含波动率检验"/>
    <w:p>
      <w:pPr>
        <w:pStyle w:val="Heading2"/>
      </w:pPr>
      <w:r>
        <w:rPr>
          <w:rFonts w:hint="eastAsia"/>
        </w:rPr>
        <w:t xml:space="preserve">市场隐含波动率检验</w:t>
      </w:r>
    </w:p>
    <w:p>
      <w:pPr>
        <w:pStyle w:val="FirstParagraph"/>
      </w:pPr>
      <w:r>
        <w:t xml:space="preserve">GPR </w:t>
      </w:r>
      <w:r>
        <w:rPr>
          <w:rFonts w:hint="eastAsia"/>
        </w:rPr>
        <w:t xml:space="preserve">的优势是覆盖长期地缘政治风险叙事，但它来自新闻文本，天然存在内生性边界。为补充更接近市场交易定价的风险变量，本文接入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隐含波动率日度序列，并与附件布伦特主力合约价格进行滞后检验。</w:t>
      </w:r>
    </w:p>
    <w:p>
      <w:pPr>
        <w:pStyle w:val="TableCaption"/>
      </w:pPr>
      <w:r>
        <w:t xml:space="preserve">OVX </w:t>
      </w:r>
      <w:r>
        <w:rPr>
          <w:rFonts w:hint="eastAsia"/>
        </w:rPr>
        <w:t xml:space="preserve">市场隐含波动率检验指标</w:t>
      </w:r>
    </w:p>
    <w:tbl>
      <w:tblPr>
        <w:tblStyle w:val="Table"/>
        <w:tblW w:type="auto" w:w="0"/>
        <w:tblLook w:firstRow="1" w:lastRow="0" w:firstColumn="0" w:lastColumn="0" w:noHBand="0" w:noVBand="0" w:val="0020"/>
        <w:tblCaption w:val="OVX 市场隐含波动率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冲突窗口</w:t>
            </w:r>
            <w:r>
              <w:t xml:space="preserve"> OVX </w:t>
            </w:r>
            <w:r>
              <w:rPr>
                <w:rFonts w:hint="eastAsia"/>
              </w:rPr>
              <w:t xml:space="preserve">均值</w:t>
            </w:r>
          </w:p>
        </w:tc>
        <w:tc>
          <w:tcPr/>
          <w:p>
            <w:pPr>
              <w:pStyle w:val="Compact"/>
              <w:jc w:val="right"/>
            </w:pPr>
            <w:r>
              <w:t xml:space="preserve">87.07</w:t>
            </w:r>
          </w:p>
        </w:tc>
        <w:tc>
          <w:tcPr/>
          <w:p>
            <w:pPr>
              <w:pStyle w:val="Compact"/>
              <w:jc w:val="left"/>
            </w:pPr>
            <w:r>
              <w:rPr>
                <w:rFonts w:hint="eastAsia"/>
              </w:rPr>
              <w:t xml:space="preserve">期权市场定价出的冲突窗口平均预期波动率</w:t>
            </w:r>
          </w:p>
        </w:tc>
      </w:tr>
      <w:tr>
        <w:tc>
          <w:tcPr/>
          <w:p>
            <w:pPr>
              <w:pStyle w:val="Compact"/>
              <w:jc w:val="left"/>
            </w:pPr>
            <w:r>
              <w:rPr>
                <w:rFonts w:hint="eastAsia"/>
              </w:rPr>
              <w:t xml:space="preserve">冲突窗口</w:t>
            </w:r>
            <w:r>
              <w:t xml:space="preserve"> OVX </w:t>
            </w:r>
            <w:r>
              <w:rPr>
                <w:rFonts w:hint="eastAsia"/>
              </w:rPr>
              <w:t xml:space="preserve">最大值</w:t>
            </w:r>
          </w:p>
        </w:tc>
        <w:tc>
          <w:tcPr/>
          <w:p>
            <w:pPr>
              <w:pStyle w:val="Compact"/>
              <w:jc w:val="right"/>
            </w:pPr>
            <w:r>
              <w:t xml:space="preserve">120.91</w:t>
            </w:r>
          </w:p>
        </w:tc>
        <w:tc>
          <w:tcPr/>
          <w:p>
            <w:pPr>
              <w:pStyle w:val="Compact"/>
              <w:jc w:val="left"/>
            </w:pPr>
            <w:r>
              <w:rPr>
                <w:rFonts w:hint="eastAsia"/>
              </w:rPr>
              <w:t xml:space="preserve">冲突窗口内市场隐含波动率峰值</w:t>
            </w:r>
          </w:p>
        </w:tc>
      </w:tr>
      <w:tr>
        <w:tc>
          <w:tcPr/>
          <w:p>
            <w:pPr>
              <w:pStyle w:val="Compact"/>
              <w:jc w:val="left"/>
            </w:pPr>
            <w:r>
              <w:rPr>
                <w:rFonts w:hint="eastAsia"/>
              </w:rPr>
              <w:t xml:space="preserve">冲突窗口</w:t>
            </w:r>
            <w:r>
              <w:t xml:space="preserve"> OVX </w:t>
            </w:r>
            <w:r>
              <w:rPr>
                <w:rFonts w:hint="eastAsia"/>
              </w:rPr>
              <w:t xml:space="preserve">均值历史分位</w:t>
            </w:r>
          </w:p>
        </w:tc>
        <w:tc>
          <w:tcPr/>
          <w:p>
            <w:pPr>
              <w:pStyle w:val="Compact"/>
              <w:jc w:val="right"/>
            </w:pPr>
            <w:r>
              <w:t xml:space="preserve">97.3%</w:t>
            </w:r>
          </w:p>
        </w:tc>
        <w:tc>
          <w:tcPr/>
          <w:p>
            <w:pPr>
              <w:pStyle w:val="Compact"/>
              <w:jc w:val="left"/>
            </w:pPr>
            <w:r>
              <w:rPr>
                <w:rFonts w:hint="eastAsia"/>
              </w:rPr>
              <w:t xml:space="preserve">同长度历史窗口均值口径下的异常程度</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与绝对收益相关系数</w:t>
            </w:r>
          </w:p>
        </w:tc>
        <w:tc>
          <w:tcPr/>
          <w:p>
            <w:pPr>
              <w:pStyle w:val="Compact"/>
              <w:jc w:val="right"/>
            </w:pPr>
            <w:r>
              <w:t xml:space="preserve">0.422</w:t>
            </w:r>
          </w:p>
        </w:tc>
        <w:tc>
          <w:tcPr/>
          <w:p>
            <w:pPr>
              <w:pStyle w:val="Compact"/>
              <w:jc w:val="left"/>
            </w:pPr>
            <w:r>
              <w:rPr>
                <w:rFonts w:hint="eastAsia"/>
              </w:rPr>
              <w:t xml:space="preserve">隐含波动率对未来波动强度有解释力</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p>
        </w:tc>
        <w:tc>
          <w:tcPr/>
          <w:p>
            <w:pPr>
              <w:pStyle w:val="Compact"/>
              <w:jc w:val="right"/>
            </w:pPr>
            <w:r>
              <w:t xml:space="preserve">0.790</w:t>
            </w:r>
          </w:p>
        </w:tc>
        <w:tc>
          <w:tcPr/>
          <w:p>
            <w:pPr>
              <w:pStyle w:val="Compact"/>
              <w:jc w:val="left"/>
            </w:pPr>
            <w:r>
              <w:t xml:space="preserve">OVX </w:t>
            </w:r>
            <w:r>
              <w:rPr>
                <w:rFonts w:hint="eastAsia"/>
              </w:rPr>
              <w:t xml:space="preserve">更适合约束波动和尾部风险</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变化与收益相关系数</w:t>
            </w:r>
          </w:p>
        </w:tc>
        <w:tc>
          <w:tcPr/>
          <w:p>
            <w:pPr>
              <w:pStyle w:val="Compact"/>
              <w:jc w:val="right"/>
            </w:pPr>
            <w:r>
              <w:t xml:space="preserve">-0.074</w:t>
            </w:r>
          </w:p>
        </w:tc>
        <w:tc>
          <w:tcPr/>
          <w:p>
            <w:pPr>
              <w:pStyle w:val="Compact"/>
              <w:jc w:val="left"/>
            </w:pPr>
            <w:r>
              <w:rPr>
                <w:rFonts w:hint="eastAsia"/>
              </w:rPr>
              <w:t xml:space="preserve">不支持把</w:t>
            </w:r>
            <w:r>
              <w:t xml:space="preserve"> OVX </w:t>
            </w:r>
            <w:r>
              <w:rPr>
                <w:rFonts w:hint="eastAsia"/>
              </w:rPr>
              <w:t xml:space="preserve">包装成强方向预测变量</w:t>
            </w:r>
          </w:p>
        </w:tc>
      </w:tr>
    </w:tbl>
    <w:p>
      <w:pPr>
        <w:pStyle w:val="CaptionedFigure"/>
      </w:pPr>
      <w:r>
        <w:drawing>
          <wp:inline>
            <wp:extent cx="4907280" cy="3141983"/>
            <wp:effectExtent b="0" l="0" r="0" t="0"/>
            <wp:docPr descr="" title="" id="168" name="Picture"/>
            <a:graphic>
              <a:graphicData uri="http://schemas.openxmlformats.org/drawingml/2006/picture">
                <pic:pic>
                  <pic:nvPicPr>
                    <pic:cNvPr descr="OVX隐含波动率滞后检验.png" id="169" name="Picture"/>
                    <pic:cNvPicPr>
                      <a:picLocks noChangeArrowheads="1" noChangeAspect="1"/>
                    </pic:cNvPicPr>
                  </pic:nvPicPr>
                  <pic:blipFill>
                    <a:blip r:embed="rId167"/>
                    <a:stretch>
                      <a:fillRect/>
                    </a:stretch>
                  </pic:blipFill>
                  <pic:spPr bwMode="auto">
                    <a:xfrm>
                      <a:off x="0" y="0"/>
                      <a:ext cx="4907280" cy="3141983"/>
                    </a:xfrm>
                    <a:prstGeom prst="rect">
                      <a:avLst/>
                    </a:prstGeom>
                    <a:noFill/>
                    <a:ln w="9525">
                      <a:noFill/>
                      <a:headEnd/>
                      <a:tailEnd/>
                    </a:ln>
                  </pic:spPr>
                </pic:pic>
              </a:graphicData>
            </a:graphic>
          </wp:inline>
        </w:drawing>
      </w:r>
    </w:p>
    <w:p>
      <w:pPr>
        <w:pStyle w:val="ImageCaption"/>
      </w:pPr>
      <w:r>
        <w:t xml:space="preserve">OVX </w:t>
      </w:r>
      <w:r>
        <w:rPr>
          <w:rFonts w:hint="eastAsia"/>
        </w:rPr>
        <w:t xml:space="preserve">隐含波动率滞后检验。冲突窗口内</w:t>
      </w:r>
      <w:r>
        <w:t xml:space="preserve"> OVX </w:t>
      </w:r>
      <w:r>
        <w:rPr>
          <w:rFonts w:hint="eastAsia"/>
        </w:rPr>
        <w:t xml:space="preserve">明显升高，说明期权市场也对原油尾部风险重新定价。</w:t>
      </w:r>
    </w:p>
    <w:p>
      <w:pPr>
        <w:pStyle w:val="BodyText"/>
      </w:pPr>
      <w:r>
        <w:t xml:space="preserve">OVX </w:t>
      </w:r>
      <w:r>
        <w:rPr>
          <w:rFonts w:hint="eastAsia"/>
        </w:rPr>
        <w:t xml:space="preserve">接入长期模型的方式是克制的：它只作为长期风险权重和不确定性强度的附加乘数，而不进入短期同日拟合。具体而言，OVX</w:t>
      </w:r>
      <w:r>
        <w:t xml:space="preserve"> </w:t>
      </w:r>
      <w:r>
        <w:rPr>
          <w:rFonts w:hint="eastAsia"/>
        </w:rPr>
        <w:t xml:space="preserve">冲突窗口历史分位数和滞后</w:t>
      </w:r>
      <w:r>
        <w:t xml:space="preserve"> 1 </w:t>
      </w:r>
      <w:r>
        <w:rPr>
          <w:rFonts w:hint="eastAsia"/>
        </w:rPr>
        <w:t xml:space="preserve">日</w:t>
      </w:r>
      <w:r>
        <w:t xml:space="preserve"> OVX </w:t>
      </w:r>
      <w:r>
        <w:rPr>
          <w:rFonts w:hint="eastAsia"/>
        </w:rPr>
        <w:t xml:space="preserve">与实现波动率相关性共同生成市场风险压力，进而得到</w:t>
      </w:r>
      <w:r>
        <w:t xml:space="preserve"> OVX </w:t>
      </w:r>
      <w:r>
        <w:rPr>
          <w:rFonts w:hint="eastAsia"/>
        </w:rPr>
        <w:t xml:space="preserve">市场风险权重附加乘数</w:t>
      </w:r>
      <w:r>
        <w:t xml:space="preserve"> 1.0275 </w:t>
      </w:r>
      <w:r>
        <w:rPr>
          <w:rFonts w:hint="eastAsia"/>
        </w:rPr>
        <w:t xml:space="preserve">和</w:t>
      </w:r>
      <w:r>
        <w:t xml:space="preserve"> OVX </w:t>
      </w:r>
      <w:r>
        <w:rPr>
          <w:rFonts w:hint="eastAsia"/>
        </w:rPr>
        <w:t xml:space="preserve">不确定性强度附加乘数</w:t>
      </w:r>
      <w:r>
        <w:t xml:space="preserve"> </w:t>
      </w:r>
      <w:r>
        <w:rPr>
          <w:rFonts w:hint="eastAsia"/>
        </w:rPr>
        <w:t xml:space="preserve">1.0433。这样既利用了期权市场对风险的定价信息，又避免把隐含波动率误写成油价方向预测器。</w:t>
      </w:r>
    </w:p>
    <w:bookmarkEnd w:id="170"/>
    <w:bookmarkStart w:id="177"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72" name="Picture"/>
            <a:graphic>
              <a:graphicData uri="http://schemas.openxmlformats.org/drawingml/2006/picture">
                <pic:pic>
                  <pic:nvPicPr>
                    <pic:cNvPr descr="历史窗口极端性检验.png" id="173" name="Picture"/>
                    <pic:cNvPicPr>
                      <a:picLocks noChangeArrowheads="1" noChangeAspect="1"/>
                    </pic:cNvPicPr>
                  </pic:nvPicPr>
                  <pic:blipFill>
                    <a:blip r:embed="rId171"/>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75" name="Picture"/>
            <a:graphic>
              <a:graphicData uri="http://schemas.openxmlformats.org/drawingml/2006/picture">
                <pic:pic>
                  <pic:nvPicPr>
                    <pic:cNvPr descr="R历史基准误差分布图.png" id="176" name="Picture"/>
                    <pic:cNvPicPr>
                      <a:picLocks noChangeArrowheads="1" noChangeAspect="1"/>
                    </pic:cNvPicPr>
                  </pic:nvPicPr>
                  <pic:blipFill>
                    <a:blip r:embed="rId174"/>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历史同长度窗口基准误差分布。蓝色区间表示历史分位带，红点表示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77"/>
    <w:bookmarkEnd w:id="178"/>
    <w:bookmarkStart w:id="182" w:name="模型评价"/>
    <w:p>
      <w:pPr>
        <w:pStyle w:val="Heading1"/>
      </w:pPr>
      <w:r>
        <w:rPr>
          <w:rFonts w:hint="eastAsia"/>
        </w:rPr>
        <w:t xml:space="preserve">模型评价</w:t>
      </w:r>
    </w:p>
    <w:bookmarkStart w:id="179" w:name="优点"/>
    <w:p>
      <w:pPr>
        <w:pStyle w:val="Heading2"/>
      </w:pPr>
      <w:r>
        <w:rPr>
          <w:rFonts w:hint="eastAsia"/>
        </w:rPr>
        <w:t xml:space="preserve">优点</w:t>
      </w:r>
    </w:p>
    <w:p>
      <w:pPr>
        <w:numPr>
          <w:ilvl w:val="0"/>
          <w:numId w:val="1006"/>
        </w:numPr>
      </w:pPr>
      <w:r>
        <w:rPr>
          <w:rFonts w:hint="eastAsia"/>
        </w:rPr>
        <w:t xml:space="preserve">证据链完整：从附件数据清洗、传统供需基准、动态模型、校准、鲁棒性检验、三情景预测到敏感性分析均可复现。</w:t>
      </w:r>
    </w:p>
    <w:p>
      <w:pPr>
        <w:numPr>
          <w:ilvl w:val="0"/>
          <w:numId w:val="1006"/>
        </w:numPr>
      </w:pPr>
      <w:r>
        <w:rPr>
          <w:rFonts w:hint="eastAsia"/>
        </w:rPr>
        <w:t xml:space="preserve">机制解释清晰：价格平台由供应缺口、风险溢价和缓冲折价共同递推形成，而非外生给定的价格上限。</w:t>
      </w:r>
    </w:p>
    <w:p>
      <w:pPr>
        <w:numPr>
          <w:ilvl w:val="0"/>
          <w:numId w:val="1006"/>
        </w:numPr>
      </w:pPr>
      <w:r>
        <w:rPr>
          <w:rFonts w:hint="eastAsia"/>
        </w:rPr>
        <w:t xml:space="preserve">检验体系较完整：本文设置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统计检验、滞后平移检验、机制消融、参数扰动和历史同长度窗口检验。</w:t>
      </w:r>
    </w:p>
    <w:p>
      <w:pPr>
        <w:numPr>
          <w:ilvl w:val="0"/>
          <w:numId w:val="1006"/>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6"/>
        </w:numPr>
      </w:pPr>
      <w:r>
        <w:rPr>
          <w:rFonts w:hint="eastAsia"/>
        </w:rPr>
        <w:t xml:space="preserve">长期表述审慎：三情景中心线与蒙特卡洛扇形区间、状态转移情景树合读，把长期结果定位为条件中心路径、状态切换和尾部风险，而非精确日度点预测。</w:t>
      </w:r>
    </w:p>
    <w:bookmarkEnd w:id="179"/>
    <w:bookmarkStart w:id="180" w:name="局限性"/>
    <w:p>
      <w:pPr>
        <w:pStyle w:val="Heading2"/>
      </w:pPr>
      <w:r>
        <w:rPr>
          <w:rFonts w:hint="eastAsia"/>
        </w:rPr>
        <w:t xml:space="preserve">局限性</w:t>
      </w:r>
    </w:p>
    <w:p>
      <w:pPr>
        <w:numPr>
          <w:ilvl w:val="0"/>
          <w:numId w:val="1007"/>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7"/>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SPR、商业库存和原油产量周度数据，接入</w:t>
      </w:r>
      <w:r>
        <w:t xml:space="preserve"> JODI </w:t>
      </w:r>
      <w:r>
        <w:rPr>
          <w:rFonts w:hint="eastAsia"/>
        </w:rPr>
        <w:t xml:space="preserve">多国月度产量、库存、进出口、需求和炼厂产出，整理</w:t>
      </w:r>
      <w:r>
        <w:t xml:space="preserve"> OPEC </w:t>
      </w:r>
      <w:r>
        <w:rPr>
          <w:rFonts w:hint="eastAsia"/>
        </w:rPr>
        <w:t xml:space="preserve">公开全球供需平衡表作为长期外生约束，并进一步接入</w:t>
      </w:r>
      <w:r>
        <w:t xml:space="preserve"> OVX </w:t>
      </w:r>
      <w:r>
        <w:rPr>
          <w:rFonts w:hint="eastAsia"/>
        </w:rPr>
        <w:t xml:space="preserve">原油隐含波动率约束长期风险权重和不确定性强度；同时接入</w:t>
      </w:r>
      <w:r>
        <w:t xml:space="preserve"> GPR </w:t>
      </w:r>
      <w:r>
        <w:rPr>
          <w:rFonts w:hint="eastAsia"/>
        </w:rPr>
        <w:t xml:space="preserve">月度指数和历史滚动窗口校验地缘风险与事件极端性。但</w:t>
      </w:r>
      <w:r>
        <w:t xml:space="preserve"> JODI </w:t>
      </w:r>
      <w:r>
        <w:rPr>
          <w:rFonts w:hint="eastAsia"/>
        </w:rPr>
        <w:t xml:space="preserve">存在上报滞后和覆盖差异，OPEC</w:t>
      </w:r>
      <w:r>
        <w:t xml:space="preserve"> </w:t>
      </w:r>
      <w:r>
        <w:rPr>
          <w:rFonts w:hint="eastAsia"/>
        </w:rPr>
        <w:t xml:space="preserve">表属于正常基线预测而非封锁情景实测，OVX</w:t>
      </w:r>
      <w:r>
        <w:t xml:space="preserve"> </w:t>
      </w:r>
      <w:r>
        <w:rPr>
          <w:rFonts w:hint="eastAsia"/>
        </w:rPr>
        <w:t xml:space="preserve">反映波动率而非方向收益，仍不能替代</w:t>
      </w:r>
      <w:r>
        <w:t xml:space="preserve"> IEA </w:t>
      </w:r>
      <w:r>
        <w:rPr>
          <w:rFonts w:hint="eastAsia"/>
        </w:rPr>
        <w:t xml:space="preserve">完整授权数据库、油轮保险费、期货期限结构或高频新闻情绪等变量。</w:t>
      </w:r>
    </w:p>
    <w:p>
      <w:pPr>
        <w:numPr>
          <w:ilvl w:val="0"/>
          <w:numId w:val="1007"/>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80"/>
    <w:bookmarkStart w:id="181"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EIA、JODI </w:t>
      </w:r>
      <w:r>
        <w:rPr>
          <w:rFonts w:hint="eastAsia"/>
        </w:rPr>
        <w:t xml:space="preserve">与</w:t>
      </w:r>
      <w:r>
        <w:t xml:space="preserve"> OPEC </w:t>
      </w:r>
      <w:r>
        <w:rPr>
          <w:rFonts w:hint="eastAsia"/>
        </w:rPr>
        <w:t xml:space="preserve">校验基础上，若获得</w:t>
      </w:r>
      <w:r>
        <w:t xml:space="preserve"> IEA MODS </w:t>
      </w:r>
      <w:r>
        <w:rPr>
          <w:rFonts w:hint="eastAsia"/>
        </w:rPr>
        <w:t xml:space="preserve">等授权数据库，可进一步约束全球库存消耗速度和炼厂吞吐路径；第二，在现有</w:t>
      </w:r>
      <w:r>
        <w:t xml:space="preserve"> GPR </w:t>
      </w:r>
      <w:r>
        <w:rPr>
          <w:rFonts w:hint="eastAsia"/>
        </w:rPr>
        <w:t xml:space="preserve">和</w:t>
      </w:r>
      <w:r>
        <w:t xml:space="preserve"> OVX </w:t>
      </w:r>
      <w:r>
        <w:rPr>
          <w:rFonts w:hint="eastAsia"/>
        </w:rPr>
        <w:t xml:space="preserve">检验基础上，继续探索油轮保险费、BDTI/TD3C、期货期限结构等更接近霍尔木兹运输风险和期限定价的变量；第三，把状态转移概率从当前</w:t>
      </w:r>
      <w:r>
        <w:t xml:space="preserve"> GPR/OVX </w:t>
      </w:r>
      <w:r>
        <w:rPr>
          <w:rFonts w:hint="eastAsia"/>
        </w:rPr>
        <w:t xml:space="preserve">风险约束继续推进为由历史地缘风险、隐含波动率、期限结构和运输保险价格共同驱动的时变概率。R</w:t>
      </w:r>
      <w:r>
        <w:t xml:space="preserve"> </w:t>
      </w:r>
      <w:r>
        <w:rPr>
          <w:rFonts w:hint="eastAsia"/>
        </w:rPr>
        <w:t xml:space="preserve">语言可用于后续</w:t>
      </w:r>
      <w:r>
        <w:t xml:space="preserve"> GARCH、VAR、Granger </w:t>
      </w:r>
      <w:r>
        <w:rPr>
          <w:rFonts w:hint="eastAsia"/>
        </w:rPr>
        <w:t xml:space="preserve">和稳健标准误等计量检验，C++</w:t>
      </w:r>
      <w:r>
        <w:t xml:space="preserve"> </w:t>
      </w:r>
      <w:r>
        <w:rPr>
          <w:rFonts w:hint="eastAsia"/>
        </w:rPr>
        <w:t xml:space="preserve">多智能体仿真则只有在获得主体级行为数据时才有必要进入主线。</w:t>
      </w:r>
    </w:p>
    <w:bookmarkEnd w:id="181"/>
    <w:bookmarkEnd w:id="182"/>
    <w:bookmarkStart w:id="183"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8"/>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美元/桶的理论压力，常弹性需求口径给出更高机械上界。该结果只表示静态低弹性框架的压力上界，不表示现实市场会到达该价格。</w:t>
      </w:r>
    </w:p>
    <w:p>
      <w:pPr>
        <w:numPr>
          <w:ilvl w:val="0"/>
          <w:numId w:val="1008"/>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8"/>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平方损失检验和方向命中检验提供支持性统计证据，且通过滞后平移检验、机制消融和参数扰动检验，具备较好的解释力和稳定性。</w:t>
      </w:r>
    </w:p>
    <w:p>
      <w:pPr>
        <w:numPr>
          <w:ilvl w:val="0"/>
          <w:numId w:val="1008"/>
        </w:numPr>
      </w:pPr>
      <w:r>
        <w:t xml:space="preserve">60–180 </w:t>
      </w:r>
      <w:r>
        <w:rPr>
          <w:rFonts w:hint="eastAsia"/>
        </w:rPr>
        <w:t xml:space="preserve">天情景预测显示，中性情景第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美元/桶，并存在二次跳涨风险。</w:t>
      </w:r>
    </w:p>
    <w:p>
      <w:pPr>
        <w:numPr>
          <w:ilvl w:val="0"/>
          <w:numId w:val="1008"/>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8"/>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16.3%，尾部风险主要来自多因素同时恶化；状态转移情景树进一步说明，若未来冲突状态在缓和、维持和升级之间切换，并受到</w:t>
      </w:r>
      <w:r>
        <w:t xml:space="preserve"> GPR/OVX </w:t>
      </w:r>
      <w:r>
        <w:rPr>
          <w:rFonts w:hint="eastAsia"/>
        </w:rPr>
        <w:t xml:space="preserve">风险读数约束，外推期最高价</w:t>
      </w:r>
      <w:r>
        <w:t xml:space="preserve"> P95 </w:t>
      </w:r>
      <w:r>
        <w:rPr>
          <w:rFonts w:hint="eastAsia"/>
        </w:rPr>
        <w:t xml:space="preserve">约为</w:t>
      </w:r>
      <w:r>
        <w:t xml:space="preserve"> 130.51 </w:t>
      </w:r>
      <w:r>
        <w:rPr>
          <w:rFonts w:hint="eastAsia"/>
        </w:rPr>
        <w:t xml:space="preserve">美元/桶，突破</w:t>
      </w:r>
      <w:r>
        <w:t xml:space="preserve"> 120 </w:t>
      </w:r>
      <w:r>
        <w:rPr>
          <w:rFonts w:hint="eastAsia"/>
        </w:rPr>
        <w:t xml:space="preserve">美元/桶的条件概率约为</w:t>
      </w:r>
      <w:r>
        <w:t xml:space="preserve"> 38.3%。</w:t>
      </w:r>
    </w:p>
    <w:p>
      <w:pPr>
        <w:numPr>
          <w:ilvl w:val="0"/>
          <w:numId w:val="1008"/>
        </w:numPr>
      </w:pPr>
      <w:r>
        <w:t xml:space="preserve">GPR </w:t>
      </w:r>
      <w:r>
        <w:rPr>
          <w:rFonts w:hint="eastAsia"/>
        </w:rPr>
        <w:t xml:space="preserve">滞后检验显示，2026</w:t>
      </w:r>
      <w:r>
        <w:t xml:space="preserve">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检验显示冲突窗口隐含波动率均值处于同长度历史窗口约</w:t>
      </w:r>
      <w:r>
        <w:t xml:space="preserve"> 97.3% </w:t>
      </w:r>
      <w:r>
        <w:rPr>
          <w:rFonts w:hint="eastAsia"/>
        </w:rPr>
        <w:t xml:space="preserve">分位。二者支持风险溢价机制，但都不应包装成短期点预测因子。</w:t>
      </w:r>
    </w:p>
    <w:p>
      <w:pPr>
        <w:numPr>
          <w:ilvl w:val="0"/>
          <w:numId w:val="1008"/>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p>
      <w:pPr>
        <w:pStyle w:val="BodyText"/>
      </w:pPr>
      <w:r>
        <w:rPr>
          <w:rFonts w:hint="eastAsia"/>
          <w:b/>
          <w:bCs/>
        </w:rPr>
        <w:t xml:space="preserve">关键结论</w:t>
      </w:r>
      <w:r>
        <w:rPr>
          <w:rFonts w:hint="eastAsia"/>
        </w:rPr>
        <w:t xml:space="preserve">本文最终结论可以概括为：短期看，价格平台是低弹性冲击、政策缓冲和预期修复共同递推形成的结果；长期看，决定风险上界的不是单一路径预测，而是封锁持续、缓冲失效和制度风险高位叠加时的尾部组合。</w:t>
      </w:r>
    </w:p>
    <w:bookmarkEnd w:id="183"/>
    <w:bookmarkStart w:id="192"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84">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85">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86">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87">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188">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189">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190">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191">
        <w:r>
          <w:rPr>
            <w:rStyle w:val="Hyperlink"/>
          </w:rPr>
          <w:t xml:space="preserve">FRED data page</w:t>
        </w:r>
      </w:hyperlink>
      <w:r>
        <w:t xml:space="preserve">.</w:t>
      </w:r>
    </w:p>
    <w:bookmarkEnd w:id="192"/>
    <w:bookmarkStart w:id="199" w:name="附录"/>
    <w:p>
      <w:pPr>
        <w:pStyle w:val="Heading1"/>
      </w:pPr>
      <w:r>
        <w:rPr>
          <w:rFonts w:hint="eastAsia"/>
        </w:rPr>
        <w:t xml:space="preserve">附录</w:t>
      </w:r>
    </w:p>
    <w:p>
      <w:pPr>
        <w:pStyle w:val="FirstParagraph"/>
      </w:pPr>
      <w:r>
        <w:rPr>
          <w:rFonts w:hint="eastAsia"/>
          <w:b/>
          <w:bCs/>
        </w:rPr>
        <w:t xml:space="preserve">关键结论</w:t>
      </w:r>
      <w:r>
        <w:rPr>
          <w:rFonts w:hint="eastAsia"/>
        </w:rPr>
        <w:t xml:space="preserve">附录只保留复现路径、核心递推伪代码和关键结果核查表，完整</w:t>
      </w:r>
      <w:r>
        <w:t xml:space="preserve"> Python/R </w:t>
      </w:r>
      <w:r>
        <w:rPr>
          <w:rFonts w:hint="eastAsia"/>
        </w:rPr>
        <w:t xml:space="preserve">程序随项目文件提交，避免正文后部被大段源码冲淡。</w:t>
      </w:r>
    </w:p>
    <w:bookmarkStart w:id="193" w:name="a.0-项目结构总览"/>
    <w:p>
      <w:pPr>
        <w:pStyle w:val="Heading2"/>
      </w:pPr>
      <w:r>
        <w:t xml:space="preserve">A.0 </w:t>
      </w:r>
      <w:r>
        <w:rPr>
          <w:rFonts w:hint="eastAsia"/>
        </w:rPr>
        <w:t xml:space="preserve">项目结构总览</w:t>
      </w:r>
    </w:p>
    <w:p>
      <w:pPr>
        <w:pStyle w:val="FirstParagraph"/>
      </w:pPr>
      <w:r>
        <w:rPr>
          <w:rFonts w:hint="eastAsia"/>
        </w:rPr>
        <w:t xml:space="preserve">本文的建模、校验、绘图和论文生成均保存在同一项目目录中。核心目录结构如下，未列出的缓存文件、临时渲染文件和历史实验文件不影响最终复现。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 raw/              </w:t>
      </w:r>
      <w:r>
        <w:rPr>
          <w:rStyle w:val="VerbatimChar"/>
          <w:rFonts w:hint="eastAsia"/>
        </w:rPr>
        <w:t xml:space="preserve">赛题附件原始</w:t>
      </w:r>
      <w:r>
        <w:rPr>
          <w:rStyle w:val="VerbatimChar"/>
        </w:rPr>
        <w:t xml:space="preserve"> CSV</w:t>
      </w:r>
      <w:r>
        <w:br/>
      </w:r>
      <w:r>
        <w:rPr>
          <w:rStyle w:val="VerbatimChar"/>
        </w:rPr>
        <w:t xml:space="preserve">|   |-- processed/        </w:t>
      </w:r>
      <w:r>
        <w:rPr>
          <w:rStyle w:val="VerbatimChar"/>
          <w:rFonts w:hint="eastAsia"/>
        </w:rPr>
        <w:t xml:space="preserve">清洗后完整序列与冲突窗口数据</w:t>
      </w:r>
      <w:r>
        <w:br/>
      </w:r>
      <w:r>
        <w:rPr>
          <w:rStyle w:val="VerbatimChar"/>
        </w:rPr>
        <w:t xml:space="preserve">|   |-- external/         EIA、JODI、OPEC、GPR、OVX </w:t>
      </w:r>
      <w:r>
        <w:rPr>
          <w:rStyle w:val="VerbatimChar"/>
          <w:rFonts w:hint="eastAsia"/>
        </w:rPr>
        <w:t xml:space="preserve">等外部校验数据</w:t>
      </w:r>
      <w:r>
        <w:br/>
      </w:r>
      <w:r>
        <w:rPr>
          <w:rStyle w:val="VerbatimChar"/>
        </w:rPr>
        <w:t xml:space="preserve">|-- src/                  Python </w:t>
      </w:r>
      <w:r>
        <w:rPr>
          <w:rStyle w:val="VerbatimChar"/>
          <w:rFonts w:hint="eastAsia"/>
        </w:rPr>
        <w:t xml:space="preserve">建模与分析源码</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w:t>
      </w:r>
      <w:r>
        <w:br/>
      </w:r>
      <w:r>
        <w:rPr>
          <w:rStyle w:val="VerbatimChar"/>
        </w:rPr>
        <w:t xml:space="preserve">|   |-- build/            PDF/DOCX </w:t>
      </w:r>
      <w:r>
        <w:rPr>
          <w:rStyle w:val="VerbatimChar"/>
          <w:rFonts w:hint="eastAsia"/>
        </w:rPr>
        <w:t xml:space="preserve">一键构建脚本</w:t>
      </w:r>
      <w:r>
        <w:br/>
      </w:r>
      <w:r>
        <w:rPr>
          <w:rStyle w:val="VerbatimChar"/>
        </w:rPr>
        <w:t xml:space="preserve">|   |-- audit/            R </w:t>
      </w:r>
      <w:r>
        <w:rPr>
          <w:rStyle w:val="VerbatimChar"/>
          <w:rFonts w:hint="eastAsia"/>
        </w:rPr>
        <w:t xml:space="preserve">语言计量检验与学术图表脚本</w:t>
      </w:r>
      <w:r>
        <w:br/>
      </w:r>
      <w:r>
        <w:rPr>
          <w:rStyle w:val="VerbatimChar"/>
        </w:rPr>
        <w:t xml:space="preserve">|   |-- postprocess/      DOCX </w:t>
      </w:r>
      <w:r>
        <w:rPr>
          <w:rStyle w:val="VerbatimChar"/>
          <w:rFonts w:hint="eastAsia"/>
        </w:rPr>
        <w:t xml:space="preserve">后处理脚本</w:t>
      </w:r>
      <w:r>
        <w:br/>
      </w:r>
      <w:r>
        <w:rPr>
          <w:rStyle w:val="VerbatimChar"/>
        </w:rPr>
        <w:t xml:space="preserve">|-- paper/</w:t>
      </w:r>
      <w:r>
        <w:br/>
      </w:r>
      <w:r>
        <w:rPr>
          <w:rStyle w:val="VerbatimChar"/>
        </w:rPr>
        <w:t xml:space="preserve">|   |-- </w:t>
      </w:r>
      <w:r>
        <w:rPr>
          <w:rStyle w:val="VerbatimChar"/>
          <w:rFonts w:hint="eastAsia"/>
        </w:rPr>
        <w:t xml:space="preserve">总论文.tex</w:t>
      </w:r>
      <w:r>
        <w:rPr>
          <w:rStyle w:val="VerbatimChar"/>
        </w:rPr>
        <w:t xml:space="preserve">        </w:t>
      </w:r>
      <w:r>
        <w:rPr>
          <w:rStyle w:val="VerbatimChar"/>
          <w:rFonts w:hint="eastAsia"/>
        </w:rPr>
        <w:t xml:space="preserve">最终论文主控文件</w:t>
      </w:r>
      <w:r>
        <w:br/>
      </w:r>
      <w:r>
        <w:rPr>
          <w:rStyle w:val="VerbatimChar"/>
        </w:rPr>
        <w:t xml:space="preserve">|   |-- sections/         </w:t>
      </w:r>
      <w:r>
        <w:rPr>
          <w:rStyle w:val="VerbatimChar"/>
          <w:rFonts w:hint="eastAsia"/>
        </w:rPr>
        <w:t xml:space="preserve">总论文章节源码</w:t>
      </w:r>
      <w:r>
        <w:br/>
      </w:r>
      <w:r>
        <w:rPr>
          <w:rStyle w:val="VerbatimChar"/>
        </w:rPr>
        <w:t xml:space="preserve">|   |-- figures/          </w:t>
      </w:r>
      <w:r>
        <w:rPr>
          <w:rStyle w:val="VerbatimChar"/>
          <w:rFonts w:hint="eastAsia"/>
        </w:rPr>
        <w:t xml:space="preserve">论文正式引用图表</w:t>
      </w:r>
      <w:r>
        <w:br/>
      </w:r>
      <w:r>
        <w:rPr>
          <w:rStyle w:val="VerbatimChar"/>
        </w:rPr>
        <w:t xml:space="preserve">|   |-- diagrams/         Mermaid </w:t>
      </w:r>
      <w:r>
        <w:rPr>
          <w:rStyle w:val="VerbatimChar"/>
          <w:rFonts w:hint="eastAsia"/>
        </w:rPr>
        <w:t xml:space="preserve">结构图源码</w:t>
      </w:r>
      <w:r>
        <w:br/>
      </w:r>
      <w:r>
        <w:rPr>
          <w:rStyle w:val="VerbatimChar"/>
        </w:rPr>
        <w:t xml:space="preserve">|-- output/               </w:t>
      </w:r>
      <w:r>
        <w:rPr>
          <w:rStyle w:val="VerbatimChar"/>
          <w:rFonts w:hint="eastAsia"/>
        </w:rPr>
        <w:t xml:space="preserve">模型结果、校验报告和最终交付物</w:t>
      </w:r>
      <w:r>
        <w:br/>
      </w:r>
      <w:r>
        <w:rPr>
          <w:rStyle w:val="VerbatimChar"/>
        </w:rPr>
        <w:t xml:space="preserve">|   |-- calibration/      </w:t>
      </w:r>
      <w:r>
        <w:rPr>
          <w:rStyle w:val="VerbatimChar"/>
          <w:rFonts w:hint="eastAsia"/>
        </w:rPr>
        <w:t xml:space="preserve">短期模型校准结果</w:t>
      </w:r>
      <w:r>
        <w:br/>
      </w:r>
      <w:r>
        <w:rPr>
          <w:rStyle w:val="VerbatimChar"/>
        </w:rPr>
        <w:t xml:space="preserve">|   |-- scenarios/        </w:t>
      </w:r>
      <w:r>
        <w:rPr>
          <w:rStyle w:val="VerbatimChar"/>
          <w:rFonts w:hint="eastAsia"/>
        </w:rPr>
        <w:t xml:space="preserve">长期情景预测与状态转移结果</w:t>
      </w:r>
      <w:r>
        <w:br/>
      </w:r>
      <w:r>
        <w:rPr>
          <w:rStyle w:val="VerbatimChar"/>
        </w:rPr>
        <w:t xml:space="preserve">|   |-- sensitivity/      </w:t>
      </w:r>
      <w:r>
        <w:rPr>
          <w:rStyle w:val="VerbatimChar"/>
          <w:rFonts w:hint="eastAsia"/>
        </w:rPr>
        <w:t xml:space="preserve">敏感性分析与参数排序</w:t>
      </w:r>
      <w:r>
        <w:br/>
      </w:r>
      <w:r>
        <w:rPr>
          <w:rStyle w:val="VerbatimChar"/>
        </w:rPr>
        <w:t xml:space="preserve">|   |-- reports/          </w:t>
      </w:r>
      <w:r>
        <w:rPr>
          <w:rStyle w:val="VerbatimChar"/>
          <w:rFonts w:hint="eastAsia"/>
        </w:rPr>
        <w:t xml:space="preserve">自动生成的校验报告</w:t>
      </w:r>
      <w:r>
        <w:br/>
      </w:r>
      <w:r>
        <w:rPr>
          <w:rStyle w:val="VerbatimChar"/>
        </w:rPr>
        <w:t xml:space="preserve">|   |-- final/            </w:t>
      </w:r>
      <w:r>
        <w:rPr>
          <w:rStyle w:val="VerbatimChar"/>
          <w:rFonts w:hint="eastAsia"/>
        </w:rPr>
        <w:t xml:space="preserve">最终</w:t>
      </w:r>
      <w:r>
        <w:rPr>
          <w:rStyle w:val="VerbatimChar"/>
        </w:rPr>
        <w:t xml:space="preserve"> PDF </w:t>
      </w:r>
      <w:r>
        <w:rPr>
          <w:rStyle w:val="VerbatimChar"/>
          <w:rFonts w:hint="eastAsia"/>
        </w:rPr>
        <w:t xml:space="preserve">和</w:t>
      </w:r>
      <w:r>
        <w:rPr>
          <w:rStyle w:val="VerbatimChar"/>
        </w:rPr>
        <w:t xml:space="preserve"> DOCX</w:t>
      </w:r>
      <w:r>
        <w:br/>
      </w:r>
      <w:r>
        <w:rPr>
          <w:rStyle w:val="VerbatimChar"/>
        </w:rPr>
        <w:t xml:space="preserve">|-- docs/                 </w:t>
      </w:r>
      <w:r>
        <w:rPr>
          <w:rStyle w:val="VerbatimChar"/>
          <w:rFonts w:hint="eastAsia"/>
        </w:rPr>
        <w:t xml:space="preserve">项目总览、建模方案和交付物索引</w:t>
      </w:r>
      <w:r>
        <w:br/>
      </w:r>
      <w:r>
        <w:rPr>
          <w:rStyle w:val="VerbatimChar"/>
        </w:rPr>
        <w:t xml:space="preserve">|-- figures/              </w:t>
      </w:r>
      <w:r>
        <w:rPr>
          <w:rStyle w:val="VerbatimChar"/>
          <w:rFonts w:hint="eastAsia"/>
        </w:rPr>
        <w:t xml:space="preserve">中间图表与可视化生成结果</w:t>
      </w:r>
      <w:r>
        <w:br/>
      </w:r>
      <w:r>
        <w:rPr>
          <w:rStyle w:val="VerbatimChar"/>
        </w:rPr>
        <w:t xml:space="preserve">|-- </w:t>
      </w:r>
      <w:r>
        <w:rPr>
          <w:rStyle w:val="VerbatimChar"/>
          <w:rFonts w:hint="eastAsia"/>
        </w:rPr>
        <w:t xml:space="preserve">审计报告/</w:t>
      </w:r>
      <w:r>
        <w:rPr>
          <w:rStyle w:val="VerbatimChar"/>
        </w:rPr>
        <w:t xml:space="preserve">             </w:t>
      </w:r>
      <w:r>
        <w:rPr>
          <w:rStyle w:val="VerbatimChar"/>
          <w:rFonts w:hint="eastAsia"/>
        </w:rPr>
        <w:t xml:space="preserve">外部评审意见和修改记录</w:t>
      </w:r>
    </w:p>
    <w:bookmarkEnd w:id="193"/>
    <w:bookmarkStart w:id="194" w:name="a.1-数据口径"/>
    <w:p>
      <w:pPr>
        <w:pStyle w:val="Heading2"/>
      </w:pPr>
      <w:r>
        <w:t xml:space="preserve">A.1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194"/>
    <w:bookmarkStart w:id="195" w:name="a.2-综合机制递推模型伪代码"/>
    <w:p>
      <w:pPr>
        <w:pStyle w:val="Heading2"/>
      </w:pPr>
      <w:r>
        <w:t xml:space="preserve">A.2 </w:t>
      </w:r>
      <w:r>
        <w:rPr>
          <w:rFonts w:hint="eastAsia"/>
        </w:rPr>
        <w:t xml:space="preserve">综合机制递推模型伪代码</w:t>
      </w:r>
    </w:p>
    <w:p>
      <w:pPr>
        <w:pStyle w:val="FirstParagraph"/>
      </w:pPr>
      <w:r>
        <w:rPr>
          <w:rFonts w:hint="eastAsia"/>
        </w:rPr>
        <w:t xml:space="preserve">为避免在附录中堆叠大量源代码，本文只列出主模型的核心计算逻辑。完整程序随项目文件保存，若提交系统要求源程序，可作为单独附件提供。</w:t>
      </w:r>
    </w:p>
    <w:p>
      <w:pPr>
        <w:pStyle w:val="SourceCode"/>
      </w:pPr>
      <w:r>
        <w:rPr>
          <w:rStyle w:val="VerbatimChar"/>
          <w:rFonts w:hint="eastAsia"/>
        </w:rPr>
        <w:t xml:space="preserve">输入：</w:t>
      </w:r>
      <w:r>
        <w:br/>
      </w:r>
      <w:r>
        <w:rPr>
          <w:rStyle w:val="VerbatimChar"/>
        </w:rPr>
        <w:t xml:space="preserve">  </w:t>
      </w:r>
      <w:r>
        <w:rPr>
          <w:rStyle w:val="VerbatimChar"/>
          <w:rFonts w:hint="eastAsia"/>
        </w:rPr>
        <w:t xml:space="preserve">附件布伦特价格序列</w:t>
      </w:r>
      <w:r>
        <w:rPr>
          <w:rStyle w:val="VerbatimChar"/>
        </w:rPr>
        <w:t xml:space="preserve"> P_t</w:t>
      </w:r>
      <w:r>
        <w:br/>
      </w:r>
      <w:r>
        <w:rPr>
          <w:rStyle w:val="VerbatimChar"/>
        </w:rPr>
        <w:t xml:space="preserve">  </w:t>
      </w:r>
      <w:r>
        <w:rPr>
          <w:rStyle w:val="VerbatimChar"/>
          <w:rFonts w:hint="eastAsia"/>
        </w:rPr>
        <w:t xml:space="preserve">供应中断</w:t>
      </w:r>
      <w:r>
        <w:rPr>
          <w:rStyle w:val="VerbatimChar"/>
        </w:rPr>
        <w:t xml:space="preserve"> </w:t>
      </w:r>
      <w:r>
        <w:rPr>
          <w:rStyle w:val="VerbatimChar"/>
          <w:rFonts w:hint="eastAsia"/>
        </w:rPr>
        <w:t xml:space="preserve">I、基础需求</w:t>
      </w:r>
      <w:r>
        <w:rPr>
          <w:rStyle w:val="VerbatimChar"/>
        </w:rPr>
        <w:t xml:space="preserve"> </w:t>
      </w:r>
      <w:r>
        <w:rPr>
          <w:rStyle w:val="VerbatimChar"/>
          <w:rFonts w:hint="eastAsia"/>
        </w:rPr>
        <w:t xml:space="preserve">D_0、短期弹性</w:t>
      </w:r>
      <w:r>
        <w:rPr>
          <w:rStyle w:val="VerbatimChar"/>
        </w:rPr>
        <w:t xml:space="preserve"> epsilon_t</w:t>
      </w:r>
      <w:r>
        <w:br/>
      </w:r>
      <w:r>
        <w:rPr>
          <w:rStyle w:val="VerbatimChar"/>
        </w:rPr>
        <w:t xml:space="preserve">  SPR </w:t>
      </w:r>
      <w:r>
        <w:rPr>
          <w:rStyle w:val="VerbatimChar"/>
          <w:rFonts w:hint="eastAsia"/>
        </w:rPr>
        <w:t xml:space="preserve">释放</w:t>
      </w:r>
      <w:r>
        <w:rPr>
          <w:rStyle w:val="VerbatimChar"/>
        </w:rPr>
        <w:t xml:space="preserve"> </w:t>
      </w:r>
      <w:r>
        <w:rPr>
          <w:rStyle w:val="VerbatimChar"/>
          <w:rFonts w:hint="eastAsia"/>
        </w:rPr>
        <w:t xml:space="preserve">R_t、商业库存</w:t>
      </w:r>
      <w:r>
        <w:rPr>
          <w:rStyle w:val="VerbatimChar"/>
        </w:rPr>
        <w:t xml:space="preserve"> </w:t>
      </w:r>
      <w:r>
        <w:rPr>
          <w:rStyle w:val="VerbatimChar"/>
          <w:rFonts w:hint="eastAsia"/>
        </w:rPr>
        <w:t xml:space="preserve">B_t、绕道运输</w:t>
      </w:r>
      <w:r>
        <w:rPr>
          <w:rStyle w:val="VerbatimChar"/>
        </w:rPr>
        <w:t xml:space="preserve"> Q_t</w:t>
      </w:r>
      <w:r>
        <w:br/>
      </w:r>
      <w:r>
        <w:rPr>
          <w:rStyle w:val="VerbatimChar"/>
        </w:rPr>
        <w:t xml:space="preserve">  </w:t>
      </w:r>
      <w:r>
        <w:rPr>
          <w:rStyle w:val="VerbatimChar"/>
          <w:rFonts w:hint="eastAsia"/>
        </w:rPr>
        <w:t xml:space="preserve">恐慌强度</w:t>
      </w:r>
      <w:r>
        <w:rPr>
          <w:rStyle w:val="VerbatimChar"/>
        </w:rPr>
        <w:t xml:space="preserve"> </w:t>
      </w:r>
      <w:r>
        <w:rPr>
          <w:rStyle w:val="VerbatimChar"/>
          <w:rFonts w:hint="eastAsia"/>
        </w:rPr>
        <w:t xml:space="preserve">F_t、地缘风险权重</w:t>
      </w:r>
      <w:r>
        <w:rPr>
          <w:rStyle w:val="VerbatimChar"/>
        </w:rPr>
        <w:t xml:space="preserve"> </w:t>
      </w:r>
      <w:r>
        <w:rPr>
          <w:rStyle w:val="VerbatimChar"/>
          <w:rFonts w:hint="eastAsia"/>
        </w:rPr>
        <w:t xml:space="preserve">beta、调整速度</w:t>
      </w:r>
      <w:r>
        <w:rPr>
          <w:rStyle w:val="VerbatimChar"/>
        </w:rPr>
        <w:t xml:space="preserve"> v</w:t>
      </w:r>
      <w:r>
        <w:br/>
      </w:r>
      <w:r>
        <w:br/>
      </w:r>
      <w:r>
        <w:rPr>
          <w:rStyle w:val="VerbatimChar"/>
          <w:rFonts w:hint="eastAsia"/>
        </w:rPr>
        <w:t xml:space="preserve">初始化：</w:t>
      </w:r>
      <w:r>
        <w:br/>
      </w:r>
      <w:r>
        <w:rPr>
          <w:rStyle w:val="VerbatimChar"/>
        </w:rPr>
        <w:t xml:space="preserve">  </w:t>
      </w:r>
      <w:r>
        <w:rPr>
          <w:rStyle w:val="VerbatimChar"/>
          <w:rFonts w:hint="eastAsia"/>
        </w:rPr>
        <w:t xml:space="preserve">设定</w:t>
      </w:r>
      <w:r>
        <w:rPr>
          <w:rStyle w:val="VerbatimChar"/>
        </w:rPr>
        <w:t xml:space="preserve"> P_hat_0 = P_0</w:t>
      </w:r>
      <w:r>
        <w:br/>
      </w:r>
      <w:r>
        <w:rPr>
          <w:rStyle w:val="VerbatimChar"/>
        </w:rPr>
        <w:t xml:space="preserve">  </w:t>
      </w:r>
      <w:r>
        <w:rPr>
          <w:rStyle w:val="VerbatimChar"/>
          <w:rFonts w:hint="eastAsia"/>
        </w:rPr>
        <w:t xml:space="preserve">根据题面约束确定</w:t>
      </w:r>
      <w:r>
        <w:rPr>
          <w:rStyle w:val="VerbatimChar"/>
        </w:rPr>
        <w:t xml:space="preserve"> I、SPR </w:t>
      </w:r>
      <w:r>
        <w:rPr>
          <w:rStyle w:val="VerbatimChar"/>
          <w:rFonts w:hint="eastAsia"/>
        </w:rPr>
        <w:t xml:space="preserve">上限、绕道能力和短期弹性范围</w:t>
      </w:r>
      <w:r>
        <w:br/>
      </w:r>
      <w:r>
        <w:br/>
      </w:r>
      <w:r>
        <w:rPr>
          <w:rStyle w:val="VerbatimChar"/>
          <w:rFonts w:hint="eastAsia"/>
        </w:rPr>
        <w:t xml:space="preserve">对冲突窗口内每一日</w:t>
      </w:r>
      <w:r>
        <w:rPr>
          <w:rStyle w:val="VerbatimChar"/>
        </w:rPr>
        <w:t xml:space="preserve"> t = </w:t>
      </w:r>
      <w:r>
        <w:rPr>
          <w:rStyle w:val="VerbatimChar"/>
          <w:rFonts w:hint="eastAsia"/>
        </w:rPr>
        <w:t xml:space="preserve">1,2,...,T：</w:t>
      </w:r>
      <w:r>
        <w:br/>
      </w:r>
      <w:r>
        <w:rPr>
          <w:rStyle w:val="VerbatimChar"/>
        </w:rPr>
        <w:t xml:space="preserve">  1. </w:t>
      </w:r>
      <w:r>
        <w:rPr>
          <w:rStyle w:val="VerbatimChar"/>
          <w:rFonts w:hint="eastAsia"/>
        </w:rPr>
        <w:t xml:space="preserve">计算有效供应：</w:t>
      </w:r>
      <w:r>
        <w:br/>
      </w:r>
      <w:r>
        <w:rPr>
          <w:rStyle w:val="VerbatimChar"/>
        </w:rPr>
        <w:t xml:space="preserve">       S_t = S_0 - I + R_t + B_t + Q_t</w:t>
      </w:r>
      <w:r>
        <w:br/>
      </w:r>
      <w:r>
        <w:rPr>
          <w:rStyle w:val="VerbatimChar"/>
        </w:rPr>
        <w:t xml:space="preserve">  2. </w:t>
      </w:r>
      <w:r>
        <w:rPr>
          <w:rStyle w:val="VerbatimChar"/>
          <w:rFonts w:hint="eastAsia"/>
        </w:rPr>
        <w:t xml:space="preserve">计算有效需求：</w:t>
      </w:r>
      <w:r>
        <w:br/>
      </w:r>
      <w:r>
        <w:rPr>
          <w:rStyle w:val="VerbatimChar"/>
        </w:rPr>
        <w:t xml:space="preserve">       D_t = D_0 * (1 + </w:t>
      </w:r>
      <w:r>
        <w:rPr>
          <w:rStyle w:val="VerbatimChar"/>
          <w:rFonts w:hint="eastAsia"/>
        </w:rPr>
        <w:t xml:space="preserve">恐慌需求项</w:t>
      </w:r>
      <w:r>
        <w:rPr>
          <w:rStyle w:val="VerbatimChar"/>
        </w:rPr>
        <w:t xml:space="preserve"> + </w:t>
      </w:r>
      <w:r>
        <w:rPr>
          <w:rStyle w:val="VerbatimChar"/>
          <w:rFonts w:hint="eastAsia"/>
        </w:rPr>
        <w:t xml:space="preserve">需求收缩项)</w:t>
      </w:r>
      <w:r>
        <w:br/>
      </w:r>
      <w:r>
        <w:rPr>
          <w:rStyle w:val="VerbatimChar"/>
        </w:rPr>
        <w:t xml:space="preserve">  3. </w:t>
      </w:r>
      <w:r>
        <w:rPr>
          <w:rStyle w:val="VerbatimChar"/>
          <w:rFonts w:hint="eastAsia"/>
        </w:rPr>
        <w:t xml:space="preserve">得到剩余缺口：</w:t>
      </w:r>
      <w:r>
        <w:br/>
      </w:r>
      <w:r>
        <w:rPr>
          <w:rStyle w:val="VerbatimChar"/>
        </w:rPr>
        <w:t xml:space="preserve">       G_t = max(D_t - S_t, 0)</w:t>
      </w:r>
      <w:r>
        <w:br/>
      </w:r>
      <w:r>
        <w:rPr>
          <w:rStyle w:val="VerbatimChar"/>
        </w:rPr>
        <w:t xml:space="preserve">  4. </w:t>
      </w:r>
      <w:r>
        <w:rPr>
          <w:rStyle w:val="VerbatimChar"/>
          <w:rFonts w:hint="eastAsia"/>
        </w:rPr>
        <w:t xml:space="preserve">构造目标价格：</w:t>
      </w:r>
      <w:r>
        <w:br/>
      </w:r>
      <w:r>
        <w:rPr>
          <w:rStyle w:val="VerbatimChar"/>
        </w:rPr>
        <w:t xml:space="preserve">       P_t^* = </w:t>
      </w:r>
      <w:r>
        <w:rPr>
          <w:rStyle w:val="VerbatimChar"/>
          <w:rFonts w:hint="eastAsia"/>
        </w:rPr>
        <w:t xml:space="preserve">基准价格</w:t>
      </w:r>
      <w:r>
        <w:br/>
      </w:r>
      <w:r>
        <w:rPr>
          <w:rStyle w:val="VerbatimChar"/>
        </w:rPr>
        <w:t xml:space="preserve">             + </w:t>
      </w:r>
      <w:r>
        <w:rPr>
          <w:rStyle w:val="VerbatimChar"/>
          <w:rFonts w:hint="eastAsia"/>
        </w:rPr>
        <w:t xml:space="preserve">物理缺口压力</w:t>
      </w:r>
      <w:r>
        <w:br/>
      </w:r>
      <w:r>
        <w:rPr>
          <w:rStyle w:val="VerbatimChar"/>
        </w:rPr>
        <w:t xml:space="preserve">             + </w:t>
      </w:r>
      <w:r>
        <w:rPr>
          <w:rStyle w:val="VerbatimChar"/>
          <w:rFonts w:hint="eastAsia"/>
        </w:rPr>
        <w:t xml:space="preserve">地缘风险溢价</w:t>
      </w:r>
      <w:r>
        <w:br/>
      </w:r>
      <w:r>
        <w:rPr>
          <w:rStyle w:val="VerbatimChar"/>
        </w:rPr>
        <w:t xml:space="preserve">             + </w:t>
      </w:r>
      <w:r>
        <w:rPr>
          <w:rStyle w:val="VerbatimChar"/>
          <w:rFonts w:hint="eastAsia"/>
        </w:rPr>
        <w:t xml:space="preserve">冲击不确定性溢价</w:t>
      </w:r>
      <w:r>
        <w:br/>
      </w:r>
      <w:r>
        <w:rPr>
          <w:rStyle w:val="VerbatimChar"/>
        </w:rPr>
        <w:t xml:space="preserve">             + </w:t>
      </w:r>
      <w:r>
        <w:rPr>
          <w:rStyle w:val="VerbatimChar"/>
          <w:rFonts w:hint="eastAsia"/>
        </w:rPr>
        <w:t xml:space="preserve">恐慌溢价</w:t>
      </w:r>
      <w:r>
        <w:br/>
      </w:r>
      <w:r>
        <w:rPr>
          <w:rStyle w:val="VerbatimChar"/>
        </w:rPr>
        <w:t xml:space="preserve">             - </w:t>
      </w:r>
      <w:r>
        <w:rPr>
          <w:rStyle w:val="VerbatimChar"/>
          <w:rFonts w:hint="eastAsia"/>
        </w:rPr>
        <w:t xml:space="preserve">缓冲确认折价</w:t>
      </w:r>
      <w:r>
        <w:br/>
      </w:r>
      <w:r>
        <w:rPr>
          <w:rStyle w:val="VerbatimChar"/>
        </w:rPr>
        <w:t xml:space="preserve">             - </w:t>
      </w:r>
      <w:r>
        <w:rPr>
          <w:rStyle w:val="VerbatimChar"/>
          <w:rFonts w:hint="eastAsia"/>
        </w:rPr>
        <w:t xml:space="preserve">预期修复折价</w:t>
      </w:r>
      <w:r>
        <w:br/>
      </w:r>
      <w:r>
        <w:rPr>
          <w:rStyle w:val="VerbatimChar"/>
        </w:rPr>
        <w:t xml:space="preserve">  5. </w:t>
      </w:r>
      <w:r>
        <w:rPr>
          <w:rStyle w:val="VerbatimChar"/>
          <w:rFonts w:hint="eastAsia"/>
        </w:rPr>
        <w:t xml:space="preserve">日度递推：</w:t>
      </w:r>
      <w:r>
        <w:br/>
      </w:r>
      <w:r>
        <w:rPr>
          <w:rStyle w:val="VerbatimChar"/>
        </w:rPr>
        <w:t xml:space="preserve">       P_hat_t = P_hat_{t-1}</w:t>
      </w:r>
      <w:r>
        <w:br/>
      </w:r>
      <w:r>
        <w:rPr>
          <w:rStyle w:val="VerbatimChar"/>
        </w:rPr>
        <w:t xml:space="preserve">               + v * (P_t^* - P_hat_{t-1})</w:t>
      </w:r>
      <w:r>
        <w:br/>
      </w:r>
      <w:r>
        <w:rPr>
          <w:rStyle w:val="VerbatimChar"/>
        </w:rPr>
        <w:t xml:space="preserve">               + gamma_F * (F_t - F_{t-1})</w:t>
      </w:r>
      <w:r>
        <w:br/>
      </w:r>
      <w:r>
        <w:rPr>
          <w:rStyle w:val="VerbatimChar"/>
        </w:rPr>
        <w:t xml:space="preserve">  6. </w:t>
      </w:r>
      <w:r>
        <w:rPr>
          <w:rStyle w:val="VerbatimChar"/>
          <w:rFonts w:hint="eastAsia"/>
        </w:rPr>
        <w:t xml:space="preserve">记录预测值、误差和各机制贡献</w:t>
      </w:r>
      <w:r>
        <w:br/>
      </w:r>
      <w:r>
        <w:br/>
      </w:r>
      <w:r>
        <w:rPr>
          <w:rStyle w:val="VerbatimChar"/>
          <w:rFonts w:hint="eastAsia"/>
        </w:rPr>
        <w:t xml:space="preserve">输出：</w:t>
      </w:r>
      <w:r>
        <w:br/>
      </w:r>
      <w:r>
        <w:rPr>
          <w:rStyle w:val="VerbatimChar"/>
        </w:rPr>
        <w:t xml:space="preserve">  </w:t>
      </w:r>
      <w:r>
        <w:rPr>
          <w:rStyle w:val="VerbatimChar"/>
          <w:rFonts w:hint="eastAsia"/>
        </w:rPr>
        <w:t xml:space="preserve">短期拟合路径、误差指标、机制贡献、消融结果和长期情景初始状态</w:t>
      </w:r>
    </w:p>
    <w:bookmarkEnd w:id="195"/>
    <w:bookmarkStart w:id="196" w:name="a.3-关键结果核查表"/>
    <w:p>
      <w:pPr>
        <w:pStyle w:val="Heading2"/>
      </w:pPr>
      <w:r>
        <w:t xml:space="preserve">A.3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CSV，外部数据只用于合理性校验</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94.15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110.16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16.3%</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196"/>
    <w:bookmarkStart w:id="197" w:name="a.4-稳健性检验补充"/>
    <w:p>
      <w:pPr>
        <w:pStyle w:val="Heading2"/>
      </w:pPr>
      <w:r>
        <w:t xml:space="preserve">A.4 </w:t>
      </w:r>
      <w:r>
        <w:rPr>
          <w:rFonts w:hint="eastAsia"/>
        </w:rPr>
        <w:t xml:space="preserve">稳健性检验补充</w:t>
      </w:r>
    </w:p>
    <w:p>
      <w:pPr>
        <w:numPr>
          <w:ilvl w:val="0"/>
          <w:numId w:val="1009"/>
        </w:numPr>
      </w:pPr>
      <w:r>
        <w:rPr>
          <w:rFonts w:hint="eastAsia"/>
        </w:rPr>
        <w:t xml:space="preserve">基准检验：与上一日价格、漂移随机游走和滚动</w:t>
      </w:r>
      <w:r>
        <w:t xml:space="preserve"> ARIMA </w:t>
      </w:r>
      <w:r>
        <w:rPr>
          <w:rFonts w:hint="eastAsia"/>
        </w:rPr>
        <w:t xml:space="preserve">比较，防止模型只是复杂但无效的随机游走复制。</w:t>
      </w:r>
    </w:p>
    <w:p>
      <w:pPr>
        <w:numPr>
          <w:ilvl w:val="0"/>
          <w:numId w:val="1009"/>
        </w:numPr>
      </w:pPr>
      <w:r>
        <w:rPr>
          <w:rFonts w:hint="eastAsia"/>
        </w:rPr>
        <w:t xml:space="preserve">滞后检验：检查预测曲线是否简单滞后真实价格，避免</w:t>
      </w:r>
      <w:r>
        <w:rPr>
          <w:rFonts w:hint="eastAsia"/>
        </w:rPr>
        <w:t xml:space="preserve">“马后炮曲线”</w:t>
      </w:r>
      <w:r>
        <w:rPr>
          <w:rFonts w:hint="eastAsia"/>
        </w:rPr>
        <w:t xml:space="preserve">问题。</w:t>
      </w:r>
    </w:p>
    <w:p>
      <w:pPr>
        <w:numPr>
          <w:ilvl w:val="0"/>
          <w:numId w:val="1009"/>
        </w:numPr>
      </w:pPr>
      <w:r>
        <w:rPr>
          <w:rFonts w:hint="eastAsia"/>
        </w:rPr>
        <w:t xml:space="preserve">消融检验：逐项移除风险溢价、缓冲折价、预期修复等机制，验证各因素的边际贡献。</w:t>
      </w:r>
    </w:p>
    <w:p>
      <w:pPr>
        <w:numPr>
          <w:ilvl w:val="0"/>
          <w:numId w:val="1009"/>
        </w:numPr>
      </w:pPr>
      <w:r>
        <w:rPr>
          <w:rFonts w:hint="eastAsia"/>
        </w:rPr>
        <w:t xml:space="preserve">参数压力测试：扰动价格传导、风险权重和长期机制参数，检验结论是否依赖唯一一组参数。</w:t>
      </w:r>
    </w:p>
    <w:p>
      <w:pPr>
        <w:numPr>
          <w:ilvl w:val="0"/>
          <w:numId w:val="1009"/>
        </w:numPr>
      </w:pPr>
      <w:r>
        <w:rPr>
          <w:rFonts w:hint="eastAsia"/>
        </w:rPr>
        <w:t xml:space="preserve">外部校验：EIA</w:t>
      </w:r>
      <w:r>
        <w:t xml:space="preserve">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月度指数、OVX</w:t>
      </w:r>
      <w:r>
        <w:t xml:space="preserve"> </w:t>
      </w:r>
      <w:r>
        <w:rPr>
          <w:rFonts w:hint="eastAsia"/>
        </w:rPr>
        <w:t xml:space="preserve">隐含波动率和</w:t>
      </w:r>
      <w:r>
        <w:t xml:space="preserve"> 2017–2026 </w:t>
      </w:r>
      <w:r>
        <w:rPr>
          <w:rFonts w:hint="eastAsia"/>
        </w:rPr>
        <w:t xml:space="preserve">历史同长度窗口用于验证数量级、风险定价和事件极端性。</w:t>
      </w:r>
    </w:p>
    <w:bookmarkEnd w:id="197"/>
    <w:bookmarkStart w:id="198" w:name="a.5-程序材料说明"/>
    <w:p>
      <w:pPr>
        <w:pStyle w:val="Heading2"/>
      </w:pPr>
      <w:r>
        <w:t xml:space="preserve">A.5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项目结构、核心算法伪代码和关键结果核查。</w:t>
      </w:r>
    </w:p>
    <w:bookmarkEnd w:id="198"/>
    <w:bookmarkEnd w:id="1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7" Target="media/rId167.png" /><Relationship Type="http://schemas.openxmlformats.org/officeDocument/2006/relationships/image" Id="rId174" Target="media/rId174.png" /><Relationship Type="http://schemas.openxmlformats.org/officeDocument/2006/relationships/image" Id="rId90" Target="media/rId90.png" /><Relationship Type="http://schemas.openxmlformats.org/officeDocument/2006/relationships/image" Id="rId156" Target="media/rId156.png" /><Relationship Type="http://schemas.openxmlformats.org/officeDocument/2006/relationships/image" Id="rId38" Target="media/rId38.png" /><Relationship Type="http://schemas.openxmlformats.org/officeDocument/2006/relationships/image" Id="rId148" Target="media/rId148.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145" Target="media/rId145.png" /><Relationship Type="http://schemas.openxmlformats.org/officeDocument/2006/relationships/image" Id="rId171" Target="media/rId171.png" /><Relationship Type="http://schemas.openxmlformats.org/officeDocument/2006/relationships/image" Id="rId136" Target="media/rId136.png" /><Relationship Type="http://schemas.openxmlformats.org/officeDocument/2006/relationships/image" Id="rId160" Target="media/rId160.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130" Target="media/rId130.png" /><Relationship Type="http://schemas.openxmlformats.org/officeDocument/2006/relationships/image" Id="rId163" Target="media/rId163.png" /><Relationship Type="http://schemas.openxmlformats.org/officeDocument/2006/relationships/image" Id="rId122" Target="media/rId122.png" /><Relationship Type="http://schemas.openxmlformats.org/officeDocument/2006/relationships/image" Id="rId67" Target="media/rId67.png" /><Relationship Type="http://schemas.openxmlformats.org/officeDocument/2006/relationships/image" Id="rId97" Target="media/rId97.png" /><Relationship Type="http://schemas.openxmlformats.org/officeDocument/2006/relationships/image" Id="rId55" Target="media/rId55.png" /><Relationship Type="http://schemas.openxmlformats.org/officeDocument/2006/relationships/image" Id="rId83" Target="media/rId83.png" /><Relationship Type="http://schemas.openxmlformats.org/officeDocument/2006/relationships/image" Id="rId104" Target="media/rId104.png" /><Relationship Type="http://schemas.openxmlformats.org/officeDocument/2006/relationships/image" Id="rId59" Target="media/rId59.png" /><Relationship Type="http://schemas.openxmlformats.org/officeDocument/2006/relationships/image" Id="rId79" Target="media/rId79.png" /><Relationship Type="http://schemas.openxmlformats.org/officeDocument/2006/relationships/image" Id="rId70" Target="media/rId70.png" /><Relationship Type="http://schemas.openxmlformats.org/officeDocument/2006/relationships/image" Id="rId101" Target="media/rId101.png" /><Relationship Type="http://schemas.openxmlformats.org/officeDocument/2006/relationships/image" Id="rId87" Target="media/rId87.png" /><Relationship Type="http://schemas.openxmlformats.org/officeDocument/2006/relationships/image" Id="rId75" Target="media/rId75.png" /><Relationship Type="http://schemas.openxmlformats.org/officeDocument/2006/relationships/image" Id="rId43" Target="media/rId43.png" /><Relationship Type="http://schemas.openxmlformats.org/officeDocument/2006/relationships/image" Id="rId152" Target="media/rId152.png" /><Relationship Type="http://schemas.openxmlformats.org/officeDocument/2006/relationships/image" Id="rId118" Target="media/rId118.png" /><Relationship Type="http://schemas.openxmlformats.org/officeDocument/2006/relationships/image" Id="rId10" Target="media/rId10.png" /><Relationship Type="http://schemas.openxmlformats.org/officeDocument/2006/relationships/image" Id="rId64" Target="media/rId64.png" /><Relationship Type="http://schemas.openxmlformats.org/officeDocument/2006/relationships/image" Id="rId140" Target="media/rId140.png" /><Relationship Type="http://schemas.openxmlformats.org/officeDocument/2006/relationships/image" Id="rId126" Target="media/rId126.png" /><Relationship Type="http://schemas.openxmlformats.org/officeDocument/2006/relationships/hyperlink" Id="rId191" Target="https://fred.stlouisfed.org/series/OVXCLS" TargetMode="External" /><Relationship Type="http://schemas.openxmlformats.org/officeDocument/2006/relationships/hyperlink" Id="rId189" Target="https://publications.opec.org/momr/chapter/147/2738" TargetMode="External" /><Relationship Type="http://schemas.openxmlformats.org/officeDocument/2006/relationships/hyperlink" Id="rId187" Target="https://www.eia.gov/dnav/pet/pet_sum_sndw_dcus_nus_w.htm" TargetMode="External" /><Relationship Type="http://schemas.openxmlformats.org/officeDocument/2006/relationships/hyperlink" Id="rId184" Target="https://www.eia.gov/international/analysis/special-topics/World_Oil_Transit_Chokepoints" TargetMode="External" /><Relationship Type="http://schemas.openxmlformats.org/officeDocument/2006/relationships/hyperlink" Id="rId185" Target="https://www.iea.org/about/oil-security-and-emergency-response/strait-of-hormuz" TargetMode="External" /><Relationship Type="http://schemas.openxmlformats.org/officeDocument/2006/relationships/hyperlink" Id="rId186" Target="https://www.iea.org/news/iea-governing-board-concludes-2022-collective-actions" TargetMode="External" /><Relationship Type="http://schemas.openxmlformats.org/officeDocument/2006/relationships/hyperlink" Id="rId188" Target="https://www.jodidata.org/oil/" TargetMode="External" /><Relationship Type="http://schemas.openxmlformats.org/officeDocument/2006/relationships/hyperlink" Id="rId190"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91" Target="https://fred.stlouisfed.org/series/OVXCLS" TargetMode="External" /><Relationship Type="http://schemas.openxmlformats.org/officeDocument/2006/relationships/hyperlink" Id="rId189" Target="https://publications.opec.org/momr/chapter/147/2738" TargetMode="External" /><Relationship Type="http://schemas.openxmlformats.org/officeDocument/2006/relationships/hyperlink" Id="rId187" Target="https://www.eia.gov/dnav/pet/pet_sum_sndw_dcus_nus_w.htm" TargetMode="External" /><Relationship Type="http://schemas.openxmlformats.org/officeDocument/2006/relationships/hyperlink" Id="rId184" Target="https://www.eia.gov/international/analysis/special-topics/World_Oil_Transit_Chokepoints" TargetMode="External" /><Relationship Type="http://schemas.openxmlformats.org/officeDocument/2006/relationships/hyperlink" Id="rId185" Target="https://www.iea.org/about/oil-security-and-emergency-response/strait-of-hormuz" TargetMode="External" /><Relationship Type="http://schemas.openxmlformats.org/officeDocument/2006/relationships/hyperlink" Id="rId186" Target="https://www.iea.org/news/iea-governing-board-concludes-2022-collective-actions" TargetMode="External" /><Relationship Type="http://schemas.openxmlformats.org/officeDocument/2006/relationships/hyperlink" Id="rId188" Target="https://www.jodidata.org/oil/" TargetMode="External" /><Relationship Type="http://schemas.openxmlformats.org/officeDocument/2006/relationships/hyperlink" Id="rId190"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2026-05-13T10:48:58Z</dcterms:created>
  <dcterms:modified xsi:type="dcterms:W3CDTF">2026-05-13T10:48:58Z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