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67.png" ContentType="image/png"/>
  <Override PartName="/word/media/rId110.png" ContentType="image/png"/>
  <Override PartName="/word/media/rId33.png" ContentType="image/png"/>
  <Override PartName="/word/media/rId19.png" ContentType="image/png"/>
  <Override PartName="/word/media/rId121.png" ContentType="image/png"/>
  <Override PartName="/word/media/rId102.png" ContentType="image/png"/>
  <Override PartName="/word/media/rId114.png" ContentType="image/png"/>
  <Override PartName="/word/media/rId16.png" ContentType="image/png"/>
  <Override PartName="/word/media/rId23.png" ContentType="image/png"/>
  <Override PartName="/word/media/rId96.png" ContentType="image/png"/>
  <Override PartName="/word/media/rId117.png" ContentType="image/png"/>
  <Override PartName="/word/media/rId89.png" ContentType="image/png"/>
  <Override PartName="/word/media/rId49.png" ContentType="image/png"/>
  <Override PartName="/word/media/rId72.png" ContentType="image/png"/>
  <Override PartName="/word/media/rId42.png" ContentType="image/png"/>
  <Override PartName="/word/media/rId45.png" ContentType="image/png"/>
  <Override PartName="/word/media/rId60.png" ContentType="image/png"/>
  <Override PartName="/word/media/rId52.png" ContentType="image/png"/>
  <Override PartName="/word/media/rId76.png" ContentType="image/png"/>
  <Override PartName="/word/media/rId64.png" ContentType="image/png"/>
  <Override PartName="/word/media/rId56.png" ContentType="image/png"/>
  <Override PartName="/word/media/rId85.png" ContentType="image/png"/>
  <Override PartName="/word/media/rId106.png" ContentType="image/png"/>
  <Override PartName="/word/media/rId10.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美元/桶。按题面短期低弹性和供应中断范围建立传统供需基准模型，可得</w:t>
      </w:r>
      <w:r>
        <w:t xml:space="preserve"> 278–337 </w:t>
      </w:r>
      <w:r>
        <w:rPr>
          <w:rFonts w:hint="eastAsia"/>
        </w:rPr>
        <w:t xml:space="preserve">美元/桶的理论价格区间，显著高于附件真实价格，说明必须引入政策缓冲和市场预期修复。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基准。滞后平移、拐点、机制消融、过拟合压力测试和硬编码审计表明，模型不是简单滞后复制，也没有把</w:t>
      </w:r>
      <w:r>
        <w:t xml:space="preserve"> 120 </w:t>
      </w:r>
      <w:r>
        <w:rPr>
          <w:rFonts w:hint="eastAsia"/>
        </w:rPr>
        <w:t xml:space="preserve">美元平台写成代码上限。</w:t>
      </w:r>
    </w:p>
    <w:p>
      <w:pPr>
        <w:pStyle w:val="BodyText"/>
      </w:pPr>
      <w:r>
        <w:rPr>
          <w:rFonts w:hint="eastAsia"/>
        </w:rPr>
        <w:t xml:space="preserve">针对任务二，本文构建</w:t>
      </w:r>
      <w:r>
        <w:t xml:space="preserve"> 60–180 </w:t>
      </w:r>
      <w:r>
        <w:rPr>
          <w:rFonts w:hint="eastAsia"/>
        </w:rPr>
        <w:t xml:space="preserve">天乐观、中性、悲观三种情景路径。新版长期自适应反馈模型显示，中性情景第</w:t>
      </w:r>
      <w:r>
        <w:t xml:space="preserve"> 180 </w:t>
      </w:r>
      <w:r>
        <w:rPr>
          <w:rFonts w:hint="eastAsia"/>
        </w:rPr>
        <w:t xml:space="preserve">天价格约为</w:t>
      </w:r>
      <w:r>
        <w:t xml:space="preserve"> 92.43 </w:t>
      </w:r>
      <w:r>
        <w:rPr>
          <w:rFonts w:hint="eastAsia"/>
        </w:rPr>
        <w:t xml:space="preserve">美元/桶，悲观情景第</w:t>
      </w:r>
      <w:r>
        <w:t xml:space="preserve"> 180 </w:t>
      </w:r>
      <w:r>
        <w:rPr>
          <w:rFonts w:hint="eastAsia"/>
        </w:rPr>
        <w:t xml:space="preserve">天约为</w:t>
      </w:r>
      <w:r>
        <w:t xml:space="preserve"> 106.83 </w:t>
      </w:r>
      <w:r>
        <w:rPr>
          <w:rFonts w:hint="eastAsia"/>
        </w:rPr>
        <w:t xml:space="preserve">美元/桶，且仍保留二次跳涨风险。敏感性分析表明，地缘风险权重、不确定性与制度风险强度、制度风险占比是综合敏感度最高的三个因素；2000</w:t>
      </w:r>
      <w:r>
        <w:t xml:space="preserve"> </w:t>
      </w:r>
      <w:r>
        <w:rPr>
          <w:rFonts w:hint="eastAsia"/>
        </w:rPr>
        <w:t xml:space="preserve">次蒙特卡洛情景树显示，外推期最高价突破</w:t>
      </w:r>
      <w:r>
        <w:t xml:space="preserve"> 120 </w:t>
      </w:r>
      <w:r>
        <w:rPr>
          <w:rFonts w:hint="eastAsia"/>
        </w:rPr>
        <w:t xml:space="preserve">美元/桶的条件概率约为</w:t>
      </w:r>
      <w:r>
        <w:t xml:space="preserve"> </w:t>
      </w:r>
      <w:r>
        <w:rPr>
          <w:rFonts w:hint="eastAsia"/>
        </w:rPr>
        <w:t xml:space="preserve">4.6%。为避免长期中性线被误读为逐日精确预测，本文又引入缓和、维持、升级三状态转移扰动，得到第</w:t>
      </w:r>
      <w:r>
        <w:t xml:space="preserve"> 180 </w:t>
      </w:r>
      <w:r>
        <w:rPr>
          <w:rFonts w:hint="eastAsia"/>
        </w:rPr>
        <w:t xml:space="preserve">天</w:t>
      </w:r>
      <w:r>
        <w:t xml:space="preserve"> 5%–95% </w:t>
      </w:r>
      <w:r>
        <w:rPr>
          <w:rFonts w:hint="eastAsia"/>
        </w:rPr>
        <w:t xml:space="preserve">条件区间</w:t>
      </w:r>
      <w:r>
        <w:t xml:space="preserve"> 85.43–93.99 </w:t>
      </w:r>
      <w:r>
        <w:rPr>
          <w:rFonts w:hint="eastAsia"/>
        </w:rPr>
        <w:t xml:space="preserve">美元/桶，外推期最高价</w:t>
      </w:r>
      <w:r>
        <w:t xml:space="preserve"> P95 </w:t>
      </w:r>
      <w:r>
        <w:rPr>
          <w:rFonts w:hint="eastAsia"/>
        </w:rPr>
        <w:t xml:space="preserve">为</w:t>
      </w:r>
      <w:r>
        <w:t xml:space="preserve"> 124.61 </w:t>
      </w:r>
      <w:r>
        <w:rPr>
          <w:rFonts w:hint="eastAsia"/>
        </w:rPr>
        <w:t xml:space="preserve">美元/桶。GPR</w:t>
      </w:r>
      <w:r>
        <w:t xml:space="preserve"> </w:t>
      </w:r>
      <w:r>
        <w:rPr>
          <w:rFonts w:hint="eastAsia"/>
        </w:rPr>
        <w:t xml:space="preserve">滞后审计和</w:t>
      </w:r>
      <w:r>
        <w:t xml:space="preserve"> 2017–2026 </w:t>
      </w:r>
      <w:r>
        <w:rPr>
          <w:rFonts w:hint="eastAsia"/>
        </w:rPr>
        <w:t xml:space="preserve">年历史同长度窗口检验进一步说明：2026</w:t>
      </w:r>
      <w:r>
        <w:t xml:space="preserve"> </w:t>
      </w:r>
      <w:r>
        <w:rPr>
          <w:rFonts w:hint="eastAsia"/>
        </w:rPr>
        <w:t xml:space="preserve">冲突窗口具有罕见地缘风险和高波动特征，但外部风险指标只作为审计证据，不作为短期同月拟合因子。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数据清洗、供需基准、短期递推和参数校准完成附件数据清洗、传统供需基准、短期动态递推、参数校准和防御性检验，给出</w:t>
            </w:r>
            <w:r>
              <w:t xml:space="preserve"> </w:t>
            </w:r>
            <w:r>
              <w:rPr>
                <w:rFonts w:hint="eastAsia"/>
              </w:rPr>
              <w:t xml:space="preserve">RMSE、MAE、MAPE、基准对比、滞后检验、机制消融和过拟合压力测试。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长期情景预测和敏感性分析构建乐观、中性、悲观三情景路径，给出第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5"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天三情景预测模型，并通过敏感性分析、蒙特卡洛情景树、滞后地缘风险指数审计和历史样本稳健性检验识别影响长期价格平衡点和二次跳涨风险的关键变量。</w:t>
      </w:r>
    </w: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p>
      <w:pPr>
        <w:pStyle w:val="BodyText"/>
      </w:pPr>
      <w:r>
        <w:rPr>
          <w:rFonts w:hint="eastAsia"/>
        </w:rPr>
        <w:t xml:space="preserve">这一技术路线的核心原则是：真实价格只来自附件数据；长期部分只作情景预测，不伪装成拟合；模型检验必须主动面对朴素基准、滞后复制、参数过拟合和硬编码上限等潜在质疑。</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3"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3"/>
    <w:bookmarkStart w:id="14" w:name="文献依据与建模约束"/>
    <w:p>
      <w:pPr>
        <w:pStyle w:val="Heading2"/>
      </w:pPr>
      <w:r>
        <w:rPr>
          <w:rFonts w:hint="eastAsia"/>
        </w:rPr>
        <w:t xml:space="preserve">文献依据与建模约束</w:t>
      </w:r>
    </w:p>
    <w:p>
      <w:pPr>
        <w:pStyle w:val="FirstParagraph"/>
      </w:pPr>
      <w:r>
        <w:rPr>
          <w:rFonts w:hint="eastAsia"/>
        </w:rPr>
        <w:t xml:space="preserve">为避免模型显得像</w:t>
      </w:r>
      <w:r>
        <w:rPr>
          <w:rFonts w:hint="eastAsia"/>
        </w:rPr>
        <w:t xml:space="preserve">“为了拟合而临时拼接”</w:t>
      </w:r>
      <w:r>
        <w:rPr>
          <w:rFonts w:hint="eastAsia"/>
        </w:rPr>
        <w:t xml:space="preserve">，本文将文献调研转化为可执行的建模约束。Kilian（2009）和</w:t>
      </w:r>
      <w:r>
        <w:t xml:space="preserve"> </w:t>
      </w:r>
      <w:r>
        <w:rPr>
          <w:rFonts w:hint="eastAsia"/>
        </w:rPr>
        <w:t xml:space="preserve">Hamilton（2009）表明，油价冲击不能只由当期供应缺口解释，还需要区分供给、需求、预防性需求和宏观环境；Kilian</w:t>
      </w:r>
      <w:r>
        <w:t xml:space="preserve"> </w:t>
      </w:r>
      <w:r>
        <w:rPr>
          <w:rFonts w:hint="eastAsia"/>
        </w:rPr>
        <w:t xml:space="preserve">与</w:t>
      </w:r>
      <w:r>
        <w:t xml:space="preserve"> </w:t>
      </w:r>
      <w:r>
        <w:rPr>
          <w:rFonts w:hint="eastAsia"/>
        </w:rPr>
        <w:t xml:space="preserve">Murphy（2014）进一步说明库存和投机性需求会影响油价路径。因此，本文将传统供需模型定位为低弹性反事实上界，而不是最终预测模型。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Vigfusson（2013）指出，原油价格预测必须与无变化预测、随机游走等强基准比较，并明确预测期限和不确定性边界。因此，本文在短期部分设置上一日价格朴素基准、漂移随机游走和滚动</w:t>
      </w:r>
      <w:r>
        <w:t xml:space="preserve"> </w:t>
      </w:r>
      <w:r>
        <w:rPr>
          <w:rFonts w:hint="eastAsia"/>
        </w:rPr>
        <w:t xml:space="preserve">ARIMA；在长期部分不把中性线写成逐日真实价格预测，而是同时给出三情景中心路径、蒙特卡洛扇形区间和状态转移尾部风险。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释放能够影响油价，但其作用通常是临时削峰和稳定预期，不能被写成完全抵消供应中断的万能机制。因此，本文把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等（2019）说明地缘风险更适合解释油价波动和尾部风险。由于</w:t>
      </w:r>
      <w:r>
        <w:t xml:space="preserve"> GPR </w:t>
      </w:r>
      <w:r>
        <w:rPr>
          <w:rFonts w:hint="eastAsia"/>
        </w:rPr>
        <w:t xml:space="preserve">来自新闻文本，本文不将同步</w:t>
      </w:r>
      <w:r>
        <w:t xml:space="preserve"> GPR </w:t>
      </w:r>
      <w:r>
        <w:rPr>
          <w:rFonts w:hint="eastAsia"/>
        </w:rPr>
        <w:t xml:space="preserve">输入短期拟合，而只将其作为外部风险审计和滞后检验变量，防止同月新闻与同月油价之间的内生性循环。</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传统基准与综合机制递推模型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与波动风险</w:t>
            </w:r>
          </w:p>
        </w:tc>
        <w:tc>
          <w:tcPr/>
          <w:p>
            <w:pPr>
              <w:pStyle w:val="Compact"/>
              <w:jc w:val="left"/>
            </w:pPr>
            <w:r>
              <w:t xml:space="preserve">GPR </w:t>
            </w:r>
            <w:r>
              <w:rPr>
                <w:rFonts w:hint="eastAsia"/>
              </w:rPr>
              <w:t xml:space="preserve">适合做风险审计和波动解释，不宜同步解释同月油价</w:t>
            </w:r>
          </w:p>
        </w:tc>
        <w:tc>
          <w:tcPr/>
          <w:p>
            <w:pPr>
              <w:pStyle w:val="Compact"/>
              <w:jc w:val="left"/>
            </w:pPr>
            <w:r>
              <w:rPr>
                <w:rFonts w:hint="eastAsia"/>
              </w:rPr>
              <w:t xml:space="preserve">滞后</w:t>
            </w:r>
            <w:r>
              <w:t xml:space="preserve"> GPR </w:t>
            </w:r>
            <w:r>
              <w:rPr>
                <w:rFonts w:hint="eastAsia"/>
              </w:rPr>
              <w:t xml:space="preserve">审计和长期尾部风险解释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长期结果应报告情景、区间和尾部概率，不夸大单点预测</w:t>
            </w:r>
          </w:p>
        </w:tc>
        <w:tc>
          <w:tcPr/>
          <w:p>
            <w:pPr>
              <w:pStyle w:val="Compact"/>
              <w:jc w:val="left"/>
            </w:pPr>
            <w:r>
              <w:rPr>
                <w:rFonts w:hint="eastAsia"/>
              </w:rPr>
              <w:t xml:space="preserve">三情景、蒙特卡洛和状态转移情景树</w:t>
            </w:r>
          </w:p>
        </w:tc>
      </w:tr>
    </w:tbl>
    <w:bookmarkEnd w:id="14"/>
    <w:bookmarkEnd w:id="15"/>
    <w:bookmarkStart w:id="27" w:name="数据处理与描述性分析"/>
    <w:p>
      <w:pPr>
        <w:pStyle w:val="Heading1"/>
      </w:pPr>
      <w:r>
        <w:rPr>
          <w:rFonts w:hint="eastAsia"/>
        </w:rPr>
        <w:t xml:space="preserve">数据处理与描述性分析</w:t>
      </w:r>
    </w:p>
    <w:bookmarkStart w:id="22"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审计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该外部审计带来三个约束。第一，美国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月度指数，作为地缘风险溢价的外部审计变量。由于</w:t>
      </w:r>
      <w:r>
        <w:t xml:space="preserve"> GPR </w:t>
      </w:r>
      <w:r>
        <w:rPr>
          <w:rFonts w:hint="eastAsia"/>
        </w:rPr>
        <w:t xml:space="preserve">由新闻文本构造，同月指数不直接进入短期拟合；详细滞后检验放在第</w:t>
      </w:r>
      <w:r>
        <w:t xml:space="preserve"> 9.5 </w:t>
      </w:r>
      <w:r>
        <w:rPr>
          <w:rFonts w:hint="eastAsia"/>
        </w:rPr>
        <w:t xml:space="preserve">节统一报告。</w:t>
      </w:r>
    </w:p>
    <w:p>
      <w:pPr>
        <w:pStyle w:val="CaptionedFigure"/>
      </w:pPr>
      <w:r>
        <w:drawing>
          <wp:inline>
            <wp:extent cx="4907280" cy="2453640"/>
            <wp:effectExtent b="0" l="0" r="0" t="0"/>
            <wp:docPr descr="" title="" id="17" name="Picture"/>
            <a:graphic>
              <a:graphicData uri="http://schemas.openxmlformats.org/drawingml/2006/picture">
                <pic:pic>
                  <pic:nvPicPr>
                    <pic:cNvPr descr="布伦特原油长期价格走势.png" id="18" name="Picture"/>
                    <pic:cNvPicPr>
                      <a:picLocks noChangeArrowheads="1" noChangeAspect="1"/>
                    </pic:cNvPicPr>
                  </pic:nvPicPr>
                  <pic:blipFill>
                    <a:blip r:embed="rId16"/>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w:t>
      </w:r>
    </w:p>
    <w:p>
      <w:pPr>
        <w:pStyle w:val="CaptionedFigure"/>
      </w:pPr>
      <w:r>
        <w:drawing>
          <wp:inline>
            <wp:extent cx="4907280" cy="2453640"/>
            <wp:effectExtent b="0" l="0" r="0" t="0"/>
            <wp:docPr descr="" title="" id="20" name="Picture"/>
            <a:graphic>
              <a:graphicData uri="http://schemas.openxmlformats.org/drawingml/2006/picture">
                <pic:pic>
                  <pic:nvPicPr>
                    <pic:cNvPr descr="冲突窗口价格走势.png" id="21" name="Picture"/>
                    <pic:cNvPicPr>
                      <a:picLocks noChangeArrowheads="1" noChangeAspect="1"/>
                    </pic:cNvPicPr>
                  </pic:nvPicPr>
                  <pic:blipFill>
                    <a:blip r:embed="rId19"/>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w:t>
      </w:r>
    </w:p>
    <w:bookmarkEnd w:id="22"/>
    <w:bookmarkStart w:id="26"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4" name="Picture"/>
            <a:graphic>
              <a:graphicData uri="http://schemas.openxmlformats.org/drawingml/2006/picture">
                <pic:pic>
                  <pic:nvPicPr>
                    <pic:cNvPr descr="布伦特收益率与波动率.png" id="25" name="Picture"/>
                    <pic:cNvPicPr>
                      <a:picLocks noChangeArrowheads="1" noChangeAspect="1"/>
                    </pic:cNvPicPr>
                  </pic:nvPicPr>
                  <pic:blipFill>
                    <a:blip r:embed="rId23"/>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收益率与滚动波动率。冲突窗口波动放大，为事件机制建模提供依据。</w:t>
      </w:r>
    </w:p>
    <w:bookmarkEnd w:id="26"/>
    <w:bookmarkEnd w:id="27"/>
    <w:bookmarkStart w:id="31" w:name="模型假设与符号说明"/>
    <w:p>
      <w:pPr>
        <w:pStyle w:val="Heading1"/>
      </w:pPr>
      <w:r>
        <w:rPr>
          <w:rFonts w:hint="eastAsia"/>
        </w:rPr>
        <w:t xml:space="preserve">模型假设与符号说明</w:t>
      </w:r>
    </w:p>
    <w:bookmarkStart w:id="28"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28"/>
    <w:bookmarkStart w:id="29"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29"/>
    <w:bookmarkStart w:id="30"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审计；校准参数必须通过基准对比、消融实验和扰动检验；长期情景参数只用于</w:t>
      </w:r>
      <w:r>
        <w:t xml:space="preserve"> 60–180 </w:t>
      </w:r>
      <w:r>
        <w:rPr>
          <w:rFonts w:hint="eastAsia"/>
        </w:rPr>
        <w:t xml:space="preserve">天条件外推，不参与短期窗口的误差拟合；长期机制强度参数则必须显式命名，并进入敏感性分析。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官方外部审计量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SPR、商业库存、原油产量，Caldara-Iacoviello</w:t>
            </w:r>
            <w:r>
              <w:t xml:space="preserve"> GPR </w:t>
            </w:r>
            <w:r>
              <w:rPr>
                <w:rFonts w:hint="eastAsia"/>
              </w:rPr>
              <w:t xml:space="preserve">指数</w:t>
            </w:r>
          </w:p>
        </w:tc>
        <w:tc>
          <w:tcPr/>
          <w:p>
            <w:pPr>
              <w:pStyle w:val="Compact"/>
              <w:jc w:val="left"/>
            </w:pPr>
            <w:r>
              <w:rPr>
                <w:rFonts w:hint="eastAsia"/>
              </w:rPr>
              <w:t xml:space="preserve">只用于审计长期约束和风险高位事实，不替代附件真实价格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在固定机制结构内校准，并接受消融、扰动和硬编码审计</w:t>
            </w:r>
          </w:p>
        </w:tc>
      </w:tr>
      <w:tr>
        <w:tc>
          <w:tcPr/>
          <w:p>
            <w:pPr>
              <w:pStyle w:val="Compact"/>
              <w:jc w:val="left"/>
            </w:pPr>
            <w:r>
              <w:rPr>
                <w:rFonts w:hint="eastAsia"/>
              </w:rPr>
              <w:t xml:space="preserve">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：低弹性仍用于传统供需反事实上界，解释为什么静态模型会给出</w:t>
      </w:r>
      <w:r>
        <w:t xml:space="preserve"> 278–337 </w:t>
      </w:r>
      <w:r>
        <w:rPr>
          <w:rFonts w:hint="eastAsia"/>
        </w:rPr>
        <w:t xml:space="preserve">美元/桶的高价压力；</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明确归类为行为校准参数，并在反驳性检验中单独报告：当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长期外推中的若干机制系数也需要单独说明。例如冲击不确定性占比、制度风险占比和过剩供给回归强度并非</w:t>
      </w:r>
      <w:r>
        <w:t xml:space="preserve"> EIA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长期判断主要来自机制组合，而不是某一个隐藏常数。</w:t>
      </w:r>
    </w:p>
    <w:bookmarkEnd w:id="30"/>
    <w:bookmarkEnd w:id="31"/>
    <w:bookmarkStart w:id="37" w:name="传统供需基准模型"/>
    <w:p>
      <w:pPr>
        <w:pStyle w:val="Heading1"/>
      </w:pPr>
      <w:r>
        <w:rPr>
          <w:rFonts w:hint="eastAsia"/>
        </w:rPr>
        <w:t xml:space="preserve">传统供需基准模型</w:t>
      </w:r>
    </w:p>
    <w:bookmarkStart w:id="32"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的理论价格压力。设基准价格为</w:t>
      </w:r>
      <w:r>
        <w:t xml:space="preserve"> </w:t>
      </w:r>
      <m:oMath>
        <m:sSub>
          <m:e>
            <m:r>
              <m:t>P</m:t>
            </m:r>
          </m:e>
          <m:sub>
            <m:r>
              <m:t>0</m:t>
            </m:r>
          </m:sub>
        </m:sSub>
      </m:oMath>
      <w:r>
        <w:rPr>
          <w:rFonts w:hint="eastAsia"/>
        </w:rPr>
        <w:t xml:space="preserve">，供应中断占需求比例为</w:t>
      </w:r>
      <w:r>
        <w:t xml:space="preserve"> </w:t>
      </w:r>
      <m:oMath>
        <m:r>
          <m:t>I</m:t>
        </m:r>
        <m:r>
          <m:rPr>
            <m:sty m:val="p"/>
          </m:rPr>
          <m:t>/</m:t>
        </m:r>
        <m:sSub>
          <m:e>
            <m:r>
              <m:t>D</m:t>
            </m:r>
          </m:e>
          <m:sub>
            <m:r>
              <m:t>0</m:t>
            </m:r>
          </m:sub>
        </m:sSub>
      </m:oMath>
      <w:r>
        <w:rPr>
          <w:rFonts w:hint="eastAsia"/>
        </w:rPr>
        <w:t xml:space="preserve">，短期需求价格弹性为</w:t>
      </w:r>
      <w:r>
        <w:t xml:space="preserve"> </w:t>
      </w:r>
      <m:oMath>
        <m:r>
          <m:t>ε</m:t>
        </m:r>
      </m:oMath>
      <w:r>
        <w:rPr>
          <w:rFonts w:hint="eastAsia"/>
        </w:rPr>
        <w:t xml:space="preserve">，线性化价格上界写为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该模型不是最终预测模型，而是用于说明低弹性短期供需框架会产生多高的理论上界。赛题给出的短期弹性约为</w:t>
      </w:r>
      <w:r>
        <w:t xml:space="preserve"> </w:t>
      </w:r>
      <m:oMath>
        <m:r>
          <m:rPr>
            <m:sty m:val="p"/>
          </m:rPr>
          <m:t>−</m:t>
        </m:r>
        <m:r>
          <m:t>0.05</m:t>
        </m:r>
      </m:oMath>
      <w:r>
        <w:rPr>
          <w:rFonts w:hint="eastAsia"/>
        </w:rPr>
        <w:t xml:space="preserve">，供应中断范围约为</w:t>
      </w:r>
      <w:r>
        <w:t xml:space="preserve"> 1400–1800 </w:t>
      </w:r>
      <w:r>
        <w:rPr>
          <w:rFonts w:hint="eastAsia"/>
        </w:rPr>
        <w:t xml:space="preserve">万桶/日。</w:t>
      </w:r>
    </w:p>
    <w:bookmarkEnd w:id="32"/>
    <w:bookmarkStart w:id="36" w:name="基准模型结果"/>
    <w:p>
      <w:pPr>
        <w:pStyle w:val="Heading2"/>
      </w:pPr>
      <w:r>
        <w:rPr>
          <w:rFonts w:hint="eastAsia"/>
        </w:rPr>
        <w:t xml:space="preserve">基准模型结果</w:t>
      </w:r>
    </w:p>
    <w:p>
      <w:pPr>
        <w:pStyle w:val="TableCaption"/>
      </w:pPr>
      <w:r>
        <w:rPr>
          <w:rFonts w:hint="eastAsia"/>
        </w:rPr>
        <w:t xml:space="preserve">传统供需基准模型结果</w:t>
      </w:r>
    </w:p>
    <w:tbl>
      <w:tblPr>
        <w:tblStyle w:val="Table"/>
        <w:tblW w:type="auto" w:w="0"/>
        <w:tblLook w:firstRow="1" w:lastRow="0" w:firstColumn="0" w:lastColumn="0" w:noHBand="0" w:noVBand="0" w:val="0020"/>
        <w:tblCaption w:val="传统供需基准模型结果"/>
      </w:tblPr>
      <w:tblGrid>
        <w:gridCol w:w="1980"/>
        <w:gridCol w:w="1980"/>
        <w:gridCol w:w="1980"/>
        <w:gridCol w:w="198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线性化价格</w:t>
            </w:r>
          </w:p>
        </w:tc>
        <w:tc>
          <w:tcPr/>
          <w:p>
            <w:pPr>
              <w:pStyle w:val="Compact"/>
              <w:jc w:val="right"/>
            </w:pPr>
            <w:r>
              <w:rPr>
                <w:rFonts w:hint="eastAsia"/>
              </w:rPr>
              <w:t xml:space="preserve">相对实际最高收盘价倍数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2.95</w:t>
            </w:r>
          </w:p>
        </w:tc>
      </w:tr>
    </w:tbl>
    <w:p>
      <w:pPr>
        <w:pStyle w:val="CaptionedFigure"/>
      </w:pPr>
      <w:r>
        <w:drawing>
          <wp:inline>
            <wp:extent cx="4693920" cy="2560320"/>
            <wp:effectExtent b="0" l="0" r="0" t="0"/>
            <wp:docPr descr="" title="" id="34" name="Picture"/>
            <a:graphic>
              <a:graphicData uri="http://schemas.openxmlformats.org/drawingml/2006/picture">
                <pic:pic>
                  <pic:nvPicPr>
                    <pic:cNvPr descr="传统供需基准与真实价格对比.png" id="35" name="Picture"/>
                    <pic:cNvPicPr>
                      <a:picLocks noChangeArrowheads="1" noChangeAspect="1"/>
                    </pic:cNvPicPr>
                  </pic:nvPicPr>
                  <pic:blipFill>
                    <a:blip r:embed="rId33"/>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w:t>
      </w:r>
    </w:p>
    <w:p>
      <w:pPr>
        <w:pStyle w:val="BodyText"/>
      </w:pPr>
      <w:r>
        <w:rPr>
          <w:rFonts w:hint="eastAsia"/>
        </w:rPr>
        <w:t xml:space="preserve">结果显示，传统模型给出的</w:t>
      </w:r>
      <w:r>
        <w:t xml:space="preserve"> 278–337 </w:t>
      </w:r>
      <w:r>
        <w:rPr>
          <w:rFonts w:hint="eastAsia"/>
        </w:rPr>
        <w:t xml:space="preserve">美元/桶显著高于附件冲突窗口最高收盘价</w:t>
      </w:r>
      <w:r>
        <w:t xml:space="preserve"> 114.06 </w:t>
      </w:r>
      <w:r>
        <w:rPr>
          <w:rFonts w:hint="eastAsia"/>
        </w:rPr>
        <w:t xml:space="preserve">美元/桶。这说明单纯依靠供应缺口和低短期弹性无法解释现实价格，必须进一步引入</w:t>
      </w:r>
      <w:r>
        <w:t xml:space="preserve"> </w:t>
      </w:r>
      <w:r>
        <w:rPr>
          <w:rFonts w:hint="eastAsia"/>
        </w:rPr>
        <w:t xml:space="preserve">SPR、库存、绕道运输、需求收缩和市场预期修复。</w:t>
      </w:r>
    </w:p>
    <w:bookmarkEnd w:id="36"/>
    <w:bookmarkEnd w:id="37"/>
    <w:bookmarkStart w:id="40"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它不是把所有可能因素无差别加入拟合，而是在赛题要求因素的基础上，保留已经通过消融实验和敏感性分析证明有效的价格形成因素。模型目标是在附件冲突窗口内解释真实价格路径，并为后续</w:t>
      </w:r>
      <w:r>
        <w:t xml:space="preserve"> 60–180 </w:t>
      </w:r>
      <w:r>
        <w:rPr>
          <w:rFonts w:hint="eastAsia"/>
        </w:rPr>
        <w:t xml:space="preserve">天情景外推提供统一机制基础。</w:t>
      </w:r>
    </w:p>
    <w:bookmarkStart w:id="38"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38"/>
    <w:bookmarkStart w:id="39"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r>
                    <m:t>0.004</m:t>
                  </m:r>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为物理缺口向期货目标价格传导的价格形成系数，不替代题面需求弹性；</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r>
            <m:t>2.5</m:t>
          </m:r>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pStyle w:val="FirstParagraph"/>
      </w:pPr>
      <w:r>
        <w:rPr>
          <w:rFonts w:hint="eastAsia"/>
        </w:rPr>
        <w:t xml:space="preserve">该结构保留了题面中的离散递推思想，同时允许期货市场对风险和预期做非线性再定价。需要强调，本文不把市场价格形成层视为任意补丁：风险溢价、缓冲确认折价和预期修复折价只有在具有经济含义、方向可解释、消融后误差明显恶化且扰动后结论保持稳定时才保留在主模型中。</w:t>
      </w:r>
    </w:p>
    <w:bookmarkEnd w:id="39"/>
    <w:bookmarkEnd w:id="40"/>
    <w:bookmarkStart w:id="83" w:name="参数校准与模型检验"/>
    <w:p>
      <w:pPr>
        <w:pStyle w:val="Heading1"/>
      </w:pPr>
      <w:r>
        <w:rPr>
          <w:rFonts w:hint="eastAsia"/>
        </w:rPr>
        <w:t xml:space="preserve">参数校准与模型检验</w:t>
      </w:r>
    </w:p>
    <w:bookmarkStart w:id="41" w:name="多目标校准"/>
    <w:p>
      <w:pPr>
        <w:pStyle w:val="Heading2"/>
      </w:pPr>
      <w:r>
        <w:rPr>
          <w:rFonts w:hint="eastAsia"/>
        </w:rPr>
        <w:t xml:space="preserve">多目标校准</w:t>
      </w:r>
    </w:p>
    <w:p>
      <w:pPr>
        <w:pStyle w:val="FirstParagraph"/>
      </w:pPr>
      <w:r>
        <w:rPr>
          <w:rFonts w:hint="eastAsia"/>
        </w:rPr>
        <w:t xml:space="preserve">为了避免模型只追求总体</w:t>
      </w:r>
      <w:r>
        <w:t xml:space="preserve"> RMSE </w:t>
      </w:r>
      <w:r>
        <w:rPr>
          <w:rFonts w:hint="eastAsia"/>
        </w:rPr>
        <w:t xml:space="preserve">而牺牲峰值、末日价格和局部阶段解释能力，本文采用多目标校准函数：</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价格传导系数</w:t>
            </w:r>
            <w:r>
              <w:t xml:space="preserve"> </w:t>
            </w:r>
            <m:oMath>
              <m:r>
                <m:t>ϕ</m:t>
              </m:r>
            </m:oMath>
          </w:p>
        </w:tc>
        <w:tc>
          <w:tcPr/>
          <w:p>
            <w:pPr>
              <w:pStyle w:val="Compact"/>
              <w:jc w:val="right"/>
            </w:pPr>
            <w:r>
              <w:t xml:space="preserve">0.028</w:t>
            </w:r>
          </w:p>
        </w:tc>
      </w:tr>
      <w:tr>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r>
      <w:tr>
        <w:tc>
          <w:tcPr/>
          <w:p>
            <w:pPr>
              <w:pStyle w:val="Compact"/>
              <w:jc w:val="left"/>
            </w:pPr>
            <w:r>
              <w:rPr>
                <w:rFonts w:hint="eastAsia"/>
              </w:rPr>
              <w:t xml:space="preserve">不确定性/制度风险强度</w:t>
            </w:r>
          </w:p>
        </w:tc>
        <w:tc>
          <w:tcPr/>
          <w:p>
            <w:pPr>
              <w:pStyle w:val="Compact"/>
              <w:jc w:val="right"/>
            </w:pPr>
            <w:r>
              <w:t xml:space="preserve">0.247</w:t>
            </w:r>
          </w:p>
        </w:tc>
        <w:tc>
          <w:tcPr/>
          <w:p>
            <w:pPr>
              <w:pStyle w:val="Compact"/>
              <w:jc w:val="left"/>
            </w:pPr>
            <w:r>
              <w:rPr>
                <w:rFonts w:hint="eastAsia"/>
              </w:rPr>
              <w:t xml:space="preserve">库存响应系数</w:t>
            </w:r>
          </w:p>
        </w:tc>
        <w:tc>
          <w:tcPr/>
          <w:p>
            <w:pPr>
              <w:pStyle w:val="Compact"/>
              <w:jc w:val="right"/>
            </w:pPr>
            <w:r>
              <w:t xml:space="preserve">0.666</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防御性检验。本文后续所有模型评价均围绕这一区分展开，避免把校准参数包装成外生事实。</w:t>
      </w:r>
    </w:p>
    <w:bookmarkEnd w:id="41"/>
    <w:bookmarkStart w:id="48"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CaptionedFigure"/>
      </w:pPr>
      <w:r>
        <w:drawing>
          <wp:inline>
            <wp:extent cx="4907280" cy="2587474"/>
            <wp:effectExtent b="0" l="0" r="0" t="0"/>
            <wp:docPr descr="" title="" id="43" name="Picture"/>
            <a:graphic>
              <a:graphicData uri="http://schemas.openxmlformats.org/drawingml/2006/picture">
                <pic:pic>
                  <pic:nvPicPr>
                    <pic:cNvPr descr="短期模型拟合效果.png" id="44" name="Picture"/>
                    <pic:cNvPicPr>
                      <a:picLocks noChangeArrowheads="1" noChangeAspect="1"/>
                    </pic:cNvPicPr>
                  </pic:nvPicPr>
                  <pic:blipFill>
                    <a:blip r:embed="rId42"/>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46" name="Picture"/>
            <a:graphic>
              <a:graphicData uri="http://schemas.openxmlformats.org/drawingml/2006/picture">
                <pic:pic>
                  <pic:nvPicPr>
                    <pic:cNvPr descr="短期模型机制贡献.png" id="47" name="Picture"/>
                    <pic:cNvPicPr>
                      <a:picLocks noChangeArrowheads="1" noChangeAspect="1"/>
                    </pic:cNvPicPr>
                  </pic:nvPicPr>
                  <pic:blipFill>
                    <a:blip r:embed="rId45"/>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短期模型机制贡献分解。风险溢价推升价格，缓冲确认和预期修复压低价格。</w:t>
      </w:r>
    </w:p>
    <w:bookmarkEnd w:id="48"/>
    <w:bookmarkStart w:id="55" w:name="基准对比与防御性检验"/>
    <w:p>
      <w:pPr>
        <w:pStyle w:val="Heading2"/>
      </w:pPr>
      <w:r>
        <w:rPr>
          <w:rFonts w:hint="eastAsia"/>
        </w:rPr>
        <w:t xml:space="preserve">基准对比与防御性检验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50" name="Picture"/>
            <a:graphic>
              <a:graphicData uri="http://schemas.openxmlformats.org/drawingml/2006/picture">
                <pic:pic>
                  <pic:nvPicPr>
                    <pic:cNvPr descr="短期模型基准对比.png" id="51" name="Picture"/>
                    <pic:cNvPicPr>
                      <a:picLocks noChangeArrowheads="1" noChangeAspect="1"/>
                    </pic:cNvPicPr>
                  </pic:nvPicPr>
                  <pic:blipFill>
                    <a:blip r:embed="rId49"/>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53" name="Picture"/>
            <a:graphic>
              <a:graphicData uri="http://schemas.openxmlformats.org/drawingml/2006/picture">
                <pic:pic>
                  <pic:nvPicPr>
                    <pic:cNvPr descr="短期模型滞后平移检验.png" id="54" name="Picture"/>
                    <pic:cNvPicPr>
                      <a:picLocks noChangeArrowheads="1" noChangeAspect="1"/>
                    </pic:cNvPicPr>
                  </pic:nvPicPr>
                  <pic:blipFill>
                    <a:blip r:embed="rId52"/>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w:t>
      </w:r>
    </w:p>
    <w:bookmarkEnd w:id="55"/>
    <w:bookmarkStart w:id="59" w:name="过拟合防御"/>
    <w:p>
      <w:pPr>
        <w:pStyle w:val="Heading2"/>
      </w:pPr>
      <w:r>
        <w:rPr>
          <w:rFonts w:hint="eastAsia"/>
        </w:rPr>
        <w:t xml:space="preserve">过拟合防御</w:t>
      </w:r>
    </w:p>
    <w:p>
      <w:pPr>
        <w:pStyle w:val="FirstParagraph"/>
      </w:pPr>
      <w:r>
        <w:rPr>
          <w:rFonts w:hint="eastAsia"/>
        </w:rPr>
        <w:t xml:space="preserve">由于冲突窗口只有</w:t>
      </w:r>
      <w:r>
        <w:t xml:space="preserve"> 46 </w:t>
      </w:r>
      <w:r>
        <w:rPr>
          <w:rFonts w:hint="eastAsia"/>
        </w:rPr>
        <w:t xml:space="preserve">个交易日，而校准参数较多，本文主动进行过拟合压力测试和代码硬编码审计。结果显示，在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美元/桶区间；代码审计确认递推核心未出现将</w:t>
      </w:r>
      <w:r>
        <w:t xml:space="preserve"> 120 </w:t>
      </w:r>
      <w:r>
        <w:rPr>
          <w:rFonts w:hint="eastAsia"/>
        </w:rPr>
        <w:t xml:space="preserve">美元硬编码为上限的条件分支。本文因此将模型定位为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57" name="Picture"/>
            <a:graphic>
              <a:graphicData uri="http://schemas.openxmlformats.org/drawingml/2006/picture">
                <pic:pic>
                  <pic:nvPicPr>
                    <pic:cNvPr descr="短期模型过拟合压力测试.png" id="58" name="Picture"/>
                    <pic:cNvPicPr>
                      <a:picLocks noChangeArrowheads="1" noChangeAspect="1"/>
                    </pic:cNvPicPr>
                  </pic:nvPicPr>
                  <pic:blipFill>
                    <a:blip r:embed="rId56"/>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短期模型过拟合压力测试。多数扰动样本仍保持在合理价格平台附近。</w:t>
      </w:r>
    </w:p>
    <w:bookmarkEnd w:id="59"/>
    <w:bookmarkStart w:id="63" w:name="分段误差与残差诊断"/>
    <w:p>
      <w:pPr>
        <w:pStyle w:val="Heading2"/>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61" name="Picture"/>
            <a:graphic>
              <a:graphicData uri="http://schemas.openxmlformats.org/drawingml/2006/picture">
                <pic:pic>
                  <pic:nvPicPr>
                    <pic:cNvPr descr="短期模型残差诊断增强.png" id="62" name="Picture"/>
                    <pic:cNvPicPr>
                      <a:picLocks noChangeArrowheads="1" noChangeAspect="1"/>
                    </pic:cNvPicPr>
                  </pic:nvPicPr>
                  <pic:blipFill>
                    <a:blip r:embed="rId60"/>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63"/>
    <w:bookmarkStart w:id="70" w:name="统计审计与-r-语言辅助定位"/>
    <w:p>
      <w:pPr>
        <w:pStyle w:val="Heading2"/>
      </w:pPr>
      <w:r>
        <w:rPr>
          <w:rFonts w:hint="eastAsia"/>
        </w:rPr>
        <w:t xml:space="preserve">统计审计与</w:t>
      </w:r>
      <w:r>
        <w:t xml:space="preserve"> R </w:t>
      </w:r>
      <w:r>
        <w:rPr>
          <w:rFonts w:hint="eastAsia"/>
        </w:rPr>
        <w:t xml:space="preserve">语言辅助定位</w:t>
      </w:r>
    </w:p>
    <w:p>
      <w:pPr>
        <w:pStyle w:val="FirstParagraph"/>
      </w:pPr>
      <w:r>
        <w:rPr>
          <w:rFonts w:hint="eastAsia"/>
        </w:rPr>
        <w:t xml:space="preserve">为进一步提高模型检验的严谨性，本文新增统计审计。该审计不改变短期主模型，只在剔除首日后构造可比较样本，将综合机制递推模型与朴素上一日基准进行误差和统计检验。之所以剔除首日，是因为朴素上一日基准需要上一交易日真实价格作为输入，首日没有可比预测值。因此，本节统计审计中的</w:t>
      </w:r>
      <w:r>
        <w:t xml:space="preserve"> RMSE </w:t>
      </w:r>
      <w:r>
        <w:rPr>
          <w:rFonts w:hint="eastAsia"/>
        </w:rPr>
        <w:t xml:space="preserve">与前文全窗口</w:t>
      </w:r>
      <w:r>
        <w:t xml:space="preserve"> RMSE </w:t>
      </w:r>
      <w:r>
        <w:rPr>
          <w:rFonts w:hint="eastAsia"/>
        </w:rPr>
        <w:t xml:space="preserve">略有差异。</w:t>
      </w:r>
    </w:p>
    <w:p>
      <w:pPr>
        <w:pStyle w:val="TableCaption"/>
      </w:pPr>
      <w:r>
        <w:rPr>
          <w:rFonts w:hint="eastAsia"/>
        </w:rPr>
        <w:t xml:space="preserve">短期模型统计审计结果</w:t>
      </w:r>
    </w:p>
    <w:tbl>
      <w:tblPr>
        <w:tblStyle w:val="Table"/>
        <w:tblW w:type="auto" w:w="0"/>
        <w:tblLook w:firstRow="1" w:lastRow="0" w:firstColumn="0" w:lastColumn="0" w:noHBand="0" w:noVBand="0" w:val="0020"/>
        <w:tblCaption w:val="短期模型统计审计结果"/>
      </w:tblPr>
      <w:tblGrid>
        <w:gridCol w:w="1980"/>
        <w:gridCol w:w="1980"/>
        <w:gridCol w:w="1980"/>
        <w:gridCol w:w="1980"/>
      </w:tblGrid>
      <w:tr>
        <w:trPr>
          <w:tblHeader w:val="on"/>
        </w:trPr>
        <w:tc>
          <w:tcPr/>
          <w:p>
            <w:pPr>
              <w:pStyle w:val="Compact"/>
              <w:jc w:val="left"/>
            </w:pPr>
            <w:r>
              <w:rPr>
                <w:rFonts w:hint="eastAsia"/>
              </w:rPr>
              <w:t xml:space="preserve">检验项</w:t>
            </w:r>
          </w:p>
        </w:tc>
        <w:tc>
          <w:tcPr/>
          <w:p>
            <w:pPr>
              <w:pStyle w:val="Compact"/>
              <w:jc w:val="right"/>
            </w:pPr>
            <w:r>
              <w:rPr>
                <w:rFonts w:hint="eastAsia"/>
              </w:rPr>
              <w:t xml:space="preserve">本文模型</w:t>
            </w:r>
          </w:p>
        </w:tc>
        <w:tc>
          <w:tcPr/>
          <w:p>
            <w:pPr>
              <w:pStyle w:val="Compact"/>
              <w:jc w:val="right"/>
            </w:pPr>
            <w:r>
              <w:rPr>
                <w:rFonts w:hint="eastAsia"/>
              </w:rPr>
              <w:t xml:space="preserve">对照或</w:t>
            </w:r>
            <w:r>
              <w:t xml:space="preserve"> p </w:t>
            </w:r>
            <w:r>
              <w:rPr>
                <w:rFonts w:hint="eastAsia"/>
              </w:rPr>
              <w:t xml:space="preserve">值</w:t>
            </w:r>
          </w:p>
        </w:tc>
        <w:tc>
          <w:tcPr/>
          <w:p>
            <w:pPr>
              <w:pStyle w:val="Compact"/>
              <w:jc w:val="left"/>
            </w:pPr>
            <w:r>
              <w:rPr>
                <w:rFonts w:hint="eastAsia"/>
              </w:rPr>
              <w:t xml:space="preserve">解释</w:t>
            </w:r>
          </w:p>
        </w:tc>
      </w:tr>
      <w:tr>
        <w:tc>
          <w:tcPr/>
          <w:p>
            <w:pPr>
              <w:pStyle w:val="Compact"/>
              <w:jc w:val="left"/>
            </w:pPr>
            <w:r>
              <w:t xml:space="preserve">RMSE</w:t>
            </w:r>
          </w:p>
        </w:tc>
        <w:tc>
          <w:tcPr/>
          <w:p>
            <w:pPr>
              <w:pStyle w:val="Compact"/>
              <w:jc w:val="right"/>
            </w:pPr>
            <w:r>
              <w:t xml:space="preserve">3.47</w:t>
            </w:r>
          </w:p>
        </w:tc>
        <w:tc>
          <w:tcPr/>
          <w:p>
            <w:pPr>
              <w:pStyle w:val="Compact"/>
              <w:jc w:val="right"/>
            </w:pPr>
            <w:r>
              <w:t xml:space="preserve">4.52</w:t>
            </w:r>
          </w:p>
        </w:tc>
        <w:tc>
          <w:tcPr/>
          <w:p>
            <w:pPr>
              <w:pStyle w:val="Compact"/>
              <w:jc w:val="left"/>
            </w:pPr>
            <w:r>
              <w:rPr>
                <w:rFonts w:hint="eastAsia"/>
              </w:rPr>
              <w:t xml:space="preserve">对照为朴素上一日基准，改善约</w:t>
            </w:r>
            <w:r>
              <w:t xml:space="preserve"> 23.2%</w:t>
            </w:r>
          </w:p>
        </w:tc>
      </w:tr>
      <w:tr>
        <w:tc>
          <w:tcPr/>
          <w:p>
            <w:pPr>
              <w:pStyle w:val="Compact"/>
              <w:jc w:val="left"/>
            </w:pPr>
            <w:r>
              <w:t xml:space="preserve">MAE</w:t>
            </w:r>
          </w:p>
        </w:tc>
        <w:tc>
          <w:tcPr/>
          <w:p>
            <w:pPr>
              <w:pStyle w:val="Compact"/>
              <w:jc w:val="right"/>
            </w:pPr>
            <w:r>
              <w:t xml:space="preserve">2.88</w:t>
            </w:r>
          </w:p>
        </w:tc>
        <w:tc>
          <w:tcPr/>
          <w:p>
            <w:pPr>
              <w:pStyle w:val="Compact"/>
              <w:jc w:val="right"/>
            </w:pPr>
            <w:r>
              <w:t xml:space="preserve">3.65</w:t>
            </w:r>
          </w:p>
        </w:tc>
        <w:tc>
          <w:tcPr/>
          <w:p>
            <w:pPr>
              <w:pStyle w:val="Compact"/>
              <w:jc w:val="left"/>
            </w:pPr>
            <w:r>
              <w:rPr>
                <w:rFonts w:hint="eastAsia"/>
              </w:rPr>
              <w:t xml:space="preserve">平均绝对误差低于朴素基准</w:t>
            </w:r>
          </w:p>
        </w:tc>
      </w:tr>
      <w:tr>
        <w:tc>
          <w:tcPr/>
          <w:p>
            <w:pPr>
              <w:pStyle w:val="Compact"/>
              <w:jc w:val="left"/>
            </w:pPr>
            <w:r>
              <w:t xml:space="preserve">MAPE</w:t>
            </w:r>
          </w:p>
        </w:tc>
        <w:tc>
          <w:tcPr/>
          <w:p>
            <w:pPr>
              <w:pStyle w:val="Compact"/>
              <w:jc w:val="right"/>
            </w:pPr>
            <w:r>
              <w:t xml:space="preserve">2.87%</w:t>
            </w:r>
          </w:p>
        </w:tc>
        <w:tc>
          <w:tcPr/>
          <w:p>
            <w:pPr>
              <w:pStyle w:val="Compact"/>
              <w:jc w:val="right"/>
            </w:pPr>
            <w:r>
              <w:t xml:space="preserve">3.62%</w:t>
            </w:r>
          </w:p>
        </w:tc>
        <w:tc>
          <w:tcPr/>
          <w:p>
            <w:pPr>
              <w:pStyle w:val="Compact"/>
              <w:jc w:val="left"/>
            </w:pPr>
            <w:r>
              <w:rPr>
                <w:rFonts w:hint="eastAsia"/>
              </w:rPr>
              <w:t xml:space="preserve">相对误差低于朴素基准</w:t>
            </w:r>
          </w:p>
        </w:tc>
      </w:tr>
      <w:tr>
        <w:tc>
          <w:tcPr/>
          <w:p>
            <w:pPr>
              <w:pStyle w:val="Compact"/>
              <w:jc w:val="left"/>
            </w:pPr>
            <w:r>
              <w:t xml:space="preserve">DM </w:t>
            </w:r>
            <w:r>
              <w:rPr>
                <w:rFonts w:hint="eastAsia"/>
              </w:rPr>
              <w:t xml:space="preserve">平方损失检验</w:t>
            </w:r>
          </w:p>
        </w:tc>
        <w:tc>
          <w:tcPr/>
          <w:p>
            <w:pPr>
              <w:pStyle w:val="Compact"/>
              <w:jc w:val="right"/>
            </w:pPr>
            <w:r>
              <w:t xml:space="preserve">-2.06</w:t>
            </w:r>
          </w:p>
        </w:tc>
        <w:tc>
          <w:tcPr/>
          <w:p>
            <w:pPr>
              <w:pStyle w:val="Compact"/>
              <w:jc w:val="right"/>
            </w:pPr>
            <w:r>
              <w:t xml:space="preserve">0.023</w:t>
            </w:r>
          </w:p>
        </w:tc>
        <w:tc>
          <w:tcPr/>
          <w:p>
            <w:pPr>
              <w:pStyle w:val="Compact"/>
              <w:jc w:val="left"/>
            </w:pPr>
            <w:r>
              <w:t xml:space="preserve">R </w:t>
            </w:r>
            <w:r>
              <w:rPr>
                <w:rFonts w:hint="eastAsia"/>
              </w:rPr>
              <w:t xml:space="preserve">独立复核下，单侧检验支持模型优于朴素基准</w:t>
            </w:r>
          </w:p>
        </w:tc>
      </w:tr>
      <w:tr>
        <w:tc>
          <w:tcPr/>
          <w:p>
            <w:pPr>
              <w:pStyle w:val="Compact"/>
              <w:jc w:val="left"/>
            </w:pPr>
            <w:r>
              <w:t xml:space="preserve">DM </w:t>
            </w:r>
            <w:r>
              <w:rPr>
                <w:rFonts w:hint="eastAsia"/>
              </w:rPr>
              <w:t xml:space="preserve">绝对损失检验</w:t>
            </w:r>
          </w:p>
        </w:tc>
        <w:tc>
          <w:tcPr/>
          <w:p>
            <w:pPr>
              <w:pStyle w:val="Compact"/>
              <w:jc w:val="right"/>
            </w:pPr>
            <w:r>
              <w:t xml:space="preserve">-1.68</w:t>
            </w:r>
          </w:p>
        </w:tc>
        <w:tc>
          <w:tcPr/>
          <w:p>
            <w:pPr>
              <w:pStyle w:val="Compact"/>
              <w:jc w:val="right"/>
            </w:pPr>
            <w:r>
              <w:t xml:space="preserve">0.050</w:t>
            </w:r>
          </w:p>
        </w:tc>
        <w:tc>
          <w:tcPr/>
          <w:p>
            <w:pPr>
              <w:pStyle w:val="Compact"/>
              <w:jc w:val="left"/>
            </w:pPr>
            <w:r>
              <w:rPr>
                <w:rFonts w:hint="eastAsia"/>
              </w:rPr>
              <w:t xml:space="preserve">绝对损失优势接近</w:t>
            </w:r>
            <w:r>
              <w:t xml:space="preserve"> 5% </w:t>
            </w:r>
            <w:r>
              <w:rPr>
                <w:rFonts w:hint="eastAsia"/>
              </w:rPr>
              <w:t xml:space="preserve">显著性边界</w:t>
            </w:r>
          </w:p>
        </w:tc>
      </w:tr>
      <w:tr>
        <w:tc>
          <w:tcPr/>
          <w:p>
            <w:pPr>
              <w:pStyle w:val="Compact"/>
              <w:jc w:val="left"/>
            </w:pPr>
            <w:r>
              <w:rPr>
                <w:rFonts w:hint="eastAsia"/>
              </w:rPr>
              <w:t xml:space="preserve">方向命中率</w:t>
            </w:r>
          </w:p>
        </w:tc>
        <w:tc>
          <w:tcPr/>
          <w:p>
            <w:pPr>
              <w:pStyle w:val="Compact"/>
              <w:jc w:val="right"/>
            </w:pPr>
            <w:r>
              <w:t xml:space="preserve">63.6%</w:t>
            </w:r>
          </w:p>
        </w:tc>
        <w:tc>
          <w:tcPr/>
          <w:p>
            <w:pPr>
              <w:pStyle w:val="Compact"/>
              <w:jc w:val="right"/>
            </w:pPr>
            <w:r>
              <w:t xml:space="preserve">0.048</w:t>
            </w:r>
          </w:p>
        </w:tc>
        <w:tc>
          <w:tcPr/>
          <w:p>
            <w:pPr>
              <w:pStyle w:val="Compact"/>
              <w:jc w:val="left"/>
            </w:pPr>
            <w:r>
              <w:rPr>
                <w:rFonts w:hint="eastAsia"/>
              </w:rPr>
              <w:t xml:space="preserve">相对随机</w:t>
            </w:r>
            <w:r>
              <w:t xml:space="preserve"> 50% </w:t>
            </w:r>
            <w:r>
              <w:rPr>
                <w:rFonts w:hint="eastAsia"/>
              </w:rPr>
              <w:t xml:space="preserve">的单侧二项检验</w:t>
            </w:r>
          </w:p>
        </w:tc>
      </w:tr>
      <w:tr>
        <w:tc>
          <w:tcPr/>
          <w:p>
            <w:pPr>
              <w:pStyle w:val="Compact"/>
              <w:jc w:val="left"/>
            </w:pPr>
            <w:r>
              <w:t xml:space="preserve">Ljung–Box lag10</w:t>
            </w:r>
          </w:p>
        </w:tc>
        <w:tc>
          <w:tcPr/>
          <w:p>
            <w:pPr>
              <w:pStyle w:val="Compact"/>
              <w:jc w:val="right"/>
            </w:pPr>
            <w:r>
              <w:t xml:space="preserve">10.92</w:t>
            </w:r>
          </w:p>
        </w:tc>
        <w:tc>
          <w:tcPr/>
          <w:p>
            <w:pPr>
              <w:pStyle w:val="Compact"/>
              <w:jc w:val="right"/>
            </w:pPr>
            <w:r>
              <w:t xml:space="preserve">0.364</w:t>
            </w:r>
          </w:p>
        </w:tc>
        <w:tc>
          <w:tcPr/>
          <w:p>
            <w:pPr>
              <w:pStyle w:val="Compact"/>
              <w:jc w:val="left"/>
            </w:pPr>
            <w:r>
              <w:rPr>
                <w:rFonts w:hint="eastAsia"/>
              </w:rPr>
              <w:t xml:space="preserve">未发现显著线性残差自相关</w:t>
            </w:r>
          </w:p>
        </w:tc>
      </w:tr>
      <w:tr>
        <w:tc>
          <w:tcPr/>
          <w:p>
            <w:pPr>
              <w:pStyle w:val="Compact"/>
              <w:jc w:val="left"/>
            </w:pPr>
            <w:r>
              <w:t xml:space="preserve">ARCH–LM lag5</w:t>
            </w:r>
          </w:p>
        </w:tc>
        <w:tc>
          <w:tcPr/>
          <w:p>
            <w:pPr>
              <w:pStyle w:val="Compact"/>
              <w:jc w:val="right"/>
            </w:pPr>
            <w:r>
              <w:t xml:space="preserve">5.22</w:t>
            </w:r>
          </w:p>
        </w:tc>
        <w:tc>
          <w:tcPr/>
          <w:p>
            <w:pPr>
              <w:pStyle w:val="Compact"/>
              <w:jc w:val="right"/>
            </w:pPr>
            <w:r>
              <w:t xml:space="preserve">0.389</w:t>
            </w:r>
          </w:p>
        </w:tc>
        <w:tc>
          <w:tcPr/>
          <w:p>
            <w:pPr>
              <w:pStyle w:val="Compact"/>
              <w:jc w:val="left"/>
            </w:pPr>
            <w:r>
              <w:rPr>
                <w:rFonts w:hint="eastAsia"/>
              </w:rPr>
              <w:t xml:space="preserve">未发现强条件异方差证据</w:t>
            </w:r>
          </w:p>
        </w:tc>
      </w:tr>
      <w:tr>
        <w:tc>
          <w:tcPr/>
          <w:p>
            <w:pPr>
              <w:pStyle w:val="Compact"/>
              <w:jc w:val="left"/>
            </w:pPr>
            <w:r>
              <w:t xml:space="preserve">Newey–West </w:t>
            </w:r>
            <w:r>
              <w:rPr>
                <w:rFonts w:hint="eastAsia"/>
              </w:rPr>
              <w:t xml:space="preserve">校准斜率</w:t>
            </w:r>
          </w:p>
        </w:tc>
        <w:tc>
          <w:tcPr/>
          <w:p>
            <w:pPr>
              <w:pStyle w:val="Compact"/>
              <w:jc w:val="right"/>
            </w:pPr>
            <w:r>
              <w:t xml:space="preserve">1.046</w:t>
            </w:r>
          </w:p>
        </w:tc>
        <w:tc>
          <w:tcPr/>
          <w:p>
            <w:pPr>
              <w:pStyle w:val="Compact"/>
              <w:jc w:val="right"/>
            </w:pPr>
            <m:oMath>
              <m:r>
                <m:rPr>
                  <m:sty m:val="p"/>
                </m:rPr>
                <m:t>&lt;</m:t>
              </m:r>
              <m:r>
                <m:t>0.001</m:t>
              </m:r>
            </m:oMath>
          </w:p>
        </w:tc>
        <w:tc>
          <w:tcPr/>
          <w:p>
            <w:pPr>
              <w:pStyle w:val="Compact"/>
              <w:jc w:val="left"/>
            </w:pPr>
            <w:r>
              <w:rPr>
                <w:rFonts w:hint="eastAsia"/>
              </w:rPr>
              <w:t xml:space="preserve">稳健标准误下拟合值与真实价格保持显著线性关系</w:t>
            </w:r>
          </w:p>
        </w:tc>
      </w:tr>
    </w:tbl>
    <w:p>
      <w:pPr>
        <w:pStyle w:val="CaptionedFigure"/>
      </w:pPr>
      <w:r>
        <w:drawing>
          <wp:inline>
            <wp:extent cx="4907280" cy="2826593"/>
            <wp:effectExtent b="0" l="0" r="0" t="0"/>
            <wp:docPr descr="" title="" id="65" name="Picture"/>
            <a:graphic>
              <a:graphicData uri="http://schemas.openxmlformats.org/drawingml/2006/picture">
                <pic:pic>
                  <pic:nvPicPr>
                    <pic:cNvPr descr="短期模型统计审计.png" id="66" name="Picture"/>
                    <pic:cNvPicPr>
                      <a:picLocks noChangeArrowheads="1" noChangeAspect="1"/>
                    </pic:cNvPicPr>
                  </pic:nvPicPr>
                  <pic:blipFill>
                    <a:blip r:embed="rId64"/>
                    <a:stretch>
                      <a:fillRect/>
                    </a:stretch>
                  </pic:blipFill>
                  <pic:spPr bwMode="auto">
                    <a:xfrm>
                      <a:off x="0" y="0"/>
                      <a:ext cx="4907280" cy="2826593"/>
                    </a:xfrm>
                    <a:prstGeom prst="rect">
                      <a:avLst/>
                    </a:prstGeom>
                    <a:noFill/>
                    <a:ln w="9525">
                      <a:noFill/>
                      <a:headEnd/>
                      <a:tailEnd/>
                    </a:ln>
                  </pic:spPr>
                </pic:pic>
              </a:graphicData>
            </a:graphic>
          </wp:inline>
        </w:drawing>
      </w:r>
    </w:p>
    <w:p>
      <w:pPr>
        <w:pStyle w:val="ImageCaption"/>
      </w:pPr>
      <w:r>
        <w:rPr>
          <w:rFonts w:hint="eastAsia"/>
        </w:rPr>
        <w:t xml:space="preserve">短期模型统计审计。图中展示残差序列、残差自相关、残差分布和相对朴素基准的平方损失差。</w:t>
      </w:r>
    </w:p>
    <w:p>
      <w:pPr>
        <w:pStyle w:val="BodyText"/>
      </w:pPr>
      <w:r>
        <w:rPr>
          <w:rFonts w:hint="eastAsia"/>
        </w:rPr>
        <w:t xml:space="preserve">分段统计也给出一个更细的判断：前段冲击吸收和后段预期修复阶段，本文模型相对朴素基准的</w:t>
      </w:r>
      <w:r>
        <w:t xml:space="preserve"> RMSE </w:t>
      </w:r>
      <w:r>
        <w:rPr>
          <w:rFonts w:hint="eastAsia"/>
        </w:rPr>
        <w:t xml:space="preserve">改善率分别约为</w:t>
      </w:r>
      <w:r>
        <w:t xml:space="preserve"> 33.4% </w:t>
      </w:r>
      <w:r>
        <w:rPr>
          <w:rFonts w:hint="eastAsia"/>
        </w:rPr>
        <w:t xml:space="preserve">和</w:t>
      </w:r>
      <w:r>
        <w:t xml:space="preserve"> </w:t>
      </w:r>
      <w:r>
        <w:rPr>
          <w:rFonts w:hint="eastAsia"/>
        </w:rPr>
        <w:t xml:space="preserve">34.1%；中段平台维持阶段改善率约为</w:t>
      </w:r>
      <w:r>
        <w:t xml:space="preserve"> </w:t>
      </w:r>
      <w:r>
        <w:rPr>
          <w:rFonts w:hint="eastAsia"/>
        </w:rPr>
        <w:t xml:space="preserve">3.9%，说明平台震荡期仍是后续优化重点。总体看，DM</w:t>
      </w:r>
      <w:r>
        <w:t xml:space="preserve"> </w:t>
      </w:r>
      <w:r>
        <w:rPr>
          <w:rFonts w:hint="eastAsia"/>
        </w:rPr>
        <w:t xml:space="preserve">检验和方向命中检验提供了支持性统计证据，但样本只有</w:t>
      </w:r>
      <w:r>
        <w:t xml:space="preserve"> 45 </w:t>
      </w:r>
      <w:r>
        <w:rPr>
          <w:rFonts w:hint="eastAsia"/>
        </w:rPr>
        <w:t xml:space="preserve">个可比较交易日，本文不把它写成压倒性证明，而是作为基准对比、滞后检验和机制消融之外的补充验证。</w:t>
      </w:r>
    </w:p>
    <w:p>
      <w:pPr>
        <w:pStyle w:val="BodyText"/>
      </w:pPr>
      <w:r>
        <w:t xml:space="preserve">R </w:t>
      </w:r>
      <w:r>
        <w:rPr>
          <w:rFonts w:hint="eastAsia"/>
        </w:rPr>
        <w:t xml:space="preserve">语言用于独立复核</w:t>
      </w:r>
      <w:r>
        <w:t xml:space="preserve"> </w:t>
      </w:r>
      <w:r>
        <w:rPr>
          <w:rFonts w:hint="eastAsia"/>
        </w:rPr>
        <w:t xml:space="preserve">DM、方向命中、Ljung–Box、ADF、ARCH/GARCH</w:t>
      </w:r>
      <w:r>
        <w:t xml:space="preserve"> </w:t>
      </w:r>
      <w:r>
        <w:rPr>
          <w:rFonts w:hint="eastAsia"/>
        </w:rPr>
        <w:t xml:space="preserve">和</w:t>
      </w:r>
      <w:r>
        <w:t xml:space="preserve"> Newey–West </w:t>
      </w:r>
      <w:r>
        <w:rPr>
          <w:rFonts w:hint="eastAsia"/>
        </w:rPr>
        <w:t xml:space="preserve">稳健校准回归等计量检验。R</w:t>
      </w:r>
      <w:r>
        <w:t xml:space="preserve"> </w:t>
      </w:r>
      <w:r>
        <w:rPr>
          <w:rFonts w:hint="eastAsia"/>
        </w:rPr>
        <w:t xml:space="preserve">审计显示，价格水平和对数价格不能拒绝单位根假设，而对数收益率可拒绝单位根假设；GARCH(1,1)</w:t>
      </w:r>
      <w:r>
        <w:t xml:space="preserve"> </w:t>
      </w:r>
      <w:r>
        <w:rPr>
          <w:rFonts w:hint="eastAsia"/>
        </w:rPr>
        <w:t xml:space="preserve">在短样本下提示波动持续性，但不替代机制递推主模型。除计量检验外，本文还使用</w:t>
      </w:r>
      <w:r>
        <w:t xml:space="preserve"> R </w:t>
      </w:r>
      <w:r>
        <w:rPr>
          <w:rFonts w:hint="eastAsia"/>
        </w:rPr>
        <w:t xml:space="preserve">的</w:t>
      </w:r>
      <w:r>
        <w:t xml:space="preserve"> ggplot2 </w:t>
      </w:r>
      <w:r>
        <w:rPr>
          <w:rFonts w:hint="eastAsia"/>
        </w:rPr>
        <w:t xml:space="preserve">对关键证据图进行学术化重绘。</w:t>
      </w:r>
    </w:p>
    <w:p>
      <w:pPr>
        <w:pStyle w:val="CaptionedFigure"/>
      </w:pPr>
      <w:r>
        <w:drawing>
          <wp:inline>
            <wp:extent cx="4907280" cy="2892712"/>
            <wp:effectExtent b="0" l="0" r="0" t="0"/>
            <wp:docPr descr="" title="" id="68" name="Picture"/>
            <a:graphic>
              <a:graphicData uri="http://schemas.openxmlformats.org/drawingml/2006/picture">
                <pic:pic>
                  <pic:nvPicPr>
                    <pic:cNvPr descr="R短期误差学术诊断.png" id="69" name="Picture"/>
                    <pic:cNvPicPr>
                      <a:picLocks noChangeArrowheads="1" noChangeAspect="1"/>
                    </pic:cNvPicPr>
                  </pic:nvPicPr>
                  <pic:blipFill>
                    <a:blip r:embed="rId67"/>
                    <a:stretch>
                      <a:fillRect/>
                    </a:stretch>
                  </pic:blipFill>
                  <pic:spPr bwMode="auto">
                    <a:xfrm>
                      <a:off x="0" y="0"/>
                      <a:ext cx="4907280" cy="289271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短期误差学术诊断。柱形表示每日残差，黑线为</w:t>
      </w:r>
      <w:r>
        <w:t xml:space="preserve"> LOESS </w:t>
      </w:r>
      <w:r>
        <w:rPr>
          <w:rFonts w:hint="eastAsia"/>
        </w:rPr>
        <w:t xml:space="preserve">平滑趋势，用于观察模型是否存在持续系统偏差。</w:t>
      </w:r>
    </w:p>
    <w:bookmarkEnd w:id="70"/>
    <w:bookmarkStart w:id="71" w:name="机制消融的定量证据"/>
    <w:p>
      <w:pPr>
        <w:pStyle w:val="Heading2"/>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71"/>
    <w:bookmarkStart w:id="75" w:name="拐点预测步长与事件边界"/>
    <w:p>
      <w:pPr>
        <w:pStyle w:val="Heading2"/>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73" name="Picture"/>
            <a:graphic>
              <a:graphicData uri="http://schemas.openxmlformats.org/drawingml/2006/picture">
                <pic:pic>
                  <pic:nvPicPr>
                    <pic:cNvPr descr="短期模型拐点局部检验.png" id="74" name="Picture"/>
                    <pic:cNvPicPr>
                      <a:picLocks noChangeArrowheads="1" noChangeAspect="1"/>
                    </pic:cNvPicPr>
                  </pic:nvPicPr>
                  <pic:blipFill>
                    <a:blip r:embed="rId72"/>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并不削弱本文结论，反而说明本文模型不是通用油价短线交易器，而是针对霍尔木兹封锁机制构建的事件解释模型。论文结论应限定在极端地缘冲突下的条件路径解释与情景预测，不能外推为普通时期的万能预测模型。</w:t>
      </w:r>
    </w:p>
    <w:bookmarkEnd w:id="75"/>
    <w:bookmarkStart w:id="79" w:name="参数自由度与稳健性区间"/>
    <w:p>
      <w:pPr>
        <w:pStyle w:val="Heading2"/>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w:t>
      </w:r>
      <w:r>
        <w:rPr>
          <w:rFonts w:hint="eastAsia"/>
        </w:rPr>
        <w:t xml:space="preserve">“神奇参数”</w:t>
      </w:r>
      <w:r>
        <w:rPr>
          <w:rFonts w:hint="eastAsia"/>
        </w:rPr>
        <w:t xml:space="preserve">；但较大扰动会削弱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77" name="Picture"/>
            <a:graphic>
              <a:graphicData uri="http://schemas.openxmlformats.org/drawingml/2006/picture">
                <pic:pic>
                  <pic:nvPicPr>
                    <pic:cNvPr descr="短期模型稳健性带.png" id="78" name="Picture"/>
                    <pic:cNvPicPr>
                      <a:picLocks noChangeArrowheads="1" noChangeAspect="1"/>
                    </pic:cNvPicPr>
                  </pic:nvPicPr>
                  <pic:blipFill>
                    <a:blip r:embed="rId76"/>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p>
      <w:pPr>
        <w:pStyle w:val="BodyText"/>
      </w:pPr>
      <w:r>
        <w:rPr>
          <w:rFonts w:hint="eastAsia"/>
        </w:rPr>
        <w:t xml:space="preserve">针对多目标校准权重可能成为隐藏超参数的问题，本文进一步对已保存的前</w:t>
      </w:r>
      <w:r>
        <w:t xml:space="preserve"> 10 </w:t>
      </w:r>
      <w:r>
        <w:rPr>
          <w:rFonts w:hint="eastAsia"/>
        </w:rPr>
        <w:t xml:space="preserve">个候选参数进行权重敏感性重排。将峰值误差、末日误差、分段</w:t>
      </w:r>
      <w:r>
        <w:t xml:space="preserve"> RMSE </w:t>
      </w:r>
      <w:r>
        <w:rPr>
          <w:rFonts w:hint="eastAsia"/>
        </w:rPr>
        <w:t xml:space="preserve">等权重整体上调或下调</w:t>
      </w:r>
      <w:r>
        <w:t xml:space="preserve"> </w:t>
      </w:r>
      <w:r>
        <w:rPr>
          <w:rFonts w:hint="eastAsia"/>
        </w:rPr>
        <w:t xml:space="preserve">20%，并分别强化峰值末日、分段误差和平台误差后，当前综合最优候选在</w:t>
      </w:r>
      <w:r>
        <w:t xml:space="preserve"> 6/6 </w:t>
      </w:r>
      <w:r>
        <w:rPr>
          <w:rFonts w:hint="eastAsia"/>
        </w:rPr>
        <w:t xml:space="preserve">个权重情景下仍保持第一。该检验不等同于重新全局校准，但说明当前候选并非只依赖某一组精确权重偶然胜出。</w:t>
      </w:r>
    </w:p>
    <w:bookmarkEnd w:id="79"/>
    <w:bookmarkStart w:id="80" w:name="内生性反事实基准与硬编码审计"/>
    <w:p>
      <w:pPr>
        <w:pStyle w:val="Heading2"/>
      </w:pPr>
      <w:r>
        <w:rPr>
          <w:rFonts w:hint="eastAsia"/>
        </w:rPr>
        <w:t xml:space="preserve">内生性、反事实基准与硬编码审计</w:t>
      </w:r>
    </w:p>
    <w:p>
      <w:pPr>
        <w:pStyle w:val="FirstParagraph"/>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美元以上反事实基准，本文也不把它写成现实市场必然价格。传统供需模型的高价结果来自低短期弹性条件下的反事实上界，而不是现实预测。弹性敏感性检验显示，当需求价格弹性由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时，传统线性化模型价格会明显下降，部分情景已经接近或低于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“低短期弹性静态供需模型会显著高估现实价格，必须引入库存、SPR、绕道、需求收缩和预期修复等动态机制解释现实平台”</w:t>
      </w:r>
      <w:r>
        <w:t xml:space="preserve">。</w:t>
      </w:r>
    </w:p>
    <w:p>
      <w:pPr>
        <w:pStyle w:val="BodyText"/>
      </w:pPr>
      <w:r>
        <w:rPr>
          <w:rFonts w:hint="eastAsia"/>
        </w:rPr>
        <w:t xml:space="preserve">最后，本文对代码进行硬编码审计。短期动态递推函数中不存在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美元只作为题面观测参考区间出现在图表阴影和展示配置中，不参与价格递推计算。需要强调的是，当前模型也不是严格意义上的微观多智能体涌现模型，更准确的表述应是机制递推模型；本文可以证明</w:t>
      </w:r>
      <w:r>
        <w:t xml:space="preserve"> 120 </w:t>
      </w:r>
      <w:r>
        <w:rPr>
          <w:rFonts w:hint="eastAsia"/>
        </w:rPr>
        <w:t xml:space="preserve">美元平台不是代码硬上限，但不应声称已经实现了多智能体动态纳什均衡。</w:t>
      </w:r>
    </w:p>
    <w:bookmarkEnd w:id="80"/>
    <w:bookmarkStart w:id="82" w:name="反驳性检验总览"/>
    <w:p>
      <w:pPr>
        <w:pStyle w:val="Heading2"/>
      </w:pPr>
      <w:r>
        <w:rPr>
          <w:rFonts w:hint="eastAsia"/>
        </w:rPr>
        <w:t xml:space="preserve">反驳性检验总览</w:t>
      </w:r>
    </w:p>
    <w:p>
      <w:pPr>
        <w:pStyle w:val="FirstParagraph"/>
      </w:pPr>
      <w:r>
        <w:rPr>
          <w:rFonts w:hint="eastAsia"/>
        </w:rPr>
        <w:t xml:space="preserve">为避免模型检验只呈现有利指标，本文将最可能被质疑的关键点转化为反驳性检验。表</w:t>
      </w:r>
      <w:r>
        <w:t xml:space="preserve"> </w:t>
      </w:r>
      <w:hyperlink w:anchor="tab:adversarial-tests">
        <w:r>
          <w:rPr>
            <w:rStyle w:val="Hyperlink"/>
          </w:rPr>
          <w:t xml:space="preserve">2</w:t>
        </w:r>
      </w:hyperlink>
      <w:r>
        <w:t xml:space="preserve"> </w:t>
      </w:r>
      <w:r>
        <w:rPr>
          <w:rFonts w:hint="eastAsia"/>
        </w:rPr>
        <w:t xml:space="preserve">中的检验均不重新寻找最优参数，而是在同一模型框架下改变某个被质疑条件，观察结论是否被推翻。</w:t>
      </w:r>
    </w:p>
    <w:bookmarkStart w:id="81" w:name="tab:adversarial-tests"/>
    <w:p>
      <w:pPr>
        <w:pStyle w:val="TableCaption"/>
      </w:pPr>
      <w:r>
        <w:rPr>
          <w:rFonts w:hint="eastAsia"/>
        </w:rPr>
        <w:t xml:space="preserve">反驳性检验总览</w:t>
      </w:r>
    </w:p>
    <w:tbl>
      <w:tblPr>
        <w:tblStyle w:val="Table"/>
        <w:tblW w:type="auto" w:w="0"/>
        <w:tblLook w:firstRow="1" w:lastRow="0" w:firstColumn="0" w:lastColumn="0" w:noHBand="0" w:noVBand="0" w:val="0020"/>
        <w:tblCaption w:val="反驳性检验总览"/>
      </w:tblPr>
      <w:tblGrid>
        <w:gridCol w:w="1980"/>
        <w:gridCol w:w="1980"/>
        <w:gridCol w:w="1980"/>
        <w:gridCol w:w="1980"/>
      </w:tblGrid>
      <w:tr>
        <w:trPr>
          <w:tblHeader w:val="on"/>
        </w:trPr>
        <w:tc>
          <w:tcPr/>
          <w:p>
            <w:pPr>
              <w:pStyle w:val="Compact"/>
              <w:jc w:val="left"/>
            </w:pPr>
            <w:r>
              <w:rPr>
                <w:rFonts w:hint="eastAsia"/>
              </w:rPr>
              <w:t xml:space="preserve">质疑点</w:t>
            </w:r>
          </w:p>
        </w:tc>
        <w:tc>
          <w:tcPr/>
          <w:p>
            <w:pPr>
              <w:pStyle w:val="Compact"/>
              <w:jc w:val="left"/>
            </w:pPr>
            <w:r>
              <w:rPr>
                <w:rFonts w:hint="eastAsia"/>
              </w:rPr>
              <w:t xml:space="preserve">检验方式</w:t>
            </w:r>
          </w:p>
        </w:tc>
        <w:tc>
          <w:tcPr/>
          <w:p>
            <w:pPr>
              <w:pStyle w:val="Compact"/>
              <w:jc w:val="left"/>
            </w:pPr>
            <w:r>
              <w:rPr>
                <w:rFonts w:hint="eastAsia"/>
              </w:rPr>
              <w:t xml:space="preserve">关键结果</w:t>
            </w:r>
          </w:p>
        </w:tc>
        <w:tc>
          <w:tcPr/>
          <w:p>
            <w:pPr>
              <w:pStyle w:val="Compact"/>
              <w:jc w:val="left"/>
            </w:pPr>
            <w:r>
              <w:rPr>
                <w:rFonts w:hint="eastAsia"/>
              </w:rPr>
              <w:t xml:space="preserve">论文含义</w:t>
            </w:r>
          </w:p>
        </w:tc>
      </w:tr>
      <w:tr>
        <w:tc>
          <w:tcPr/>
          <w:p>
            <w:pPr>
              <w:pStyle w:val="Compact"/>
              <w:jc w:val="left"/>
            </w:pPr>
            <w:r>
              <w:rPr>
                <w:rFonts w:hint="eastAsia"/>
              </w:rPr>
              <w:t xml:space="preserve">是否打败朴素基准</w:t>
            </w:r>
          </w:p>
        </w:tc>
        <w:tc>
          <w:tcPr/>
          <w:p>
            <w:pPr>
              <w:pStyle w:val="Compact"/>
              <w:jc w:val="left"/>
            </w:pPr>
            <w:r>
              <w:rPr>
                <w:rFonts w:hint="eastAsia"/>
              </w:rPr>
              <w:t xml:space="preserve">与上一日价格、三日均值、漂移随机游走和滚动</w:t>
            </w:r>
            <w:r>
              <w:t xml:space="preserve"> ARIMA </w:t>
            </w:r>
            <w:r>
              <w:rPr>
                <w:rFonts w:hint="eastAsia"/>
              </w:rPr>
              <w:t xml:space="preserve">比较</w:t>
            </w:r>
          </w:p>
        </w:tc>
        <w:tc>
          <w:tcPr/>
          <w:p>
            <w:pPr>
              <w:pStyle w:val="Compact"/>
              <w:jc w:val="left"/>
            </w:pPr>
            <w:r>
              <w:rPr>
                <w:rFonts w:hint="eastAsia"/>
              </w:rPr>
              <w:t xml:space="preserve">可比样本</w:t>
            </w:r>
            <w:r>
              <w:t xml:space="preserve"> RMSE </w:t>
            </w:r>
            <w:r>
              <w:rPr>
                <w:rFonts w:hint="eastAsia"/>
              </w:rPr>
              <w:t xml:space="preserve">为</w:t>
            </w:r>
            <w:r>
              <w:t xml:space="preserve"> </w:t>
            </w:r>
            <w:r>
              <w:rPr>
                <w:rFonts w:hint="eastAsia"/>
              </w:rPr>
              <w:t xml:space="preserve">3.47，朴素基准为</w:t>
            </w:r>
            <w:r>
              <w:t xml:space="preserve"> </w:t>
            </w:r>
            <w:r>
              <w:rPr>
                <w:rFonts w:hint="eastAsia"/>
              </w:rPr>
              <w:t xml:space="preserve">4.52；DM</w:t>
            </w:r>
            <w:r>
              <w:t xml:space="preserve"> </w:t>
            </w:r>
            <w:r>
              <w:rPr>
                <w:rFonts w:hint="eastAsia"/>
              </w:rPr>
              <w:t xml:space="preserve">平方损失单侧</w:t>
            </w:r>
            <w:r>
              <w:t xml:space="preserve"> </w:t>
            </w:r>
            <m:oMath>
              <m:r>
                <m:t>p</m:t>
              </m:r>
              <m:r>
                <m:rPr>
                  <m:sty m:val="p"/>
                </m:rPr>
                <m:t>=</m:t>
              </m:r>
              <m:r>
                <m:t>0.023</m:t>
              </m:r>
            </m:oMath>
          </w:p>
        </w:tc>
        <w:tc>
          <w:tcPr/>
          <w:p>
            <w:pPr>
              <w:pStyle w:val="Compact"/>
              <w:jc w:val="left"/>
            </w:pPr>
            <w:r>
              <w:rPr>
                <w:rFonts w:hint="eastAsia"/>
              </w:rPr>
              <w:t xml:space="preserve">模型不是复杂但无效的随机游走复制</w:t>
            </w:r>
          </w:p>
        </w:tc>
      </w:tr>
      <w:tr>
        <w:tc>
          <w:tcPr/>
          <w:p>
            <w:pPr>
              <w:pStyle w:val="Compact"/>
              <w:jc w:val="left"/>
            </w:pPr>
            <w:r>
              <w:rPr>
                <w:rFonts w:hint="eastAsia"/>
              </w:rPr>
              <w:t xml:space="preserve">是否存在滞后跟随</w:t>
            </w:r>
          </w:p>
        </w:tc>
        <w:tc>
          <w:tcPr/>
          <w:p>
            <w:pPr>
              <w:pStyle w:val="Compact"/>
              <w:jc w:val="left"/>
            </w:pPr>
            <w:r>
              <w:rPr>
                <w:rFonts w:hint="eastAsia"/>
              </w:rPr>
              <w:t xml:space="preserve">平移检验、拐点局部检验和残差自相关检验</w:t>
            </w:r>
          </w:p>
        </w:tc>
        <w:tc>
          <w:tcPr/>
          <w:p>
            <w:pPr>
              <w:pStyle w:val="Compact"/>
              <w:jc w:val="left"/>
            </w:pPr>
            <w:r>
              <w:t xml:space="preserve">Ljung–Box lag10</w:t>
            </w:r>
            <w:r>
              <w:t xml:space="preserve"> </w:t>
            </w:r>
            <m:oMath>
              <m:r>
                <m:t>p</m:t>
              </m:r>
              <m:r>
                <m:rPr>
                  <m:sty m:val="p"/>
                </m:rPr>
                <m:t>=</m:t>
              </m:r>
              <m:r>
                <m:t>0.364</m:t>
              </m:r>
            </m:oMath>
            <w:r>
              <w:rPr>
                <w:rFonts w:hint="eastAsia"/>
              </w:rPr>
              <w:t xml:space="preserve">，未发现显著线性残差自相关</w:t>
            </w:r>
          </w:p>
        </w:tc>
        <w:tc>
          <w:tcPr/>
          <w:p>
            <w:pPr>
              <w:pStyle w:val="Compact"/>
              <w:jc w:val="left"/>
            </w:pPr>
            <w:r>
              <w:rPr>
                <w:rFonts w:hint="eastAsia"/>
              </w:rPr>
              <w:t xml:space="preserve">拟合曲线没有明显依赖</w:t>
            </w:r>
            <w:r>
              <w:rPr>
                <w:rFonts w:hint="eastAsia"/>
              </w:rPr>
              <w:t xml:space="preserve">“昨天当今天”</w:t>
            </w:r>
            <w:r>
              <w:rPr>
                <w:rFonts w:hint="eastAsia"/>
              </w:rPr>
              <w:t xml:space="preserve">的滞后复制</w:t>
            </w:r>
          </w:p>
        </w:tc>
      </w:tr>
      <w:tr>
        <w:tc>
          <w:tcPr/>
          <w:p>
            <w:pPr>
              <w:pStyle w:val="Compact"/>
              <w:jc w:val="left"/>
            </w:pPr>
            <w:r>
              <w:rPr>
                <w:rFonts w:hint="eastAsia"/>
              </w:rPr>
              <w:t xml:space="preserve">是否偷改题面弹性</w:t>
            </w:r>
          </w:p>
        </w:tc>
        <w:tc>
          <w:tcPr/>
          <w:p>
            <w:pPr>
              <w:pStyle w:val="Compact"/>
              <w:jc w:val="left"/>
            </w:pPr>
            <w:r>
              <w:rPr>
                <w:rFonts w:hint="eastAsia"/>
              </w:rPr>
              <w:t xml:space="preserve">将价格传导系数强制设为</w:t>
            </w:r>
            <w:r>
              <w:t xml:space="preserve"> </w:t>
            </w:r>
            <m:oMath>
              <m:r>
                <m:t>ϕ</m:t>
              </m:r>
              <m:r>
                <m:rPr>
                  <m:sty m:val="p"/>
                </m:rPr>
                <m:t>=</m:t>
              </m:r>
              <m:r>
                <m:t>1</m:t>
              </m:r>
            </m:oMath>
          </w:p>
        </w:tc>
        <w:tc>
          <w:tcPr/>
          <w:p>
            <w:pPr>
              <w:pStyle w:val="Compact"/>
              <w:jc w:val="left"/>
            </w:pPr>
            <w:r>
              <w:t xml:space="preserve">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w:t>
            </w:r>
          </w:p>
        </w:tc>
        <w:tc>
          <w:tcPr/>
          <w:p>
            <w:pPr>
              <w:pStyle w:val="Compact"/>
              <w:jc w:val="left"/>
            </w:pPr>
            <w:r>
              <w:rPr>
                <w:rFonts w:hint="eastAsia"/>
              </w:rPr>
              <w:t xml:space="preserve">题面低弹性用于反事实上界，</w:t>
            </w:r>
            <m:oMath>
              <m:r>
                <m:t>ϕ</m:t>
              </m:r>
            </m:oMath>
            <w:r>
              <w:t xml:space="preserve"> </w:t>
            </w:r>
            <w:r>
              <w:rPr>
                <w:rFonts w:hint="eastAsia"/>
              </w:rPr>
              <w:t xml:space="preserve">是期货市场折价传导参数</w:t>
            </w:r>
          </w:p>
        </w:tc>
      </w:tr>
      <w:tr>
        <w:tc>
          <w:tcPr/>
          <w:p>
            <w:pPr>
              <w:pStyle w:val="Compact"/>
              <w:jc w:val="left"/>
            </w:pPr>
            <w:r>
              <w:rPr>
                <w:rFonts w:hint="eastAsia"/>
              </w:rPr>
              <w:t xml:space="preserve">是否参数过拟合</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扰动和</w:t>
            </w:r>
            <w:r>
              <w:t xml:space="preserve"> 800 </w:t>
            </w:r>
            <w:r>
              <w:rPr>
                <w:rFonts w:hint="eastAsia"/>
              </w:rPr>
              <w:t xml:space="preserve">组局部扰动</w:t>
            </w:r>
          </w:p>
        </w:tc>
        <w:tc>
          <w:tcPr/>
          <w:p>
            <w:pPr>
              <w:pStyle w:val="Compact"/>
              <w:jc w:val="left"/>
            </w:pPr>
            <w:r>
              <w:t xml:space="preserve">96.6% </w:t>
            </w:r>
            <w:r>
              <w:rPr>
                <w:rFonts w:hint="eastAsia"/>
              </w:rPr>
              <w:t xml:space="preserve">扰动样本峰值仍在</w:t>
            </w:r>
            <w:r>
              <w:t xml:space="preserve"> 105–125 </w:t>
            </w:r>
            <w:r>
              <w:rPr>
                <w:rFonts w:hint="eastAsia"/>
              </w:rPr>
              <w:t xml:space="preserve">美元/桶，局部优秀率</w:t>
            </w:r>
            <w:r>
              <w:t xml:space="preserve"> 99.4%</w:t>
            </w:r>
          </w:p>
        </w:tc>
        <w:tc>
          <w:tcPr/>
          <w:p>
            <w:pPr>
              <w:pStyle w:val="Compact"/>
              <w:jc w:val="left"/>
            </w:pPr>
            <w:r>
              <w:rPr>
                <w:rFonts w:hint="eastAsia"/>
              </w:rPr>
              <w:t xml:space="preserve">价格平台不依赖唯一一组神奇参数</w:t>
            </w:r>
          </w:p>
        </w:tc>
      </w:tr>
      <w:tr>
        <w:tc>
          <w:tcPr/>
          <w:p>
            <w:pPr>
              <w:pStyle w:val="Compact"/>
              <w:jc w:val="left"/>
            </w:pPr>
            <w:r>
              <w:rPr>
                <w:rFonts w:hint="eastAsia"/>
              </w:rPr>
              <w:t xml:space="preserve">长期是否只是三条点预测线</w:t>
            </w:r>
          </w:p>
        </w:tc>
        <w:tc>
          <w:tcPr/>
          <w:p>
            <w:pPr>
              <w:pStyle w:val="Compact"/>
              <w:jc w:val="left"/>
            </w:pPr>
            <w:r>
              <w:rPr>
                <w:rFonts w:hint="eastAsia"/>
              </w:rPr>
              <w:t xml:space="preserve">蒙特卡洛</w:t>
            </w:r>
            <w:r>
              <w:t xml:space="preserve"> 2000 </w:t>
            </w:r>
            <w:r>
              <w:rPr>
                <w:rFonts w:hint="eastAsia"/>
              </w:rPr>
              <w:t xml:space="preserve">条条件路径与三情景中心线对比</w:t>
            </w:r>
          </w:p>
        </w:tc>
        <w:tc>
          <w:tcPr/>
          <w:p>
            <w:pPr>
              <w:pStyle w:val="Compact"/>
              <w:jc w:val="left"/>
            </w:pPr>
            <w:r>
              <w:rPr>
                <w:rFonts w:hint="eastAsia"/>
              </w:rPr>
              <w:t xml:space="preserve">第</w:t>
            </w:r>
            <w:r>
              <w:t xml:space="preserve"> 180 </w:t>
            </w:r>
            <w:r>
              <w:rPr>
                <w:rFonts w:hint="eastAsia"/>
              </w:rPr>
              <w:t xml:space="preserve">天</w:t>
            </w:r>
            <w:r>
              <w:t xml:space="preserve"> P05–P95 </w:t>
            </w:r>
            <w:r>
              <w:rPr>
                <w:rFonts w:hint="eastAsia"/>
              </w:rPr>
              <w:t xml:space="preserve">为</w:t>
            </w:r>
            <w:r>
              <w:t xml:space="preserve"> 87.67–101.01 </w:t>
            </w:r>
            <w:r>
              <w:rPr>
                <w:rFonts w:hint="eastAsia"/>
              </w:rPr>
              <w:t xml:space="preserve">美元/桶，突破</w:t>
            </w:r>
            <w:r>
              <w:t xml:space="preserve"> 120 </w:t>
            </w:r>
            <w:r>
              <w:rPr>
                <w:rFonts w:hint="eastAsia"/>
              </w:rPr>
              <w:t xml:space="preserve">概率约</w:t>
            </w:r>
            <w:r>
              <w:t xml:space="preserve"> 4.6%</w:t>
            </w:r>
          </w:p>
        </w:tc>
        <w:tc>
          <w:tcPr/>
          <w:p>
            <w:pPr>
              <w:pStyle w:val="Compact"/>
              <w:jc w:val="left"/>
            </w:pPr>
            <w:r>
              <w:rPr>
                <w:rFonts w:hint="eastAsia"/>
              </w:rPr>
              <w:t xml:space="preserve">长期结论应读作条件区间和尾部风险，而非精确日度预测</w:t>
            </w:r>
          </w:p>
        </w:tc>
      </w:tr>
      <w:tr>
        <w:tc>
          <w:tcPr/>
          <w:p>
            <w:pPr>
              <w:pStyle w:val="Compact"/>
              <w:jc w:val="left"/>
            </w:pPr>
            <w:r>
              <w:rPr>
                <w:rFonts w:hint="eastAsia"/>
              </w:rPr>
              <w:t xml:space="preserve">长期制度风险是否任意托底</w:t>
            </w:r>
          </w:p>
        </w:tc>
        <w:tc>
          <w:tcPr/>
          <w:p>
            <w:pPr>
              <w:pStyle w:val="Compact"/>
              <w:jc w:val="left"/>
            </w:pPr>
            <w:r>
              <w:rPr>
                <w:rFonts w:hint="eastAsia"/>
              </w:rPr>
              <w:t xml:space="preserve">将不确定性溢价减半或随时间强制衰减</w:t>
            </w:r>
          </w:p>
        </w:tc>
        <w:tc>
          <w:tcPr/>
          <w:p>
            <w:pPr>
              <w:pStyle w:val="Compact"/>
              <w:jc w:val="left"/>
            </w:pPr>
            <w:r>
              <w:rPr>
                <w:rFonts w:hint="eastAsia"/>
              </w:rPr>
              <w:t xml:space="preserve">中性第</w:t>
            </w:r>
            <w:r>
              <w:t xml:space="preserve"> 180 </w:t>
            </w:r>
            <w:r>
              <w:rPr>
                <w:rFonts w:hint="eastAsia"/>
              </w:rPr>
              <w:t xml:space="preserve">天降至</w:t>
            </w:r>
            <w:r>
              <w:t xml:space="preserve"> 89.15 </w:t>
            </w:r>
            <w:r>
              <w:rPr>
                <w:rFonts w:hint="eastAsia"/>
              </w:rPr>
              <w:t xml:space="preserve">或</w:t>
            </w:r>
            <w:r>
              <w:t xml:space="preserve"> 87.82 </w:t>
            </w:r>
            <w:r>
              <w:rPr>
                <w:rFonts w:hint="eastAsia"/>
              </w:rPr>
              <w:t xml:space="preserve">美元/桶，悲观仍保留</w:t>
            </w:r>
            <w:r>
              <w:t xml:space="preserve"> 99.80–101.27 </w:t>
            </w:r>
            <w:r>
              <w:rPr>
                <w:rFonts w:hint="eastAsia"/>
              </w:rPr>
              <w:t xml:space="preserve">美元/桶压力</w:t>
            </w:r>
          </w:p>
        </w:tc>
        <w:tc>
          <w:tcPr/>
          <w:p>
            <w:pPr>
              <w:pStyle w:val="Compact"/>
              <w:jc w:val="left"/>
            </w:pPr>
            <w:r>
              <w:rPr>
                <w:rFonts w:hint="eastAsia"/>
              </w:rPr>
              <w:t xml:space="preserve">制度风险影响长期平衡点，但悲观尾部仍来自多因素组合</w:t>
            </w:r>
          </w:p>
        </w:tc>
      </w:tr>
    </w:tbl>
    <w:bookmarkEnd w:id="81"/>
    <w:bookmarkEnd w:id="82"/>
    <w:bookmarkEnd w:id="83"/>
    <w:bookmarkStart w:id="100" w:name="天三情景预测"/>
    <w:p>
      <w:pPr>
        <w:pStyle w:val="Heading1"/>
      </w:pPr>
      <w:r>
        <w:t xml:space="preserve">60–180 </w:t>
      </w:r>
      <w:r>
        <w:rPr>
          <w:rFonts w:hint="eastAsia"/>
        </w:rPr>
        <w:t xml:space="preserve">天三情景预测</w:t>
      </w:r>
    </w:p>
    <w:bookmarkStart w:id="84" w:name="情景设定"/>
    <w:p>
      <w:pPr>
        <w:pStyle w:val="Heading2"/>
      </w:pPr>
      <w:r>
        <w:rPr>
          <w:rFonts w:hint="eastAsia"/>
        </w:rPr>
        <w:t xml:space="preserve">情景设定</w:t>
      </w:r>
    </w:p>
    <w:p>
      <w:pPr>
        <w:pStyle w:val="FirstParagraph"/>
      </w:pPr>
      <w:r>
        <w:rPr>
          <w:rFonts w:hint="eastAsia"/>
        </w:rPr>
        <w:t xml:space="preserve">长期情景预测在综合最优参数基础上构建乐观、中性和悲观三种情景。附件真实价格只覆盖到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长期部分不能称为</w:t>
      </w:r>
      <w:r>
        <w:rPr>
          <w:rFonts w:hint="eastAsia"/>
        </w:rPr>
        <w:t xml:space="preserve">“拟合”</w:t>
      </w:r>
      <w:r>
        <w:rPr>
          <w:rFonts w:hint="eastAsia"/>
        </w:rPr>
        <w:t xml:space="preserve">：赛题附件只提供到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的表述。三情景曲线表示条件中心路径，而不是未来每日收盘价的精确点预测；其可信度由机制一致性、官方外生数据审计、敏感性分析、蒙特卡洛概率区间和状态转移扰动共同评价。</w:t>
      </w:r>
    </w:p>
    <w:p>
      <w:pPr>
        <w:pStyle w:val="BodyText"/>
      </w:pPr>
      <w:r>
        <w:rPr>
          <w:rFonts w:hint="eastAsia"/>
        </w:rPr>
        <w:t xml:space="preserve">长期模型从短期动态递推模型延伸而来，但在四个方面做了时间尺度调整：</w:t>
      </w:r>
    </w:p>
    <w:p>
      <w:pPr>
        <w:numPr>
          <w:ilvl w:val="0"/>
          <w:numId w:val="1004"/>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4"/>
        </w:numPr>
      </w:pPr>
      <w:r>
        <w:rPr>
          <w:rFonts w:hint="eastAsia"/>
        </w:rPr>
        <w:t xml:space="preserve">缓冲侧：SPR、商业库存和绕道运输继续发挥作用，但其边际能力随时间下降或受运输瓶颈约束。</w:t>
      </w:r>
    </w:p>
    <w:p>
      <w:pPr>
        <w:numPr>
          <w:ilvl w:val="0"/>
          <w:numId w:val="1004"/>
        </w:numPr>
      </w:pPr>
      <w:r>
        <w:rPr>
          <w:rFonts w:hint="eastAsia"/>
        </w:rPr>
        <w:t xml:space="preserve">需求侧：长期需求价格弹性高于短期弹性，反映高油价持续后消费、生产和替代能源调整更充分。</w:t>
      </w:r>
    </w:p>
    <w:p>
      <w:pPr>
        <w:numPr>
          <w:ilvl w:val="0"/>
          <w:numId w:val="1004"/>
        </w:numPr>
      </w:pPr>
      <w:r>
        <w:rPr>
          <w:rFonts w:hint="eastAsia"/>
        </w:rPr>
        <w:t xml:space="preserve">风险侧：恐慌溢价逐步衰减，不确定性溢价拆分为前期冲击不确定性和持续封锁制度风险，避免把长期价格简单托在一个常数平台上。</w:t>
      </w:r>
    </w:p>
    <w:p>
      <w:pPr>
        <w:pStyle w:val="FirstParagraph"/>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为其他产油国增产或替代供应增量。为避免将</w:t>
      </w:r>
      <w:r>
        <w:t xml:space="preserve"> SPR </w:t>
      </w:r>
      <w:r>
        <w:rPr>
          <w:rFonts w:hint="eastAsia"/>
        </w:rPr>
        <w:t xml:space="preserve">机械地设为计划上限，本文令实际释放量随缺口和价格压力自适应收缩：</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由地缘风险溢价、前期冲击不确定性和持续封锁制度风险三部分构成，其中制度风险随未解决供应压力和时间信心恢复共同衰减，避免形成长期常数托底。</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短期和长期风险项的方向不同，并不是前后矛盾。短期窗口内，市场需要完成突发封锁的信息吸收，风险溢价表现为建立和再定价；长期窗口内，市场已经观察到</w:t>
      </w:r>
      <w:r>
        <w:t xml:space="preserve"> </w:t>
      </w:r>
      <w:r>
        <w:rPr>
          <w:rFonts w:hint="eastAsia"/>
        </w:rPr>
        <w:t xml:space="preserve">SPR、库存、绕道和供需调整是否有效，因此风险项应随未解决缺口和信心恢复而逐步衰减。换言之，短期模型回答</w:t>
      </w:r>
      <w:r>
        <w:rPr>
          <w:rFonts w:hint="eastAsia"/>
        </w:rPr>
        <w:t xml:space="preserve">“冲击如何形成价格平台”</w:t>
      </w:r>
      <w:r>
        <w:rPr>
          <w:rFonts w:hint="eastAsia"/>
        </w:rPr>
        <w:t xml:space="preserve">，长期模型回答</w:t>
      </w:r>
      <w:r>
        <w:rPr>
          <w:rFonts w:hint="eastAsia"/>
        </w:rPr>
        <w:t xml:space="preserve">“平台在政策缓冲和需求调整后如何回归，尾部风险在哪里重新抬升”</w:t>
      </w:r>
      <w:r>
        <w:t xml:space="preserve">。</w:t>
      </w:r>
    </w:p>
    <w:p>
      <w:pPr>
        <w:pStyle w:val="TableCaption"/>
      </w:pPr>
      <w:r>
        <w:rPr>
          <w:rFonts w:hint="eastAsia"/>
        </w:rPr>
        <w:t xml:space="preserve">长期机制强度参数及检验边界</w:t>
      </w:r>
    </w:p>
    <w:tbl>
      <w:tblPr>
        <w:tblStyle w:val="Table"/>
        <w:tblW w:type="auto" w:w="0"/>
        <w:tblLook w:firstRow="1" w:lastRow="0" w:firstColumn="0" w:lastColumn="0" w:noHBand="0" w:noVBand="0" w:val="0020"/>
        <w:tblCaption w:val="长期机制强度参数及检验边界"/>
      </w:tblPr>
      <w:tblGrid>
        <w:gridCol w:w="1980"/>
        <w:gridCol w:w="1980"/>
        <w:gridCol w:w="1980"/>
        <w:gridCol w:w="1980"/>
      </w:tblGrid>
      <w:tr>
        <w:trPr>
          <w:tblHeader w:val="on"/>
        </w:trPr>
        <w:tc>
          <w:tcPr/>
          <w:p>
            <w:pPr>
              <w:pStyle w:val="Compact"/>
              <w:jc w:val="left"/>
            </w:pPr>
            <w:r>
              <w:rPr>
                <w:rFonts w:hint="eastAsia"/>
              </w:rPr>
              <w:t xml:space="preserve">机制参数</w:t>
            </w:r>
          </w:p>
        </w:tc>
        <w:tc>
          <w:tcPr/>
          <w:p>
            <w:pPr>
              <w:pStyle w:val="Compact"/>
              <w:jc w:val="right"/>
            </w:pPr>
            <w:r>
              <w:rPr>
                <w:rFonts w:hint="eastAsia"/>
              </w:rPr>
              <w:t xml:space="preserve">基准值</w:t>
            </w:r>
          </w:p>
        </w:tc>
        <w:tc>
          <w:tcPr/>
          <w:p>
            <w:pPr>
              <w:pStyle w:val="Compact"/>
              <w:jc w:val="right"/>
            </w:pPr>
            <w:r>
              <w:rPr>
                <w:rFonts w:hint="eastAsia"/>
              </w:rPr>
              <w:t xml:space="preserve">扰动范围</w:t>
            </w:r>
          </w:p>
        </w:tc>
        <w:tc>
          <w:tcPr/>
          <w:p>
            <w:pPr>
              <w:pStyle w:val="Compact"/>
              <w:jc w:val="left"/>
            </w:pPr>
            <w:r>
              <w:rPr>
                <w:rFonts w:hint="eastAsia"/>
              </w:rPr>
              <w:t xml:space="preserve">含义与边界</w:t>
            </w:r>
          </w:p>
        </w:tc>
      </w:tr>
      <w:tr>
        <w:tc>
          <w:tcPr/>
          <w:p>
            <w:pPr>
              <w:pStyle w:val="Compact"/>
              <w:jc w:val="left"/>
            </w:pPr>
            <w:r>
              <w:t xml:space="preserve">SPR </w:t>
            </w:r>
            <w:r>
              <w:rPr>
                <w:rFonts w:hint="eastAsia"/>
              </w:rPr>
              <w:t xml:space="preserve">收缩起点</w:t>
            </w:r>
          </w:p>
        </w:tc>
        <w:tc>
          <w:tcPr/>
          <w:p>
            <w:pPr>
              <w:pStyle w:val="Compact"/>
              <w:jc w:val="right"/>
            </w:pPr>
            <w:r>
              <w:t xml:space="preserve">75</w:t>
            </w:r>
          </w:p>
        </w:tc>
        <w:tc>
          <w:tcPr/>
          <w:p>
            <w:pPr>
              <w:pStyle w:val="Compact"/>
              <w:jc w:val="right"/>
            </w:pPr>
            <w:r>
              <w:t xml:space="preserve">60–105</w:t>
            </w:r>
          </w:p>
        </w:tc>
        <w:tc>
          <w:tcPr/>
          <w:p>
            <w:pPr>
              <w:pStyle w:val="Compact"/>
              <w:jc w:val="left"/>
            </w:pPr>
            <w:r>
              <w:t xml:space="preserve">SPR </w:t>
            </w:r>
            <w:r>
              <w:rPr>
                <w:rFonts w:hint="eastAsia"/>
              </w:rPr>
              <w:t xml:space="preserve">从应急计划释放转向缺口驱动收缩的开始时间</w:t>
            </w:r>
          </w:p>
        </w:tc>
      </w:tr>
      <w:tr>
        <w:tc>
          <w:tcPr/>
          <w:p>
            <w:pPr>
              <w:pStyle w:val="Compact"/>
              <w:jc w:val="left"/>
            </w:pPr>
            <w:r>
              <w:rPr>
                <w:rFonts w:hint="eastAsia"/>
              </w:rPr>
              <w:t xml:space="preserve">冲击不确定性占比</w:t>
            </w:r>
          </w:p>
        </w:tc>
        <w:tc>
          <w:tcPr/>
          <w:p>
            <w:pPr>
              <w:pStyle w:val="Compact"/>
              <w:jc w:val="right"/>
            </w:pPr>
            <w:r>
              <w:t xml:space="preserve">0.45</w:t>
            </w:r>
          </w:p>
        </w:tc>
        <w:tc>
          <w:tcPr/>
          <w:p>
            <w:pPr>
              <w:pStyle w:val="Compact"/>
              <w:jc w:val="right"/>
            </w:pPr>
            <w:r>
              <w:t xml:space="preserve">0.25–0.65</w:t>
            </w:r>
          </w:p>
        </w:tc>
        <w:tc>
          <w:tcPr/>
          <w:p>
            <w:pPr>
              <w:pStyle w:val="Compact"/>
              <w:jc w:val="left"/>
            </w:pPr>
            <w:r>
              <w:rPr>
                <w:rFonts w:hint="eastAsia"/>
              </w:rPr>
              <w:t xml:space="preserve">前期冲击再定价在长期不确定性中的贡献，不作为外部官方统计量</w:t>
            </w:r>
          </w:p>
        </w:tc>
      </w:tr>
      <w:tr>
        <w:tc>
          <w:tcPr/>
          <w:p>
            <w:pPr>
              <w:pStyle w:val="Compact"/>
              <w:jc w:val="left"/>
            </w:pPr>
            <w:r>
              <w:rPr>
                <w:rFonts w:hint="eastAsia"/>
              </w:rPr>
              <w:t xml:space="preserve">制度风险占比</w:t>
            </w:r>
          </w:p>
        </w:tc>
        <w:tc>
          <w:tcPr/>
          <w:p>
            <w:pPr>
              <w:pStyle w:val="Compact"/>
              <w:jc w:val="right"/>
            </w:pPr>
            <w:r>
              <w:t xml:space="preserve">0.90</w:t>
            </w:r>
          </w:p>
        </w:tc>
        <w:tc>
          <w:tcPr/>
          <w:p>
            <w:pPr>
              <w:pStyle w:val="Compact"/>
              <w:jc w:val="right"/>
            </w:pPr>
            <w:r>
              <w:t xml:space="preserve">0.50–1.30</w:t>
            </w:r>
          </w:p>
        </w:tc>
        <w:tc>
          <w:tcPr/>
          <w:p>
            <w:pPr>
              <w:pStyle w:val="Compact"/>
              <w:jc w:val="left"/>
            </w:pPr>
            <w:r>
              <w:rPr>
                <w:rFonts w:hint="eastAsia"/>
              </w:rPr>
              <w:t xml:space="preserve">持续封锁状态对长期风险溢价的贡献强度</w:t>
            </w:r>
          </w:p>
        </w:tc>
      </w:tr>
      <w:tr>
        <w:tc>
          <w:tcPr/>
          <w:p>
            <w:pPr>
              <w:pStyle w:val="Compact"/>
              <w:jc w:val="left"/>
            </w:pPr>
            <w:r>
              <w:rPr>
                <w:rFonts w:hint="eastAsia"/>
              </w:rPr>
              <w:t xml:space="preserve">信心恢复后风险底座</w:t>
            </w:r>
          </w:p>
        </w:tc>
        <w:tc>
          <w:tcPr/>
          <w:p>
            <w:pPr>
              <w:pStyle w:val="Compact"/>
              <w:jc w:val="right"/>
            </w:pPr>
            <w:r>
              <w:t xml:space="preserve">0.40</w:t>
            </w:r>
          </w:p>
        </w:tc>
        <w:tc>
          <w:tcPr/>
          <w:p>
            <w:pPr>
              <w:pStyle w:val="Compact"/>
              <w:jc w:val="right"/>
            </w:pPr>
            <w:r>
              <w:t xml:space="preserve">0.20–0.60</w:t>
            </w:r>
          </w:p>
        </w:tc>
        <w:tc>
          <w:tcPr/>
          <w:p>
            <w:pPr>
              <w:pStyle w:val="Compact"/>
              <w:jc w:val="left"/>
            </w:pPr>
            <w:r>
              <w:rPr>
                <w:rFonts w:hint="eastAsia"/>
              </w:rPr>
              <w:t xml:space="preserve">缓冲机制被市场确认后仍保留的制度风险比例</w:t>
            </w:r>
          </w:p>
        </w:tc>
      </w:tr>
      <w:tr>
        <w:tc>
          <w:tcPr/>
          <w:p>
            <w:pPr>
              <w:pStyle w:val="Compact"/>
              <w:jc w:val="left"/>
            </w:pPr>
            <w:r>
              <w:rPr>
                <w:rFonts w:hint="eastAsia"/>
              </w:rPr>
              <w:t xml:space="preserve">过剩供给回归强度</w:t>
            </w:r>
          </w:p>
        </w:tc>
        <w:tc>
          <w:tcPr/>
          <w:p>
            <w:pPr>
              <w:pStyle w:val="Compact"/>
              <w:jc w:val="right"/>
            </w:pPr>
            <w:r>
              <w:t xml:space="preserve">1.35</w:t>
            </w:r>
          </w:p>
        </w:tc>
        <w:tc>
          <w:tcPr/>
          <w:p>
            <w:pPr>
              <w:pStyle w:val="Compact"/>
              <w:jc w:val="right"/>
            </w:pPr>
            <w:r>
              <w:t xml:space="preserve">0.80–2.20</w:t>
            </w:r>
          </w:p>
        </w:tc>
        <w:tc>
          <w:tcPr/>
          <w:p>
            <w:pPr>
              <w:pStyle w:val="Compact"/>
              <w:jc w:val="left"/>
            </w:pPr>
            <w:r>
              <w:rPr>
                <w:rFonts w:hint="eastAsia"/>
              </w:rPr>
              <w:t xml:space="preserve">供给超过需求时向下修正目标价格的机制强度</w:t>
            </w:r>
          </w:p>
        </w:tc>
      </w:tr>
    </w:tbl>
    <w:p/>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bookmarkEnd w:id="84"/>
    <w:bookmarkStart w:id="99"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93.28</w:t>
            </w:r>
          </w:p>
        </w:tc>
        <w:tc>
          <w:tcPr/>
          <w:p>
            <w:pPr>
              <w:pStyle w:val="Compact"/>
              <w:jc w:val="right"/>
            </w:pPr>
            <w:r>
              <w:t xml:space="preserve">91.86</w:t>
            </w:r>
          </w:p>
        </w:tc>
        <w:tc>
          <w:tcPr/>
          <w:p>
            <w:pPr>
              <w:pStyle w:val="Compact"/>
              <w:jc w:val="right"/>
            </w:pPr>
            <w:r>
              <w:t xml:space="preserve">87.10</w:t>
            </w:r>
          </w:p>
        </w:tc>
        <w:tc>
          <w:tcPr/>
          <w:p>
            <w:pPr>
              <w:pStyle w:val="Compact"/>
              <w:jc w:val="right"/>
            </w:pPr>
            <w:r>
              <w:t xml:space="preserve">103.32</w:t>
            </w:r>
          </w:p>
        </w:tc>
        <w:tc>
          <w:tcPr/>
          <w:p>
            <w:pPr>
              <w:pStyle w:val="Compact"/>
              <w:jc w:val="right"/>
            </w:pPr>
            <w:r>
              <w:t xml:space="preserve">91.25</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104.38</w:t>
            </w:r>
          </w:p>
        </w:tc>
        <w:tc>
          <w:tcPr/>
          <w:p>
            <w:pPr>
              <w:pStyle w:val="Compact"/>
              <w:jc w:val="right"/>
            </w:pPr>
            <w:r>
              <w:t xml:space="preserve">100.02</w:t>
            </w:r>
          </w:p>
        </w:tc>
        <w:tc>
          <w:tcPr/>
          <w:p>
            <w:pPr>
              <w:pStyle w:val="Compact"/>
              <w:jc w:val="right"/>
            </w:pPr>
            <w:r>
              <w:t xml:space="preserve">92.43</w:t>
            </w:r>
          </w:p>
        </w:tc>
        <w:tc>
          <w:tcPr/>
          <w:p>
            <w:pPr>
              <w:pStyle w:val="Compact"/>
              <w:jc w:val="right"/>
            </w:pPr>
            <w:r>
              <w:t xml:space="preserve">109.52</w:t>
            </w:r>
          </w:p>
        </w:tc>
        <w:tc>
          <w:tcPr/>
          <w:p>
            <w:pPr>
              <w:pStyle w:val="Compact"/>
              <w:jc w:val="right"/>
            </w:pPr>
            <w:r>
              <w:t xml:space="preserve">99.85</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122.78</w:t>
            </w:r>
          </w:p>
        </w:tc>
        <w:tc>
          <w:tcPr/>
          <w:p>
            <w:pPr>
              <w:pStyle w:val="Compact"/>
              <w:jc w:val="right"/>
            </w:pPr>
            <w:r>
              <w:t xml:space="preserve">114.30</w:t>
            </w:r>
          </w:p>
        </w:tc>
        <w:tc>
          <w:tcPr/>
          <w:p>
            <w:pPr>
              <w:pStyle w:val="Compact"/>
              <w:jc w:val="right"/>
            </w:pPr>
            <w:r>
              <w:t xml:space="preserve">106.83</w:t>
            </w:r>
          </w:p>
        </w:tc>
        <w:tc>
          <w:tcPr/>
          <w:p>
            <w:pPr>
              <w:pStyle w:val="Compact"/>
              <w:jc w:val="right"/>
            </w:pPr>
            <w:r>
              <w:t xml:space="preserve">128.64</w:t>
            </w:r>
          </w:p>
        </w:tc>
        <w:tc>
          <w:tcPr/>
          <w:p>
            <w:pPr>
              <w:pStyle w:val="Compact"/>
              <w:jc w:val="right"/>
            </w:pPr>
            <w:r>
              <w:t xml:space="preserve">115.75</w:t>
            </w:r>
          </w:p>
        </w:tc>
        <w:tc>
          <w:tcPr/>
          <w:p>
            <w:pPr>
              <w:pStyle w:val="Compact"/>
              <w:jc w:val="right"/>
            </w:pPr>
            <w:r>
              <w:rPr>
                <w:rFonts w:hint="eastAsia"/>
              </w:rPr>
              <w:t xml:space="preserve">高</w:t>
            </w:r>
          </w:p>
        </w:tc>
      </w:tr>
    </w:tbl>
    <w:bookmarkStart w:id="88" w:name="fig:long-term-fan"/>
    <w:p>
      <w:pPr>
        <w:pStyle w:val="CaptionedFigure"/>
      </w:pPr>
      <w:r>
        <w:drawing>
          <wp:inline>
            <wp:extent cx="5013960" cy="2790377"/>
            <wp:effectExtent b="0" l="0" r="0" t="0"/>
            <wp:docPr descr="" title="" id="86" name="Picture"/>
            <a:graphic>
              <a:graphicData uri="http://schemas.openxmlformats.org/drawingml/2006/picture">
                <pic:pic>
                  <pic:nvPicPr>
                    <pic:cNvPr descr="蒙特卡洛价格扇形区间.png" id="87" name="Picture"/>
                    <pic:cNvPicPr>
                      <a:picLocks noChangeArrowheads="1" noChangeAspect="1"/>
                    </pic:cNvPicPr>
                  </pic:nvPicPr>
                  <pic:blipFill>
                    <a:blip r:embed="rId85"/>
                    <a:stretch>
                      <a:fillRect/>
                    </a:stretch>
                  </pic:blipFill>
                  <pic:spPr bwMode="auto">
                    <a:xfrm>
                      <a:off x="0" y="0"/>
                      <a:ext cx="5013960" cy="2790377"/>
                    </a:xfrm>
                    <a:prstGeom prst="rect">
                      <a:avLst/>
                    </a:prstGeom>
                    <a:noFill/>
                    <a:ln w="9525">
                      <a:noFill/>
                      <a:headEnd/>
                      <a:tailEnd/>
                    </a:ln>
                  </pic:spPr>
                </pic:pic>
              </a:graphicData>
            </a:graphic>
          </wp:inline>
        </w:drawing>
      </w:r>
    </w:p>
    <w:p>
      <w:pPr>
        <w:pStyle w:val="ImageCaption"/>
      </w:pPr>
      <w:r>
        <w:rPr>
          <w:rFonts w:hint="eastAsia"/>
        </w:rPr>
        <w:t xml:space="preserve">长期情景预测主图：蒙特卡洛情景树价格扇形区间。深色区间为</w:t>
      </w:r>
      <w:r>
        <w:t xml:space="preserve"> </w:t>
      </w:r>
      <w:r>
        <w:rPr>
          <w:rFonts w:hint="eastAsia"/>
        </w:rPr>
        <w:t xml:space="preserve">25%–75%，浅色区间为</w:t>
      </w:r>
      <w:r>
        <w:t xml:space="preserve"> </w:t>
      </w:r>
      <w:r>
        <w:rPr>
          <w:rFonts w:hint="eastAsia"/>
        </w:rPr>
        <w:t xml:space="preserve">5%–95%。三情景中心路径应与该区间共同解读。</w:t>
      </w:r>
    </w:p>
    <w:bookmarkEnd w:id="88"/>
    <w:p>
      <w:pPr>
        <w:pStyle w:val="CaptionedFigure"/>
      </w:pPr>
      <w:r>
        <w:drawing>
          <wp:inline>
            <wp:extent cx="5013960" cy="2757678"/>
            <wp:effectExtent b="0" l="0" r="0" t="0"/>
            <wp:docPr descr="" title="" id="90" name="Picture"/>
            <a:graphic>
              <a:graphicData uri="http://schemas.openxmlformats.org/drawingml/2006/picture">
                <pic:pic>
                  <pic:nvPicPr>
                    <pic:cNvPr descr="短期拟合与长期预测总览.png" id="91" name="Picture"/>
                    <pic:cNvPicPr>
                      <a:picLocks noChangeArrowheads="1" noChangeAspect="1"/>
                    </pic:cNvPicPr>
                  </pic:nvPicPr>
                  <pic:blipFill>
                    <a:blip r:embed="rId89"/>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为了回应</w:t>
      </w:r>
      <w:r>
        <w:rPr>
          <w:rFonts w:hint="eastAsia"/>
        </w:rPr>
        <w:t xml:space="preserve">“中性预测线过于平直”</w:t>
      </w:r>
      <w:r>
        <w:rPr>
          <w:rFonts w:hint="eastAsia"/>
        </w:rPr>
        <w:t xml:space="preserve">的问题，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这样得到的长期图不再是一条孤立直线，而是中心路径、状态概率和尾部区间的组合。</w:t>
      </w:r>
    </w:p>
    <w:bookmarkStart w:id="95" w:name="fig:state-transition-fan"/>
    <w:p>
      <w:pPr>
        <w:pStyle w:val="CaptionedFigure"/>
      </w:pPr>
      <w:r>
        <w:drawing>
          <wp:inline>
            <wp:extent cx="5013960" cy="3654242"/>
            <wp:effectExtent b="0" l="0" r="0" t="0"/>
            <wp:docPr descr="" title="" id="93" name="Picture"/>
            <a:graphic>
              <a:graphicData uri="http://schemas.openxmlformats.org/drawingml/2006/picture">
                <pic:pic>
                  <pic:nvPicPr>
                    <pic:cNvPr descr="长期状态转移情景树.png" id="94" name="Picture"/>
                    <pic:cNvPicPr>
                      <a:picLocks noChangeArrowheads="1" noChangeAspect="1"/>
                    </pic:cNvPicPr>
                  </pic:nvPicPr>
                  <pic:blipFill>
                    <a:blip r:embed="rId92"/>
                    <a:stretch>
                      <a:fillRect/>
                    </a:stretch>
                  </pic:blipFill>
                  <pic:spPr bwMode="auto">
                    <a:xfrm>
                      <a:off x="0" y="0"/>
                      <a:ext cx="5013960" cy="3654242"/>
                    </a:xfrm>
                    <a:prstGeom prst="rect">
                      <a:avLst/>
                    </a:prstGeom>
                    <a:noFill/>
                    <a:ln w="9525">
                      <a:noFill/>
                      <a:headEnd/>
                      <a:tailEnd/>
                    </a:ln>
                  </pic:spPr>
                </pic:pic>
              </a:graphicData>
            </a:graphic>
          </wp:inline>
        </w:drawing>
      </w:r>
    </w:p>
    <w:p>
      <w:pPr>
        <w:pStyle w:val="ImageCaption"/>
      </w:pPr>
      <w:r>
        <w:rPr>
          <w:rFonts w:hint="eastAsia"/>
        </w:rPr>
        <w:t xml:space="preserve">长期状态转移情景树。上图为状态转移后的价格扇形区间，下图为缓和、维持、升级三类状态的样本占比。</w:t>
      </w:r>
    </w:p>
    <w:bookmarkEnd w:id="95"/>
    <w:p>
      <w:pPr>
        <w:pStyle w:val="BodyText"/>
      </w:pPr>
      <w:r>
        <w:rPr>
          <w:rFonts w:hint="eastAsia"/>
        </w:rPr>
        <w:t xml:space="preserve">结果显示，中性情景下价格在</w:t>
      </w:r>
      <w:r>
        <w:t xml:space="preserve"> 180 </w:t>
      </w:r>
      <w:r>
        <w:rPr>
          <w:rFonts w:hint="eastAsia"/>
        </w:rPr>
        <w:t xml:space="preserve">天附近回落至约</w:t>
      </w:r>
      <w:r>
        <w:t xml:space="preserve"> 92.43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128.64 </w:t>
      </w:r>
      <w:r>
        <w:rPr>
          <w:rFonts w:hint="eastAsia"/>
        </w:rPr>
        <w:t xml:space="preserve">美元/桶的高点。状态转移增强模型进一步给出第</w:t>
      </w:r>
      <w:r>
        <w:t xml:space="preserve"> 180 </w:t>
      </w:r>
      <w:r>
        <w:rPr>
          <w:rFonts w:hint="eastAsia"/>
        </w:rPr>
        <w:t xml:space="preserve">天</w:t>
      </w:r>
      <w:r>
        <w:t xml:space="preserve"> 5%–95% </w:t>
      </w:r>
      <w:r>
        <w:rPr>
          <w:rFonts w:hint="eastAsia"/>
        </w:rPr>
        <w:t xml:space="preserve">条件区间</w:t>
      </w:r>
      <w:r>
        <w:t xml:space="preserve"> 85.43–93.99 </w:t>
      </w:r>
      <w:r>
        <w:rPr>
          <w:rFonts w:hint="eastAsia"/>
        </w:rPr>
        <w:t xml:space="preserve">美元/桶，外推期最高价</w:t>
      </w:r>
      <w:r>
        <w:t xml:space="preserve"> P95 </w:t>
      </w:r>
      <w:r>
        <w:rPr>
          <w:rFonts w:hint="eastAsia"/>
        </w:rPr>
        <w:t xml:space="preserve">为</w:t>
      </w:r>
      <w:r>
        <w:t xml:space="preserve"> 124.61 </w:t>
      </w:r>
      <w:r>
        <w:rPr>
          <w:rFonts w:hint="eastAsia"/>
        </w:rPr>
        <w:t xml:space="preserve">美元/桶，说明长期中心路径的日度精度不能单独夸大，真正应关注的是尾部区间和状态切换风险。</w:t>
      </w:r>
    </w:p>
    <w:p>
      <w:pPr>
        <w:pStyle w:val="TableCaption"/>
      </w:pPr>
      <w:r>
        <w:rPr>
          <w:rFonts w:hint="eastAsia"/>
        </w:rPr>
        <w:t xml:space="preserve">长期情景预测的可信度评价框架</w:t>
      </w:r>
    </w:p>
    <w:tbl>
      <w:tblPr>
        <w:tblStyle w:val="Table"/>
        <w:tblW w:type="auto" w:w="0"/>
        <w:tblLook w:firstRow="1" w:lastRow="0" w:firstColumn="0" w:lastColumn="0" w:noHBand="0" w:noVBand="0" w:val="0020"/>
        <w:tblCaption w:val="长期情景预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检验情景逻辑是否自洽，不代表未来真实价格已经被验证</w:t>
            </w:r>
          </w:p>
        </w:tc>
      </w:tr>
      <w:tr>
        <w:tc>
          <w:tcPr/>
          <w:p>
            <w:pPr>
              <w:pStyle w:val="Compact"/>
              <w:jc w:val="left"/>
            </w:pPr>
            <w:r>
              <w:rPr>
                <w:rFonts w:hint="eastAsia"/>
              </w:rPr>
              <w:t xml:space="preserve">外部数量级审计</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SPR、商业库存和美国原油产量用于审计缓冲能力与供给恢复速度</w:t>
            </w:r>
          </w:p>
        </w:tc>
        <w:tc>
          <w:tcPr/>
          <w:p>
            <w:pPr>
              <w:pStyle w:val="Compact"/>
              <w:jc w:val="left"/>
            </w:pPr>
            <w:r>
              <w:rPr>
                <w:rFonts w:hint="eastAsia"/>
              </w:rPr>
              <w:t xml:space="preserve">美国口径不能直接替代全球参数，只提供保守约束</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天价格对制度风险、地缘风险权重和供应中断量最敏感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87.67–101.01 </w:t>
            </w:r>
            <w:r>
              <w:rPr>
                <w:rFonts w:hint="eastAsia"/>
              </w:rPr>
              <w:t xml:space="preserve">美元/桶，最高价突破</w:t>
            </w:r>
            <w:r>
              <w:t xml:space="preserve"> 120 </w:t>
            </w:r>
            <w:r>
              <w:rPr>
                <w:rFonts w:hint="eastAsia"/>
              </w:rPr>
              <w:t xml:space="preserve">概率约</w:t>
            </w:r>
            <w:r>
              <w:t xml:space="preserve"> 4.6%</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85.43–93.99 </w:t>
            </w:r>
            <w:r>
              <w:rPr>
                <w:rFonts w:hint="eastAsia"/>
              </w:rPr>
              <w:t xml:space="preserve">美元/桶，外推期最高价</w:t>
            </w:r>
            <w:r>
              <w:t xml:space="preserve"> P95 </w:t>
            </w:r>
            <w:r>
              <w:rPr>
                <w:rFonts w:hint="eastAsia"/>
              </w:rPr>
              <w:t xml:space="preserve">为</w:t>
            </w:r>
            <w:r>
              <w:t xml:space="preserve"> 124.61 </w:t>
            </w:r>
            <w:r>
              <w:rPr>
                <w:rFonts w:hint="eastAsia"/>
              </w:rPr>
              <w:t xml:space="preserve">美元/桶</w:t>
            </w:r>
          </w:p>
        </w:tc>
        <w:tc>
          <w:tcPr/>
          <w:p>
            <w:pPr>
              <w:pStyle w:val="Compact"/>
              <w:jc w:val="left"/>
            </w:pPr>
            <w:r>
              <w:rPr>
                <w:rFonts w:hint="eastAsia"/>
              </w:rPr>
              <w:t xml:space="preserve">用于解释平滑中心线之外的事件状态切换和短期扰动，不代表未来真实价格已被观测</w:t>
            </w:r>
          </w:p>
        </w:tc>
      </w:tr>
    </w:tbl>
    <w:p>
      <w:pPr>
        <w:pStyle w:val="BodyText"/>
      </w:pPr>
      <w:r>
        <w:rPr>
          <w:rFonts w:hint="eastAsia"/>
        </w:rPr>
        <w:t xml:space="preserve">从价格平衡点看，乐观情景最终回落至约</w:t>
      </w:r>
      <w:r>
        <w:t xml:space="preserve"> 87.10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92.43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释放已经从计划上限自动收缩，且中性路径供给过剩仅约</w:t>
      </w:r>
      <w:r>
        <w:t xml:space="preserve"> 50 </w:t>
      </w:r>
      <w:r>
        <w:rPr>
          <w:rFonts w:hint="eastAsia"/>
        </w:rPr>
        <w:t xml:space="preserve">万桶/日，说明价格回落不是依赖政策变量机械满额托底。悲观情景第</w:t>
      </w:r>
      <w:r>
        <w:t xml:space="preserve"> 180 </w:t>
      </w:r>
      <w:r>
        <w:rPr>
          <w:rFonts w:hint="eastAsia"/>
        </w:rPr>
        <w:t xml:space="preserve">天仍为</w:t>
      </w:r>
      <w:r>
        <w:t xml:space="preserve"> 106.83 </w:t>
      </w:r>
      <w:r>
        <w:rPr>
          <w:rFonts w:hint="eastAsia"/>
        </w:rPr>
        <w:t xml:space="preserve">美元/桶，说明若供应中断规模接近上界、SPR</w:t>
      </w:r>
      <w:r>
        <w:t xml:space="preserve"> </w:t>
      </w:r>
      <w:r>
        <w:rPr>
          <w:rFonts w:hint="eastAsia"/>
        </w:rPr>
        <w:t xml:space="preserve">释放不足且制度风险溢价持续，市场仍可能维持相对高位，并保留二次跳涨尾部风险。</w:t>
      </w:r>
    </w:p>
    <w:p>
      <w:pPr>
        <w:pStyle w:val="BodyText"/>
      </w:pPr>
      <w:r>
        <w:rPr>
          <w:rFonts w:hint="eastAsia"/>
        </w:rPr>
        <w:t xml:space="preserve">需要主动说明的是，中性第</w:t>
      </w:r>
      <w:r>
        <w:t xml:space="preserve"> 180 </w:t>
      </w:r>
      <w:r>
        <w:rPr>
          <w:rFonts w:hint="eastAsia"/>
        </w:rPr>
        <w:t xml:space="preserve">天存在约</w:t>
      </w:r>
      <w:r>
        <w:t xml:space="preserve"> 50 </w:t>
      </w:r>
      <w:r>
        <w:rPr>
          <w:rFonts w:hint="eastAsia"/>
        </w:rPr>
        <w:t xml:space="preserve">万桶/日的轻微供给过剩，但价格仍高于战前</w:t>
      </w:r>
      <w:r>
        <w:t xml:space="preserve"> 75 </w:t>
      </w:r>
      <w:r>
        <w:rPr>
          <w:rFonts w:hint="eastAsia"/>
        </w:rPr>
        <w:t xml:space="preserve">美元/桶，并非供需项失效，而是模型中仍保留约</w:t>
      </w:r>
      <w:r>
        <w:t xml:space="preserve"> 5.99 </w:t>
      </w:r>
      <w:r>
        <w:rPr>
          <w:rFonts w:hint="eastAsia"/>
        </w:rPr>
        <w:t xml:space="preserve">美元/桶的不确定性和制度风险溢价。该设定表示：即便物理缺口基本闭合，只要霍尔木兹封锁的制度状态没有完全解除，市场仍会对运输保险、航运安全、库存再补充和再次升级风险给出残余溢价。反驳性检验显示，若将不确定性溢价减半，中性第</w:t>
      </w:r>
      <w:r>
        <w:t xml:space="preserve"> 180 </w:t>
      </w:r>
      <w:r>
        <w:rPr>
          <w:rFonts w:hint="eastAsia"/>
        </w:rPr>
        <w:t xml:space="preserve">天价格降至</w:t>
      </w:r>
      <w:r>
        <w:t xml:space="preserve"> 89.15 </w:t>
      </w:r>
      <w:r>
        <w:rPr>
          <w:rFonts w:hint="eastAsia"/>
        </w:rPr>
        <w:t xml:space="preserve">美元/桶；若强制其随时间衰减，则降至</w:t>
      </w:r>
      <w:r>
        <w:t xml:space="preserve"> 87.82 </w:t>
      </w:r>
      <w:r>
        <w:rPr>
          <w:rFonts w:hint="eastAsia"/>
        </w:rPr>
        <w:t xml:space="preserve">美元/桶。因此</w:t>
      </w:r>
      <w:r>
        <w:t xml:space="preserve"> 92.43 </w:t>
      </w:r>
      <w:r>
        <w:rPr>
          <w:rFonts w:hint="eastAsia"/>
        </w:rPr>
        <w:t xml:space="preserve">美元/桶不是模型声称的唯一真实价格，而是</w:t>
      </w:r>
      <w:r>
        <w:rPr>
          <w:rFonts w:hint="eastAsia"/>
        </w:rPr>
        <w:t xml:space="preserve">“物理缺口闭合但制度风险尚未完全消失”</w:t>
      </w:r>
      <w:r>
        <w:rPr>
          <w:rFonts w:hint="eastAsia"/>
        </w:rPr>
        <w:t xml:space="preserve">条件下的中心路径。</w:t>
      </w:r>
    </w:p>
    <w:p>
      <w:pPr>
        <w:pStyle w:val="CaptionedFigure"/>
      </w:pPr>
      <w:r>
        <w:drawing>
          <wp:inline>
            <wp:extent cx="4907280" cy="3413760"/>
            <wp:effectExtent b="0" l="0" r="0" t="0"/>
            <wp:docPr descr="" title="" id="97" name="Picture"/>
            <a:graphic>
              <a:graphicData uri="http://schemas.openxmlformats.org/drawingml/2006/picture">
                <pic:pic>
                  <pic:nvPicPr>
                    <pic:cNvPr descr="库存与供需缺口风险.png" id="98" name="Picture"/>
                    <pic:cNvPicPr>
                      <a:picLocks noChangeArrowheads="1" noChangeAspect="1"/>
                    </pic:cNvPicPr>
                  </pic:nvPicPr>
                  <pic:blipFill>
                    <a:blip r:embed="rId96"/>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商业库存剩余量与剩余供需缺口变化。悲观情景下缓冲能力下降，二次跳涨风险上升。</w:t>
      </w:r>
    </w:p>
    <w:bookmarkEnd w:id="99"/>
    <w:bookmarkEnd w:id="100"/>
    <w:bookmarkStart w:id="128" w:name="敏感性分析"/>
    <w:p>
      <w:pPr>
        <w:pStyle w:val="Heading1"/>
      </w:pPr>
      <w:r>
        <w:rPr>
          <w:rFonts w:hint="eastAsia"/>
        </w:rPr>
        <w:t xml:space="preserve">敏感性分析</w:t>
      </w:r>
    </w:p>
    <w:bookmarkStart w:id="101" w:name="分析方法"/>
    <w:p>
      <w:pPr>
        <w:pStyle w:val="Heading2"/>
      </w:pPr>
      <w:r>
        <w:rPr>
          <w:rFonts w:hint="eastAsia"/>
        </w:rPr>
        <w:t xml:space="preserve">分析方法</w:t>
      </w:r>
    </w:p>
    <w:p>
      <w:pPr>
        <w:pStyle w:val="FirstParagraph"/>
      </w:pPr>
      <w:r>
        <w:rPr>
          <w:rFonts w:hint="eastAsia"/>
        </w:rPr>
        <w:t xml:space="preserve">敏感性分析以中性情景为基准，对</w:t>
      </w:r>
      <w:r>
        <w:t xml:space="preserve"> 15 </w:t>
      </w:r>
      <w:r>
        <w:rPr>
          <w:rFonts w:hint="eastAsia"/>
        </w:rPr>
        <w:t xml:space="preserve">个关键参数进行单因素扰动，观察第</w:t>
      </w:r>
      <w:r>
        <w:t xml:space="preserve"> 180 </w:t>
      </w:r>
      <w:r>
        <w:rPr>
          <w:rFonts w:hint="eastAsia"/>
        </w:rPr>
        <w:t xml:space="preserve">天价格、外推期最高价、剩余供需缺口和二次跳涨风险变化。除题面物理量和行为参数外，本阶段还把长期机制强度参数单独纳入检验，避免长期结论依赖隐藏常数。综合敏感度定义为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101"/>
    <w:bookmarkStart w:id="105" w:name="参数重要性排序"/>
    <w:p>
      <w:pPr>
        <w:pStyle w:val="Heading2"/>
      </w:pPr>
      <w:r>
        <w:rPr>
          <w:rFonts w:hint="eastAsia"/>
        </w:rPr>
        <w:t xml:space="preserve">参数重要性排序</w:t>
      </w:r>
    </w:p>
    <w:p>
      <w:pPr>
        <w:pStyle w:val="TableCaption"/>
      </w:pPr>
      <w:r>
        <w:rPr>
          <w:rFonts w:hint="eastAsia"/>
        </w:rPr>
        <w:t xml:space="preserve">参数综合敏感度排序</w:t>
      </w:r>
    </w:p>
    <w:tbl>
      <w:tblPr>
        <w:tblStyle w:val="Table"/>
        <w:tblW w:type="auto" w:w="0"/>
        <w:tblLook w:firstRow="1" w:lastRow="0" w:firstColumn="0" w:lastColumn="0" w:noHBand="0" w:noVBand="0" w:val="0020"/>
        <w:tblCaption w:val="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地缘风险权重</w:t>
            </w:r>
          </w:p>
        </w:tc>
        <w:tc>
          <w:tcPr/>
          <w:p>
            <w:pPr>
              <w:pStyle w:val="Compact"/>
              <w:jc w:val="right"/>
            </w:pPr>
            <w:r>
              <w:t xml:space="preserve">13.55</w:t>
            </w:r>
          </w:p>
        </w:tc>
        <w:tc>
          <w:tcPr/>
          <w:p>
            <w:pPr>
              <w:pStyle w:val="Compact"/>
              <w:jc w:val="right"/>
            </w:pPr>
            <w:r>
              <w:t xml:space="preserve">8.40</w:t>
            </w:r>
          </w:p>
        </w:tc>
        <w:tc>
          <w:tcPr/>
          <w:p>
            <w:pPr>
              <w:pStyle w:val="Compact"/>
              <w:jc w:val="right"/>
            </w:pPr>
            <w:r>
              <w:t xml:space="preserve">11.44</w:t>
            </w:r>
          </w:p>
        </w:tc>
      </w:tr>
      <w:tr>
        <w:tc>
          <w:tcPr/>
          <w:p>
            <w:pPr>
              <w:pStyle w:val="Compact"/>
              <w:jc w:val="right"/>
            </w:pPr>
            <w:r>
              <w:t xml:space="preserve">2</w:t>
            </w:r>
          </w:p>
        </w:tc>
        <w:tc>
          <w:tcPr/>
          <w:p>
            <w:pPr>
              <w:pStyle w:val="Compact"/>
              <w:jc w:val="left"/>
            </w:pPr>
            <w:r>
              <w:rPr>
                <w:rFonts w:hint="eastAsia"/>
              </w:rPr>
              <w:t xml:space="preserve">不确定性与制度风险强度</w:t>
            </w:r>
          </w:p>
        </w:tc>
        <w:tc>
          <w:tcPr/>
          <w:p>
            <w:pPr>
              <w:pStyle w:val="Compact"/>
              <w:jc w:val="right"/>
            </w:pPr>
            <w:r>
              <w:t xml:space="preserve">10.02</w:t>
            </w:r>
          </w:p>
        </w:tc>
        <w:tc>
          <w:tcPr/>
          <w:p>
            <w:pPr>
              <w:pStyle w:val="Compact"/>
              <w:jc w:val="right"/>
            </w:pPr>
            <w:r>
              <w:t xml:space="preserve">4.92</w:t>
            </w:r>
          </w:p>
        </w:tc>
        <w:tc>
          <w:tcPr/>
          <w:p>
            <w:pPr>
              <w:pStyle w:val="Compact"/>
              <w:jc w:val="right"/>
            </w:pPr>
            <w:r>
              <w:t xml:space="preserve">11.33</w:t>
            </w:r>
          </w:p>
        </w:tc>
      </w:tr>
      <w:tr>
        <w:tc>
          <w:tcPr/>
          <w:p>
            <w:pPr>
              <w:pStyle w:val="Compact"/>
              <w:jc w:val="right"/>
            </w:pPr>
            <w:r>
              <w:t xml:space="preserve">3</w:t>
            </w:r>
          </w:p>
        </w:tc>
        <w:tc>
          <w:tcPr/>
          <w:p>
            <w:pPr>
              <w:pStyle w:val="Compact"/>
              <w:jc w:val="left"/>
            </w:pPr>
            <w:r>
              <w:rPr>
                <w:rFonts w:hint="eastAsia"/>
              </w:rPr>
              <w:t xml:space="preserve">制度风险占比</w:t>
            </w:r>
          </w:p>
        </w:tc>
        <w:tc>
          <w:tcPr/>
          <w:p>
            <w:pPr>
              <w:pStyle w:val="Compact"/>
              <w:jc w:val="right"/>
            </w:pPr>
            <w:r>
              <w:t xml:space="preserve">6.41</w:t>
            </w:r>
          </w:p>
        </w:tc>
        <w:tc>
          <w:tcPr/>
          <w:p>
            <w:pPr>
              <w:pStyle w:val="Compact"/>
              <w:jc w:val="right"/>
            </w:pPr>
            <w:r>
              <w:t xml:space="preserve">5.04</w:t>
            </w:r>
          </w:p>
        </w:tc>
        <w:tc>
          <w:tcPr/>
          <w:p>
            <w:pPr>
              <w:pStyle w:val="Compact"/>
              <w:jc w:val="right"/>
            </w:pPr>
            <w:r>
              <w:t xml:space="preserve">3.04</w:t>
            </w:r>
          </w:p>
        </w:tc>
      </w:tr>
      <w:tr>
        <w:tc>
          <w:tcPr/>
          <w:p>
            <w:pPr>
              <w:pStyle w:val="Compact"/>
              <w:jc w:val="right"/>
            </w:pPr>
            <w:r>
              <w:t xml:space="preserve">4</w:t>
            </w:r>
          </w:p>
        </w:tc>
        <w:tc>
          <w:tcPr/>
          <w:p>
            <w:pPr>
              <w:pStyle w:val="Compact"/>
              <w:jc w:val="left"/>
            </w:pPr>
            <w:r>
              <w:rPr>
                <w:rFonts w:hint="eastAsia"/>
              </w:rPr>
              <w:t xml:space="preserve">供应中断量</w:t>
            </w:r>
          </w:p>
        </w:tc>
        <w:tc>
          <w:tcPr/>
          <w:p>
            <w:pPr>
              <w:pStyle w:val="Compact"/>
              <w:jc w:val="right"/>
            </w:pPr>
            <w:r>
              <w:t xml:space="preserve">5.95</w:t>
            </w:r>
          </w:p>
        </w:tc>
        <w:tc>
          <w:tcPr/>
          <w:p>
            <w:pPr>
              <w:pStyle w:val="Compact"/>
              <w:jc w:val="right"/>
            </w:pPr>
            <w:r>
              <w:t xml:space="preserve">3.26</w:t>
            </w:r>
          </w:p>
        </w:tc>
        <w:tc>
          <w:tcPr/>
          <w:p>
            <w:pPr>
              <w:pStyle w:val="Compact"/>
              <w:jc w:val="right"/>
            </w:pPr>
            <w:r>
              <w:t xml:space="preserve">5.97</w:t>
            </w:r>
          </w:p>
        </w:tc>
      </w:tr>
      <w:tr>
        <w:tc>
          <w:tcPr/>
          <w:p>
            <w:pPr>
              <w:pStyle w:val="Compact"/>
              <w:jc w:val="right"/>
            </w:pPr>
            <w:r>
              <w:t xml:space="preserve">5</w:t>
            </w:r>
          </w:p>
        </w:tc>
        <w:tc>
          <w:tcPr/>
          <w:p>
            <w:pPr>
              <w:pStyle w:val="Compact"/>
              <w:jc w:val="left"/>
            </w:pPr>
            <w:r>
              <w:rPr>
                <w:rFonts w:hint="eastAsia"/>
              </w:rPr>
              <w:t xml:space="preserve">长期需求弹性</w:t>
            </w:r>
          </w:p>
        </w:tc>
        <w:tc>
          <w:tcPr/>
          <w:p>
            <w:pPr>
              <w:pStyle w:val="Compact"/>
              <w:jc w:val="right"/>
            </w:pPr>
            <w:r>
              <w:t xml:space="preserve">3.86</w:t>
            </w:r>
          </w:p>
        </w:tc>
        <w:tc>
          <w:tcPr/>
          <w:p>
            <w:pPr>
              <w:pStyle w:val="Compact"/>
              <w:jc w:val="right"/>
            </w:pPr>
            <w:r>
              <w:t xml:space="preserve">3.42</w:t>
            </w:r>
          </w:p>
        </w:tc>
        <w:tc>
          <w:tcPr/>
          <w:p>
            <w:pPr>
              <w:pStyle w:val="Compact"/>
              <w:jc w:val="right"/>
            </w:pPr>
            <w:r>
              <w:t xml:space="preserve">0.98</w:t>
            </w:r>
          </w:p>
        </w:tc>
      </w:tr>
      <w:tr>
        <w:tc>
          <w:tcPr/>
          <w:p>
            <w:pPr>
              <w:pStyle w:val="Compact"/>
              <w:jc w:val="right"/>
            </w:pPr>
            <w:r>
              <w:t xml:space="preserve">6</w:t>
            </w:r>
          </w:p>
        </w:tc>
        <w:tc>
          <w:tcPr/>
          <w:p>
            <w:pPr>
              <w:pStyle w:val="Compact"/>
              <w:jc w:val="left"/>
            </w:pPr>
            <w:r>
              <w:rPr>
                <w:rFonts w:hint="eastAsia"/>
              </w:rPr>
              <w:t xml:space="preserve">信心恢复后风险底座</w:t>
            </w:r>
          </w:p>
        </w:tc>
        <w:tc>
          <w:tcPr/>
          <w:p>
            <w:pPr>
              <w:pStyle w:val="Compact"/>
              <w:jc w:val="right"/>
            </w:pPr>
            <w:r>
              <w:t xml:space="preserve">2.28</w:t>
            </w:r>
          </w:p>
        </w:tc>
        <w:tc>
          <w:tcPr/>
          <w:p>
            <w:pPr>
              <w:pStyle w:val="Compact"/>
              <w:jc w:val="right"/>
            </w:pPr>
            <w:r>
              <w:t xml:space="preserve">2.26</w:t>
            </w:r>
          </w:p>
        </w:tc>
        <w:tc>
          <w:tcPr/>
          <w:p>
            <w:pPr>
              <w:pStyle w:val="Compact"/>
              <w:jc w:val="right"/>
            </w:pPr>
            <w:r>
              <w:t xml:space="preserve">0.05</w:t>
            </w:r>
          </w:p>
        </w:tc>
      </w:tr>
      <w:tr>
        <w:tc>
          <w:tcPr/>
          <w:p>
            <w:pPr>
              <w:pStyle w:val="Compact"/>
              <w:jc w:val="right"/>
            </w:pPr>
            <w:r>
              <w:t xml:space="preserve">7</w:t>
            </w:r>
          </w:p>
        </w:tc>
        <w:tc>
          <w:tcPr/>
          <w:p>
            <w:pPr>
              <w:pStyle w:val="Compact"/>
              <w:jc w:val="left"/>
            </w:pPr>
            <w:r>
              <w:rPr>
                <w:rFonts w:hint="eastAsia"/>
              </w:rPr>
              <w:t xml:space="preserve">冲击不确定性占比</w:t>
            </w:r>
          </w:p>
        </w:tc>
        <w:tc>
          <w:tcPr/>
          <w:p>
            <w:pPr>
              <w:pStyle w:val="Compact"/>
              <w:jc w:val="right"/>
            </w:pPr>
            <w:r>
              <w:t xml:space="preserve">2.08</w:t>
            </w:r>
          </w:p>
        </w:tc>
        <w:tc>
          <w:tcPr/>
          <w:p>
            <w:pPr>
              <w:pStyle w:val="Compact"/>
              <w:jc w:val="right"/>
            </w:pPr>
            <w:r>
              <w:t xml:space="preserve">1.26</w:t>
            </w:r>
          </w:p>
        </w:tc>
        <w:tc>
          <w:tcPr/>
          <w:p>
            <w:pPr>
              <w:pStyle w:val="Compact"/>
              <w:jc w:val="right"/>
            </w:pPr>
            <w:r>
              <w:t xml:space="preserve">1.82</w:t>
            </w:r>
          </w:p>
        </w:tc>
      </w:tr>
      <w:tr>
        <w:tc>
          <w:tcPr/>
          <w:p>
            <w:pPr>
              <w:pStyle w:val="Compact"/>
              <w:jc w:val="right"/>
            </w:pPr>
            <w:r>
              <w:t xml:space="preserve">8</w:t>
            </w:r>
          </w:p>
        </w:tc>
        <w:tc>
          <w:tcPr/>
          <w:p>
            <w:pPr>
              <w:pStyle w:val="Compact"/>
              <w:jc w:val="left"/>
            </w:pPr>
            <w:r>
              <w:t xml:space="preserve">SPR </w:t>
            </w:r>
            <w:r>
              <w:rPr>
                <w:rFonts w:hint="eastAsia"/>
              </w:rPr>
              <w:t xml:space="preserve">释放上限</w:t>
            </w:r>
          </w:p>
        </w:tc>
        <w:tc>
          <w:tcPr/>
          <w:p>
            <w:pPr>
              <w:pStyle w:val="Compact"/>
              <w:jc w:val="right"/>
            </w:pPr>
            <w:r>
              <w:t xml:space="preserve">0.90</w:t>
            </w:r>
          </w:p>
        </w:tc>
        <w:tc>
          <w:tcPr/>
          <w:p>
            <w:pPr>
              <w:pStyle w:val="Compact"/>
              <w:jc w:val="right"/>
            </w:pPr>
            <w:r>
              <w:t xml:space="preserve">0.65</w:t>
            </w:r>
          </w:p>
        </w:tc>
        <w:tc>
          <w:tcPr/>
          <w:p>
            <w:pPr>
              <w:pStyle w:val="Compact"/>
              <w:jc w:val="right"/>
            </w:pPr>
            <w:r>
              <w:t xml:space="preserve">0.50</w:t>
            </w:r>
          </w:p>
        </w:tc>
      </w:tr>
      <w:tr>
        <w:tc>
          <w:tcPr/>
          <w:p>
            <w:pPr>
              <w:pStyle w:val="Compact"/>
              <w:jc w:val="right"/>
            </w:pPr>
            <w:r>
              <w:t xml:space="preserve">9</w:t>
            </w:r>
          </w:p>
        </w:tc>
        <w:tc>
          <w:tcPr/>
          <w:p>
            <w:pPr>
              <w:pStyle w:val="Compact"/>
              <w:jc w:val="left"/>
            </w:pPr>
            <w:r>
              <w:rPr>
                <w:rFonts w:hint="eastAsia"/>
              </w:rPr>
              <w:t xml:space="preserve">绕道运输能力</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0.86</w:t>
            </w:r>
          </w:p>
        </w:tc>
      </w:tr>
      <w:tr>
        <w:tc>
          <w:tcPr/>
          <w:p>
            <w:pPr>
              <w:pStyle w:val="Compact"/>
              <w:jc w:val="right"/>
            </w:pPr>
            <w:r>
              <w:t xml:space="preserve">10</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11</w:t>
            </w:r>
          </w:p>
        </w:tc>
        <w:tc>
          <w:tcPr/>
          <w:p>
            <w:pPr>
              <w:pStyle w:val="Compact"/>
              <w:jc w:val="left"/>
            </w:pPr>
            <w:r>
              <w:rPr>
                <w:rFonts w:hint="eastAsia"/>
              </w:rPr>
              <w:t xml:space="preserve">恐慌衰减速度</w:t>
            </w:r>
          </w:p>
        </w:tc>
        <w:tc>
          <w:tcPr/>
          <w:p>
            <w:pPr>
              <w:pStyle w:val="Compact"/>
              <w:jc w:val="right"/>
            </w:pPr>
            <w:r>
              <w:t xml:space="preserve">0.17</w:t>
            </w:r>
          </w:p>
        </w:tc>
        <w:tc>
          <w:tcPr/>
          <w:p>
            <w:pPr>
              <w:pStyle w:val="Compact"/>
              <w:jc w:val="right"/>
            </w:pPr>
            <w:r>
              <w:t xml:space="preserve">0.00</w:t>
            </w:r>
          </w:p>
        </w:tc>
        <w:tc>
          <w:tcPr/>
          <w:p>
            <w:pPr>
              <w:pStyle w:val="Compact"/>
              <w:jc w:val="right"/>
            </w:pPr>
            <w:r>
              <w:t xml:space="preserve">0.37</w:t>
            </w:r>
          </w:p>
        </w:tc>
      </w:tr>
      <w:tr>
        <w:tc>
          <w:tcPr/>
          <w:p>
            <w:pPr>
              <w:pStyle w:val="Compact"/>
              <w:jc w:val="right"/>
            </w:pPr>
            <w:r>
              <w:t xml:space="preserve">12</w:t>
            </w:r>
          </w:p>
        </w:tc>
        <w:tc>
          <w:tcPr/>
          <w:p>
            <w:pPr>
              <w:pStyle w:val="Compact"/>
              <w:jc w:val="left"/>
            </w:pPr>
            <w:r>
              <w:rPr>
                <w:rFonts w:hint="eastAsia"/>
              </w:rPr>
              <w:t xml:space="preserve">过剩供给回归强度</w:t>
            </w:r>
          </w:p>
        </w:tc>
        <w:tc>
          <w:tcPr/>
          <w:p>
            <w:pPr>
              <w:pStyle w:val="Compact"/>
              <w:jc w:val="right"/>
            </w:pPr>
            <w:r>
              <w:t xml:space="preserve">0.12</w:t>
            </w:r>
          </w:p>
        </w:tc>
        <w:tc>
          <w:tcPr/>
          <w:p>
            <w:pPr>
              <w:pStyle w:val="Compact"/>
              <w:jc w:val="right"/>
            </w:pPr>
            <w:r>
              <w:t xml:space="preserve">0.07</w:t>
            </w:r>
          </w:p>
        </w:tc>
        <w:tc>
          <w:tcPr/>
          <w:p>
            <w:pPr>
              <w:pStyle w:val="Compact"/>
              <w:jc w:val="right"/>
            </w:pPr>
            <w:r>
              <w:t xml:space="preserve">0.12</w:t>
            </w:r>
          </w:p>
        </w:tc>
      </w:tr>
      <w:tr>
        <w:tc>
          <w:tcPr/>
          <w:p>
            <w:pPr>
              <w:pStyle w:val="Compact"/>
              <w:jc w:val="right"/>
            </w:pPr>
            <w:r>
              <w:t xml:space="preserve">13</w:t>
            </w:r>
          </w:p>
        </w:tc>
        <w:tc>
          <w:tcPr/>
          <w:p>
            <w:pPr>
              <w:pStyle w:val="Compact"/>
              <w:jc w:val="left"/>
            </w:pPr>
            <w:r>
              <w:t xml:space="preserve">SPR </w:t>
            </w:r>
            <w:r>
              <w:rPr>
                <w:rFonts w:hint="eastAsia"/>
              </w:rPr>
              <w:t xml:space="preserve">启动延迟</w:t>
            </w:r>
          </w:p>
        </w:tc>
        <w:tc>
          <w:tcPr/>
          <w:p>
            <w:pPr>
              <w:pStyle w:val="Compact"/>
              <w:jc w:val="right"/>
            </w:pPr>
            <w:r>
              <w:t xml:space="preserve">0.08</w:t>
            </w:r>
          </w:p>
        </w:tc>
        <w:tc>
          <w:tcPr/>
          <w:p>
            <w:pPr>
              <w:pStyle w:val="Compact"/>
              <w:jc w:val="right"/>
            </w:pPr>
            <w:r>
              <w:t xml:space="preserve">0.00</w:t>
            </w:r>
          </w:p>
        </w:tc>
        <w:tc>
          <w:tcPr/>
          <w:p>
            <w:pPr>
              <w:pStyle w:val="Compact"/>
              <w:jc w:val="right"/>
            </w:pPr>
            <w:r>
              <w:t xml:space="preserve">0.17</w:t>
            </w:r>
          </w:p>
        </w:tc>
      </w:tr>
      <w:tr>
        <w:tc>
          <w:tcPr/>
          <w:p>
            <w:pPr>
              <w:pStyle w:val="Compact"/>
              <w:jc w:val="right"/>
            </w:pPr>
            <w:r>
              <w:t xml:space="preserve">14</w:t>
            </w:r>
          </w:p>
        </w:tc>
        <w:tc>
          <w:tcPr/>
          <w:p>
            <w:pPr>
              <w:pStyle w:val="Compact"/>
              <w:jc w:val="left"/>
            </w:pPr>
            <w:r>
              <w:t xml:space="preserve">SPR </w:t>
            </w:r>
            <w:r>
              <w:rPr>
                <w:rFonts w:hint="eastAsia"/>
              </w:rPr>
              <w:t xml:space="preserve">收缩起点</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r>
        <w:tc>
          <w:tcPr/>
          <w:p>
            <w:pPr>
              <w:pStyle w:val="Compact"/>
              <w:jc w:val="right"/>
            </w:pPr>
            <w:r>
              <w:t xml:space="preserve">15</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p>
      <w:pPr>
        <w:pStyle w:val="CaptionedFigure"/>
      </w:pPr>
      <w:r>
        <w:drawing>
          <wp:inline>
            <wp:extent cx="4907280" cy="2998893"/>
            <wp:effectExtent b="0" l="0" r="0" t="0"/>
            <wp:docPr descr="" title="" id="103" name="Picture"/>
            <a:graphic>
              <a:graphicData uri="http://schemas.openxmlformats.org/drawingml/2006/picture">
                <pic:pic>
                  <pic:nvPicPr>
                    <pic:cNvPr descr="参数敏感性龙卷风图.png" id="104" name="Picture"/>
                    <pic:cNvPicPr>
                      <a:picLocks noChangeArrowheads="1" noChangeAspect="1"/>
                    </pic:cNvPicPr>
                  </pic:nvPicPr>
                  <pic:blipFill>
                    <a:blip r:embed="rId102"/>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关键参数综合敏感度排序。</w:t>
      </w:r>
    </w:p>
    <w:p>
      <w:pPr>
        <w:pStyle w:val="BodyText"/>
      </w:pPr>
      <w:r>
        <w:rPr>
          <w:rFonts w:hint="eastAsia"/>
        </w:rPr>
        <w:t xml:space="preserve">敏感性分析表明，第</w:t>
      </w:r>
      <w:r>
        <w:t xml:space="preserve"> 180 </w:t>
      </w:r>
      <w:r>
        <w:rPr>
          <w:rFonts w:hint="eastAsia"/>
        </w:rPr>
        <w:t xml:space="preserve">天终点价格对市场价格形成层最敏感，尤其是地缘风险权重和不确定性与制度风险强度；供应中断量决定价格上行压力的物理底座。新增的长期机制透明层中，制度风险占比和信心恢复后风险底座具有可观影响，说明长期价格能否回落，关键在于市场是否相信封锁状态会被制度化吸收，而不只是</w:t>
      </w:r>
      <w:r>
        <w:t xml:space="preserve"> SPR </w:t>
      </w:r>
      <w:r>
        <w:rPr>
          <w:rFonts w:hint="eastAsia"/>
        </w:rPr>
        <w:t xml:space="preserve">能放多少。长期需求弹性也具有较高影响，因为它决定高价持续后需求侧能否真正完成再平衡。SPR</w:t>
      </w:r>
      <w:r>
        <w:t xml:space="preserve"> </w:t>
      </w:r>
      <w:r>
        <w:rPr>
          <w:rFonts w:hint="eastAsia"/>
        </w:rPr>
        <w:t xml:space="preserve">释放、启动延迟、SPR</w:t>
      </w:r>
      <w:r>
        <w:t xml:space="preserve"> </w:t>
      </w:r>
      <w:r>
        <w:rPr>
          <w:rFonts w:hint="eastAsia"/>
        </w:rPr>
        <w:t xml:space="preserve">收缩起点和绕道运输在中性路径下对第</w:t>
      </w:r>
      <w:r>
        <w:t xml:space="preserve"> 180 </w:t>
      </w:r>
      <w:r>
        <w:rPr>
          <w:rFonts w:hint="eastAsia"/>
        </w:rPr>
        <w:t xml:space="preserve">天终点价影响相对较小，但会改变外推期峰值、缺口闭合速度和二次跳涨幅度，因此更适合被解释为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105"/>
    <w:bookmarkStart w:id="109"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释放不足、绕道运输恢复慢、长期需求弹性偏低、制度风险溢价偏高等因素可能共同出现。因此，本文进一步建立蒙特卡洛情景树，在赛题边界和敏感性扰动范围内对关键参数进行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4.6%</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0.0%</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0.1%</w:t>
            </w:r>
          </w:p>
        </w:tc>
      </w:tr>
      <w:tr>
        <w:tc>
          <w:tcPr/>
          <w:p>
            <w:pPr>
              <w:pStyle w:val="Compact"/>
              <w:jc w:val="left"/>
            </w:pPr>
            <w:r>
              <w:rPr>
                <w:rFonts w:hint="eastAsia"/>
              </w:rPr>
              <w:t xml:space="preserve">二次跳涨风险为高概率</w:t>
            </w:r>
          </w:p>
        </w:tc>
        <w:tc>
          <w:tcPr/>
          <w:p>
            <w:pPr>
              <w:pStyle w:val="Compact"/>
              <w:jc w:val="right"/>
            </w:pPr>
            <w:r>
              <w:t xml:space="preserve">1.2%</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87.67</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92.85</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101.01</w:t>
            </w:r>
          </w:p>
        </w:tc>
      </w:tr>
      <w:tr>
        <w:tc>
          <w:tcPr/>
          <w:p>
            <w:pPr>
              <w:pStyle w:val="Compact"/>
              <w:jc w:val="left"/>
            </w:pPr>
            <w:r>
              <w:rPr>
                <w:rFonts w:hint="eastAsia"/>
              </w:rPr>
              <w:t xml:space="preserve">外推期最高价</w:t>
            </w:r>
            <w:r>
              <w:t xml:space="preserve"> P95</w:t>
            </w:r>
          </w:p>
        </w:tc>
        <w:tc>
          <w:tcPr/>
          <w:p>
            <w:pPr>
              <w:pStyle w:val="Compact"/>
              <w:jc w:val="right"/>
            </w:pPr>
            <w:r>
              <w:t xml:space="preserve">119.62</w:t>
            </w:r>
          </w:p>
        </w:tc>
      </w:tr>
    </w:tbl>
    <w:p>
      <w:pPr>
        <w:pStyle w:val="CaptionedFigure"/>
      </w:pPr>
      <w:r>
        <w:drawing>
          <wp:inline>
            <wp:extent cx="4160520" cy="2352876"/>
            <wp:effectExtent b="0" l="0" r="0" t="0"/>
            <wp:docPr descr="" title="" id="107" name="Picture"/>
            <a:graphic>
              <a:graphicData uri="http://schemas.openxmlformats.org/drawingml/2006/picture">
                <pic:pic>
                  <pic:nvPicPr>
                    <pic:cNvPr descr="蒙特卡洛尾部风险概率.png" id="108" name="Picture"/>
                    <pic:cNvPicPr>
                      <a:picLocks noChangeArrowheads="1" noChangeAspect="1"/>
                    </pic:cNvPicPr>
                  </pic:nvPicPr>
                  <pic:blipFill>
                    <a:blip r:embed="rId106"/>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w:t>
      </w:r>
    </w:p>
    <w:p>
      <w:pPr>
        <w:pStyle w:val="BodyText"/>
      </w:pPr>
      <w:r>
        <w:rPr>
          <w:rFonts w:hint="eastAsia"/>
        </w:rPr>
        <w:t xml:space="preserve">结果表明，蒙特卡洛路径的第</w:t>
      </w:r>
      <w:r>
        <w:t xml:space="preserve"> 180 </w:t>
      </w:r>
      <w:r>
        <w:rPr>
          <w:rFonts w:hint="eastAsia"/>
        </w:rPr>
        <w:t xml:space="preserve">天中位数价格为</w:t>
      </w:r>
      <w:r>
        <w:t xml:space="preserve"> 92.85 </w:t>
      </w:r>
      <w:r>
        <w:rPr>
          <w:rFonts w:hint="eastAsia"/>
        </w:rPr>
        <w:t xml:space="preserve">美元/桶，与中性情景的</w:t>
      </w:r>
      <w:r>
        <w:t xml:space="preserve"> 92.43 </w:t>
      </w:r>
      <w:r>
        <w:rPr>
          <w:rFonts w:hint="eastAsia"/>
        </w:rPr>
        <w:t xml:space="preserve">美元/桶高度接近，说明中性路径不是孤立的单点调参结果。与此同时，外推期最高价突破</w:t>
      </w:r>
      <w:r>
        <w:t xml:space="preserve"> 120 </w:t>
      </w:r>
      <w:r>
        <w:rPr>
          <w:rFonts w:hint="eastAsia"/>
        </w:rPr>
        <w:t xml:space="preserve">美元/桶的概率仍有</w:t>
      </w:r>
      <w:r>
        <w:t xml:space="preserve"> </w:t>
      </w:r>
      <w:r>
        <w:rPr>
          <w:rFonts w:hint="eastAsia"/>
        </w:rPr>
        <w:t xml:space="preserve">4.6%，且高压尾部路径中突破</w:t>
      </w:r>
      <w:r>
        <w:t xml:space="preserve"> 120 </w:t>
      </w:r>
      <w:r>
        <w:rPr>
          <w:rFonts w:hint="eastAsia"/>
        </w:rPr>
        <w:t xml:space="preserve">美元/桶的概率达到</w:t>
      </w:r>
      <w:r>
        <w:t xml:space="preserve"> </w:t>
      </w:r>
      <w:r>
        <w:rPr>
          <w:rFonts w:hint="eastAsia"/>
        </w:rPr>
        <w:t xml:space="preserve">21.1%。这说明长期风险的重点不是中性点预测本身，而是多因素联动恶化下的尾部组合风险。</w:t>
      </w:r>
    </w:p>
    <w:bookmarkEnd w:id="109"/>
    <w:bookmarkStart w:id="113" w:name="状态转移扰动检验"/>
    <w:p>
      <w:pPr>
        <w:pStyle w:val="Heading2"/>
      </w:pPr>
      <w:r>
        <w:rPr>
          <w:rFonts w:hint="eastAsia"/>
        </w:rPr>
        <w:t xml:space="preserve">状态转移扰动检验</w:t>
      </w:r>
    </w:p>
    <w:p>
      <w:pPr>
        <w:pStyle w:val="FirstParagraph"/>
      </w:pPr>
      <w:r>
        <w:rPr>
          <w:rFonts w:hint="eastAsia"/>
        </w:rPr>
        <w:t xml:space="preserve">蒙特卡洛情景树主要扰动参数，而状态转移情景树主要扰动事件状态。设长期状态变量</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rPr>
          <w:rFonts w:hint="eastAsia"/>
        </w:rPr>
        <w:t xml:space="preserve">，分别表示缓和、维持和升级三类状态，其转移概率满足</w:t>
      </w:r>
    </w:p>
    <w:p>
      <w:pPr>
        <w:pStyle w:val="BodyText"/>
      </w:pPr>
      <m:oMathPara>
        <m:oMathParaPr>
          <m:jc m:val="center"/>
        </m:oMathParaPr>
        <m:oMath>
          <m:r>
            <m:rPr>
              <m:sty m:val="p"/>
            </m:rPr>
            <m:t>Pr</m:t>
          </m:r>
          <m:r>
            <m:rPr>
              <m:sty m:val="p"/>
            </m:rPr>
            <m:t>(</m:t>
          </m:r>
          <m:sSub>
            <m:e>
              <m:r>
                <m:t>Z</m:t>
              </m:r>
            </m:e>
            <m:sub>
              <m:r>
                <m:t>t</m:t>
              </m:r>
              <m:r>
                <m:rPr>
                  <m:sty m:val="p"/>
                </m:rPr>
                <m:t>+</m:t>
              </m:r>
              <m:r>
                <m:t>1</m:t>
              </m:r>
            </m:sub>
          </m:sSub>
          <m:r>
            <m:rPr>
              <m:sty m:val="p"/>
            </m:rPr>
            <m:t>=</m:t>
          </m:r>
          <m:r>
            <m:t>j</m:t>
          </m:r>
          <m:r>
            <m:rPr>
              <m:sty m:val="p"/>
            </m:rPr>
            <m:t>∣</m:t>
          </m:r>
          <m:sSub>
            <m:e>
              <m:r>
                <m:t>Z</m:t>
              </m:r>
            </m:e>
            <m:sub>
              <m:r>
                <m:t>t</m:t>
              </m:r>
            </m:sub>
          </m:sSub>
          <m:r>
            <m:rPr>
              <m:sty m:val="p"/>
            </m:rPr>
            <m:t>=</m:t>
          </m:r>
          <m:r>
            <m:t>i</m:t>
          </m:r>
          <m:r>
            <m:rPr>
              <m:sty m:val="p"/>
            </m:rPr>
            <m:t>)</m:t>
          </m:r>
          <m:r>
            <m:rPr>
              <m:sty m:val="p"/>
            </m:rPr>
            <m:t>=</m:t>
          </m:r>
          <m:sSub>
            <m:e>
              <m:r>
                <m:t>m</m:t>
              </m:r>
            </m:e>
            <m:sub>
              <m:r>
                <m:t>i</m:t>
              </m:r>
              <m:r>
                <m:t>j</m:t>
              </m:r>
            </m:sub>
          </m:sSub>
          <m:r>
            <m:rPr>
              <m:sty m:val="p"/>
            </m:rPr>
            <m:t>(</m:t>
          </m:r>
          <m:r>
            <m:t>t</m:t>
          </m:r>
          <m:r>
            <m:rPr>
              <m:sty m:val="p"/>
            </m:rPr>
            <m:t>)</m:t>
          </m:r>
          <m:r>
            <m:rPr>
              <m:sty m:val="p"/>
            </m:rPr>
            <m:t>,</m:t>
          </m:r>
        </m:oMath>
      </m:oMathPara>
    </w:p>
    <w:p>
      <w:pPr>
        <w:pStyle w:val="FirstParagraph"/>
      </w:pPr>
      <w:r>
        <w:rPr>
          <w:rFonts w:hint="eastAsia"/>
        </w:rPr>
        <w:t xml:space="preserve">其中</w:t>
      </w:r>
      <w:r>
        <w:t xml:space="preserve"> </w:t>
      </w:r>
      <m:oMath>
        <m:sSub>
          <m:e>
            <m:r>
              <m:t>m</m:t>
            </m:r>
          </m:e>
          <m:sub>
            <m:r>
              <m:t>i</m:t>
            </m:r>
            <m:r>
              <m:t>j</m:t>
            </m:r>
          </m:sub>
        </m:sSub>
        <m:r>
          <m:rPr>
            <m:sty m:val="p"/>
          </m:rPr>
          <m:t>(</m:t>
        </m:r>
        <m:r>
          <m:t>t</m:t>
        </m:r>
        <m:r>
          <m:rPr>
            <m:sty m:val="p"/>
          </m:rPr>
          <m:t>)</m:t>
        </m:r>
      </m:oMath>
      <w:r>
        <w:t xml:space="preserve"> </w:t>
      </w:r>
      <w:r>
        <w:rPr>
          <w:rFonts w:hint="eastAsia"/>
        </w:rPr>
        <w:t xml:space="preserve">允许随封锁持续时间缓慢偏向缓和状态，表示市场逐步观察到政策缓冲和替代运输效果。给定状态</w:t>
      </w:r>
      <w:r>
        <w:t xml:space="preserve"> </w:t>
      </w:r>
      <m:oMath>
        <m:sSub>
          <m:e>
            <m:r>
              <m:t>Z</m:t>
            </m:r>
          </m:e>
          <m:sub>
            <m:r>
              <m:t>t</m:t>
            </m:r>
          </m:sub>
        </m:sSub>
      </m:oMath>
      <w:r>
        <w:t xml:space="preserve"> </w:t>
      </w:r>
      <w:r>
        <w:rPr>
          <w:rFonts w:hint="eastAsia"/>
        </w:rPr>
        <w:t xml:space="preserve">后，价格不直接等于某条三情景曲线，而是向相应中心路径</w:t>
      </w:r>
      <w:r>
        <w:t xml:space="preserve"> </w:t>
      </w:r>
      <m:oMath>
        <m:sSub>
          <m:e>
            <m:acc>
              <m:accPr>
                <m:chr m:val="‾"/>
              </m:accPr>
              <m:e>
                <m:r>
                  <m:t>P</m:t>
                </m:r>
              </m:e>
            </m:acc>
          </m:e>
          <m:sub>
            <m:r>
              <m:t>t</m:t>
            </m:r>
          </m:sub>
        </m:sSub>
        <m:r>
          <m:rPr>
            <m:sty m:val="p"/>
          </m:rPr>
          <m:t>(</m:t>
        </m:r>
        <m:sSub>
          <m:e>
            <m:r>
              <m:t>Z</m:t>
            </m:r>
          </m:e>
          <m:sub>
            <m:r>
              <m:t>t</m:t>
            </m:r>
          </m:sub>
        </m:sSub>
        <m:r>
          <m:rPr>
            <m:sty m:val="p"/>
          </m:rPr>
          <m:t>)</m:t>
        </m:r>
      </m:oMath>
      <w:r>
        <w:t xml:space="preserve"> </w:t>
      </w:r>
      <w:r>
        <w:rPr>
          <w:rFonts w:hint="eastAsia"/>
        </w:rPr>
        <w:t xml:space="preserve">均值回复：</w:t>
      </w:r>
    </w:p>
    <w:p>
      <w:pPr>
        <w:pStyle w:val="BodyText"/>
      </w:pPr>
      <m:oMathPara>
        <m:oMathParaPr>
          <m:jc m:val="center"/>
        </m:oMathParaPr>
        <m:oMath>
          <m:sSubSup>
            <m:e>
              <m:r>
                <m:t>P</m:t>
              </m:r>
            </m:e>
            <m:sub>
              <m:r>
                <m:t>t</m:t>
              </m:r>
            </m:sub>
            <m:sup>
              <m:r>
                <m:rPr>
                  <m:sty m:val="p"/>
                </m:rPr>
                <m:t>(</m:t>
              </m:r>
              <m:r>
                <m:t>s</m:t>
              </m:r>
              <m:r>
                <m:rPr>
                  <m:sty m:val="p"/>
                </m:rPr>
                <m:t>)</m:t>
              </m:r>
            </m:sup>
          </m:sSubSup>
          <m:r>
            <m:rPr>
              <m:sty m:val="p"/>
            </m:rPr>
            <m:t>=</m:t>
          </m:r>
          <m:r>
            <m:t>0.82</m:t>
          </m:r>
          <m:sSubSup>
            <m:e>
              <m:r>
                <m:t>P</m:t>
              </m:r>
            </m:e>
            <m:sub>
              <m:r>
                <m:t>t</m:t>
              </m:r>
              <m:r>
                <m:rPr>
                  <m:sty m:val="p"/>
                </m:rPr>
                <m:t>−</m:t>
              </m:r>
              <m:r>
                <m:t>1</m:t>
              </m:r>
            </m:sub>
            <m:sup>
              <m:r>
                <m:rPr>
                  <m:sty m:val="p"/>
                </m:rPr>
                <m:t>(</m:t>
              </m:r>
              <m:r>
                <m:t>s</m:t>
              </m:r>
              <m:r>
                <m:rPr>
                  <m:sty m:val="p"/>
                </m:rPr>
                <m:t>)</m:t>
              </m:r>
            </m:sup>
          </m:sSubSup>
          <m:r>
            <m:rPr>
              <m:sty m:val="p"/>
            </m:rPr>
            <m:t>+</m:t>
          </m:r>
          <m:r>
            <m:t>0.18</m:t>
          </m:r>
          <m:sSub>
            <m:e>
              <m:acc>
                <m:accPr>
                  <m:chr m:val="‾"/>
                </m:accPr>
                <m:e>
                  <m:r>
                    <m:t>P</m:t>
                  </m:r>
                </m:e>
              </m:acc>
            </m:e>
            <m:sub>
              <m:r>
                <m:t>t</m:t>
              </m:r>
            </m:sub>
          </m:sSub>
          <m:r>
            <m:rPr>
              <m:sty m:val="p"/>
            </m:rPr>
            <m:t>(</m:t>
          </m:r>
          <m:sSub>
            <m:e>
              <m:r>
                <m:t>Z</m:t>
              </m:r>
            </m:e>
            <m:sub>
              <m:r>
                <m:t>t</m:t>
              </m:r>
            </m:sub>
          </m:sSub>
          <m:r>
            <m:rPr>
              <m:sty m:val="p"/>
            </m:rPr>
            <m:t>)</m:t>
          </m:r>
          <m:r>
            <m:rPr>
              <m:sty m:val="p"/>
            </m:rPr>
            <m:t>+</m:t>
          </m:r>
          <m:sSub>
            <m:e>
              <m:r>
                <m:t>u</m:t>
              </m:r>
            </m:e>
            <m:sub>
              <m:r>
                <m:t>t</m:t>
              </m:r>
            </m:sub>
          </m:sSub>
          <m:r>
            <m:rPr>
              <m:sty m:val="p"/>
            </m:rPr>
            <m:t>(</m:t>
          </m:r>
          <m:sSub>
            <m:e>
              <m:r>
                <m:t>Z</m:t>
              </m:r>
            </m:e>
            <m:sub>
              <m:r>
                <m:t>t</m:t>
              </m:r>
            </m:sub>
          </m:sSub>
          <m:r>
            <m:rPr>
              <m:sty m:val="p"/>
            </m:rPr>
            <m:t>)</m:t>
          </m:r>
          <m:r>
            <m:rPr>
              <m:sty m:val="p"/>
            </m:rPr>
            <m:t>+</m:t>
          </m:r>
          <m:sSub>
            <m:e>
              <m:r>
                <m:t>η</m:t>
              </m:r>
            </m:e>
            <m:sub>
              <m:r>
                <m:t>t</m:t>
              </m:r>
            </m:sub>
          </m:sSub>
          <m:r>
            <m:rPr>
              <m:sty m:val="p"/>
            </m:rPr>
            <m:t>(</m:t>
          </m:r>
          <m:sSub>
            <m:e>
              <m:r>
                <m:t>Z</m:t>
              </m:r>
            </m:e>
            <m:sub>
              <m:r>
                <m:t>t</m:t>
              </m:r>
              <m:r>
                <m:rPr>
                  <m:sty m:val="p"/>
                </m:rPr>
                <m:t>−</m:t>
              </m:r>
              <m:r>
                <m:t>1</m:t>
              </m:r>
            </m:sub>
          </m:sSub>
          <m:r>
            <m:rPr>
              <m:sty m:val="p"/>
            </m:rPr>
            <m:t>,</m:t>
          </m:r>
          <m:sSub>
            <m:e>
              <m:r>
                <m:t>Z</m:t>
              </m:r>
            </m:e>
            <m:sub>
              <m:r>
                <m:t>t</m:t>
              </m:r>
            </m:sub>
          </m:sSub>
          <m:r>
            <m:rPr>
              <m:sty m:val="p"/>
            </m:rPr>
            <m:t>)</m:t>
          </m:r>
          <m:r>
            <m:rPr>
              <m:sty m:val="p"/>
            </m:rPr>
            <m:t>,</m:t>
          </m:r>
        </m:oMath>
      </m:oMathPara>
    </w:p>
    <w:p>
      <w:pPr>
        <w:pStyle w:val="FirstParagraph"/>
      </w:pPr>
      <w:r>
        <w:rPr>
          <w:rFonts w:hint="eastAsia"/>
        </w:rPr>
        <w:t xml:space="preserve">其中</w:t>
      </w:r>
      <w:r>
        <w:t xml:space="preserve"> </w:t>
      </w:r>
      <m:oMath>
        <m:sSub>
          <m:e>
            <m:r>
              <m:t>u</m:t>
            </m:r>
          </m:e>
          <m:sub>
            <m:r>
              <m:t>t</m:t>
            </m:r>
          </m:sub>
        </m:sSub>
      </m:oMath>
      <w:r>
        <w:t xml:space="preserve"> </w:t>
      </w:r>
      <w:r>
        <w:rPr>
          <w:rFonts w:hint="eastAsia"/>
        </w:rPr>
        <w:t xml:space="preserve">为由附件历史波动估计的保守扰动项，</w:t>
      </w:r>
      <m:oMath>
        <m:sSub>
          <m:e>
            <m:r>
              <m:t>η</m:t>
            </m:r>
          </m:e>
          <m:sub>
            <m:r>
              <m:t>t</m:t>
            </m:r>
          </m:sub>
        </m:sSub>
      </m:oMath>
      <w:r>
        <w:t xml:space="preserve"> </w:t>
      </w:r>
      <w:r>
        <w:rPr>
          <w:rFonts w:hint="eastAsia"/>
        </w:rPr>
        <w:t xml:space="preserve">为状态切换时的跳变项。该设定的含义是：长期物理机制决定价格中枢，事件状态切换决定价格围绕中枢的震荡和局部跳变。</w:t>
      </w:r>
    </w:p>
    <w:p>
      <w:pPr>
        <w:pStyle w:val="BodyText"/>
      </w:pPr>
      <w:r>
        <w:rPr>
          <w:rFonts w:hint="eastAsia"/>
        </w:rPr>
        <w:t xml:space="preserve">本检验共生成</w:t>
      </w:r>
      <w:r>
        <w:t xml:space="preserve"> 3000 </w:t>
      </w:r>
      <w:r>
        <w:rPr>
          <w:rFonts w:hint="eastAsia"/>
        </w:rPr>
        <w:t xml:space="preserve">条状态转移路径。结果显示，第</w:t>
      </w:r>
      <w:r>
        <w:t xml:space="preserve"> 180 </w:t>
      </w:r>
      <w:r>
        <w:rPr>
          <w:rFonts w:hint="eastAsia"/>
        </w:rPr>
        <w:t xml:space="preserve">天价格中位数为</w:t>
      </w:r>
      <w:r>
        <w:t xml:space="preserve"> 88.59 </w:t>
      </w:r>
      <w:r>
        <w:rPr>
          <w:rFonts w:hint="eastAsia"/>
        </w:rPr>
        <w:t xml:space="preserve">美元/桶，5%–95%</w:t>
      </w:r>
      <w:r>
        <w:t xml:space="preserve"> </w:t>
      </w:r>
      <w:r>
        <w:rPr>
          <w:rFonts w:hint="eastAsia"/>
        </w:rPr>
        <w:t xml:space="preserve">条件区间为</w:t>
      </w:r>
      <w:r>
        <w:t xml:space="preserve"> 85.43–93.99 </w:t>
      </w:r>
      <w:r>
        <w:rPr>
          <w:rFonts w:hint="eastAsia"/>
        </w:rPr>
        <w:t xml:space="preserve">美元/桶；外推期最高价</w:t>
      </w:r>
      <w:r>
        <w:t xml:space="preserve"> P95 </w:t>
      </w:r>
      <w:r>
        <w:rPr>
          <w:rFonts w:hint="eastAsia"/>
        </w:rPr>
        <w:t xml:space="preserve">为</w:t>
      </w:r>
      <w:r>
        <w:t xml:space="preserve"> 124.61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15.6%，突破</w:t>
      </w:r>
      <w:r>
        <w:t xml:space="preserve"> 130 </w:t>
      </w:r>
      <w:r>
        <w:rPr>
          <w:rFonts w:hint="eastAsia"/>
        </w:rPr>
        <w:t xml:space="preserve">美元/桶的条件概率为</w:t>
      </w:r>
      <w:r>
        <w:t xml:space="preserve"> </w:t>
      </w:r>
      <w:r>
        <w:rPr>
          <w:rFonts w:hint="eastAsia"/>
        </w:rPr>
        <w:t xml:space="preserve">0.9%。这说明状态切换确实会放大外推期局部峰值，但不会推翻</w:t>
      </w:r>
      <w:r>
        <w:rPr>
          <w:rFonts w:hint="eastAsia"/>
        </w:rPr>
        <w:t xml:space="preserve">“中性平衡点回落、悲观尾部保留”</w:t>
      </w:r>
      <w:r>
        <w:rPr>
          <w:rFonts w:hint="eastAsia"/>
        </w:rPr>
        <w:t xml:space="preserve">的主结论。也就是说，长期模型的可信表达不应是</w:t>
      </w:r>
      <w:r>
        <w:rPr>
          <w:rFonts w:hint="eastAsia"/>
        </w:rPr>
        <w:t xml:space="preserve">“我能精确预测每天油价”</w:t>
      </w:r>
      <w:r>
        <w:rPr>
          <w:rFonts w:hint="eastAsia"/>
        </w:rPr>
        <w:t xml:space="preserve">，而应是</w:t>
      </w:r>
      <w:r>
        <w:rPr>
          <w:rFonts w:hint="eastAsia"/>
        </w:rPr>
        <w:t xml:space="preserve">“在不同冲突状态下给出可解释的中心、区间和尾部风险”</w:t>
      </w:r>
      <w:r>
        <w:t xml:space="preserve">。</w:t>
      </w:r>
    </w:p>
    <w:p>
      <w:pPr>
        <w:pStyle w:val="CaptionedFigure"/>
      </w:pPr>
      <w:r>
        <w:drawing>
          <wp:inline>
            <wp:extent cx="4907280" cy="2846222"/>
            <wp:effectExtent b="0" l="0" r="0" t="0"/>
            <wp:docPr descr="" title="" id="111" name="Picture"/>
            <a:graphic>
              <a:graphicData uri="http://schemas.openxmlformats.org/drawingml/2006/picture">
                <pic:pic>
                  <pic:nvPicPr>
                    <pic:cNvPr descr="R长期状态转移扇形图.png" id="112" name="Picture"/>
                    <pic:cNvPicPr>
                      <a:picLocks noChangeArrowheads="1" noChangeAspect="1"/>
                    </pic:cNvPicPr>
                  </pic:nvPicPr>
                  <pic:blipFill>
                    <a:blip r:embed="rId110"/>
                    <a:stretch>
                      <a:fillRect/>
                    </a:stretch>
                  </pic:blipFill>
                  <pic:spPr bwMode="auto">
                    <a:xfrm>
                      <a:off x="0" y="0"/>
                      <a:ext cx="4907280" cy="284622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长期状态转移区间预测。双层阴影分别表示</w:t>
      </w:r>
      <w:r>
        <w:t xml:space="preserve"> 5%–95% </w:t>
      </w:r>
      <w:r>
        <w:rPr>
          <w:rFonts w:hint="eastAsia"/>
        </w:rPr>
        <w:t xml:space="preserve">和</w:t>
      </w:r>
      <w:r>
        <w:t xml:space="preserve"> 25%–75% </w:t>
      </w:r>
      <w:r>
        <w:rPr>
          <w:rFonts w:hint="eastAsia"/>
        </w:rPr>
        <w:t xml:space="preserve">条件区间，虚线为原中性中心路径。</w:t>
      </w:r>
    </w:p>
    <w:bookmarkEnd w:id="113"/>
    <w:bookmarkStart w:id="120" w:name="滞后地缘风险指数审计"/>
    <w:p>
      <w:pPr>
        <w:pStyle w:val="Heading2"/>
      </w:pPr>
      <w:r>
        <w:rPr>
          <w:rFonts w:hint="eastAsia"/>
        </w:rPr>
        <w:t xml:space="preserve">滞后地缘风险指数审计</w:t>
      </w:r>
    </w:p>
    <w:p>
      <w:pPr>
        <w:pStyle w:val="FirstParagraph"/>
      </w:pPr>
      <w:r>
        <w:rPr>
          <w:rFonts w:hint="eastAsia"/>
        </w:rPr>
        <w:t xml:space="preserve">综合机制递推模型中包含地缘风险权重和恐慌衰减项。若直接用新闻情绪或风险指数解释同日油价，容易被质疑存在反向因果：油价上涨可能先刺激媒体报道增加，随后模型又用新闻恐慌解释油价上涨。为避免这种内生性循环，本文不把新闻爬虫数据作为短期模型输入，而是使用</w:t>
      </w:r>
      <w:r>
        <w:t xml:space="preserve"> Caldara-Iacoviello GPR </w:t>
      </w:r>
      <w:r>
        <w:rPr>
          <w:rFonts w:hint="eastAsia"/>
        </w:rPr>
        <w:t xml:space="preserve">月度指数做外部审计，并采用滞后一期口径。</w:t>
      </w:r>
    </w:p>
    <w:p>
      <w:pPr>
        <w:pStyle w:val="TableCaption"/>
      </w:pPr>
      <w:r>
        <w:rPr>
          <w:rFonts w:hint="eastAsia"/>
        </w:rPr>
        <w:t xml:space="preserve">滞后</w:t>
      </w:r>
      <w:r>
        <w:t xml:space="preserve"> GPR </w:t>
      </w:r>
      <w:r>
        <w:rPr>
          <w:rFonts w:hint="eastAsia"/>
        </w:rPr>
        <w:t xml:space="preserve">风险审计指标</w:t>
      </w:r>
    </w:p>
    <w:tbl>
      <w:tblPr>
        <w:tblStyle w:val="Table"/>
        <w:tblW w:type="auto" w:w="0"/>
        <w:tblLook w:firstRow="1" w:lastRow="0" w:firstColumn="0" w:lastColumn="0" w:noHBand="0" w:noVBand="0" w:val="0020"/>
        <w:tblCaption w:val="滞后 GPR 风险审计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115" name="Picture"/>
            <a:graphic>
              <a:graphicData uri="http://schemas.openxmlformats.org/drawingml/2006/picture">
                <pic:pic>
                  <pic:nvPicPr>
                    <pic:cNvPr descr="地缘风险指数滞后审计.png" id="116" name="Picture"/>
                    <pic:cNvPicPr>
                      <a:picLocks noChangeArrowheads="1" noChangeAspect="1"/>
                    </pic:cNvPicPr>
                  </pic:nvPicPr>
                  <pic:blipFill>
                    <a:blip r:embed="rId114"/>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地缘风险指数审计：同步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18" name="Picture"/>
            <a:graphic>
              <a:graphicData uri="http://schemas.openxmlformats.org/drawingml/2006/picture">
                <pic:pic>
                  <pic:nvPicPr>
                    <pic:cNvPr descr="滞后GPR与布伦特收益关系.png" id="119" name="Picture"/>
                    <pic:cNvPicPr>
                      <a:picLocks noChangeArrowheads="1" noChangeAspect="1"/>
                    </pic:cNvPicPr>
                  </pic:nvPicPr>
                  <pic:blipFill>
                    <a:blip r:embed="rId117"/>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更适合作为风险溢价外部审计，而非单独点预测模型。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处于历史高分位，说明模型中的地缘风险溢价不是凭空设定，而有外部风险指数支撑。第二，滞后</w:t>
      </w:r>
      <w:r>
        <w:t xml:space="preserve"> GPR </w:t>
      </w:r>
      <w:r>
        <w:rPr>
          <w:rFonts w:hint="eastAsia"/>
        </w:rPr>
        <w:t xml:space="preserve">对月度收益的解释力有限，因此本文不将其直接加入短期拟合，也不把风险指数写成</w:t>
      </w:r>
      <w:r>
        <w:rPr>
          <w:rFonts w:hint="eastAsia"/>
        </w:rPr>
        <w:t xml:space="preserve">“预测油价上涨的神奇变量”</w:t>
      </w:r>
      <w:r>
        <w:rPr>
          <w:rFonts w:hint="eastAsia"/>
        </w:rPr>
        <w:t xml:space="preserve">。这使模型在风险解释和内生性防御之间保持较稳妥的边界。</w:t>
      </w:r>
    </w:p>
    <w:bookmarkEnd w:id="120"/>
    <w:bookmarkStart w:id="127"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22" name="Picture"/>
            <a:graphic>
              <a:graphicData uri="http://schemas.openxmlformats.org/drawingml/2006/picture">
                <pic:pic>
                  <pic:nvPicPr>
                    <pic:cNvPr descr="历史窗口极端性检验.png" id="123" name="Picture"/>
                    <pic:cNvPicPr>
                      <a:picLocks noChangeArrowheads="1" noChangeAspect="1"/>
                    </pic:cNvPicPr>
                  </pic:nvPicPr>
                  <pic:blipFill>
                    <a:blip r:embed="rId121"/>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800600" cy="2351314"/>
            <wp:effectExtent b="0" l="0" r="0" t="0"/>
            <wp:docPr descr="" title="" id="125" name="Picture"/>
            <a:graphic>
              <a:graphicData uri="http://schemas.openxmlformats.org/drawingml/2006/picture">
                <pic:pic>
                  <pic:nvPicPr>
                    <pic:cNvPr descr="R历史基准误差分布图.png" id="126" name="Picture"/>
                    <pic:cNvPicPr>
                      <a:picLocks noChangeArrowheads="1" noChangeAspect="1"/>
                    </pic:cNvPicPr>
                  </pic:nvPicPr>
                  <pic:blipFill>
                    <a:blip r:embed="rId124"/>
                    <a:stretch>
                      <a:fillRect/>
                    </a:stretch>
                  </pic:blipFill>
                  <pic:spPr bwMode="auto">
                    <a:xfrm>
                      <a:off x="0" y="0"/>
                      <a:ext cx="4800600" cy="2351314"/>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历史同长度窗口基准误差分布。蓝色区间表示历史分位带，红点表示</w:t>
      </w:r>
      <w:r>
        <w:t xml:space="preserve"> 2026 </w:t>
      </w:r>
      <w:r>
        <w:rPr>
          <w:rFonts w:hint="eastAsia"/>
        </w:rPr>
        <w:t xml:space="preserve">冲突窗口，说明该窗口对普通基准模型显著更难。</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27"/>
    <w:bookmarkEnd w:id="128"/>
    <w:bookmarkStart w:id="132" w:name="模型评价"/>
    <w:p>
      <w:pPr>
        <w:pStyle w:val="Heading1"/>
      </w:pPr>
      <w:r>
        <w:rPr>
          <w:rFonts w:hint="eastAsia"/>
        </w:rPr>
        <w:t xml:space="preserve">模型评价</w:t>
      </w:r>
    </w:p>
    <w:bookmarkStart w:id="129" w:name="优点"/>
    <w:p>
      <w:pPr>
        <w:pStyle w:val="Heading2"/>
      </w:pPr>
      <w:r>
        <w:rPr>
          <w:rFonts w:hint="eastAsia"/>
        </w:rPr>
        <w:t xml:space="preserve">优点</w:t>
      </w:r>
    </w:p>
    <w:p>
      <w:pPr>
        <w:numPr>
          <w:ilvl w:val="0"/>
          <w:numId w:val="1005"/>
        </w:numPr>
      </w:pPr>
      <w:r>
        <w:rPr>
          <w:rFonts w:hint="eastAsia"/>
        </w:rPr>
        <w:t xml:space="preserve">证据链完整：从附件数据清洗、传统供需基准、动态模型、校准、防御性检验、三情景预测到敏感性分析均可复现。</w:t>
      </w:r>
    </w:p>
    <w:p>
      <w:pPr>
        <w:numPr>
          <w:ilvl w:val="0"/>
          <w:numId w:val="1005"/>
        </w:numPr>
      </w:pPr>
      <w:r>
        <w:rPr>
          <w:rFonts w:hint="eastAsia"/>
        </w:rPr>
        <w:t xml:space="preserve">机制解释清晰：模型没有把价格平台硬编码为</w:t>
      </w:r>
      <w:r>
        <w:t xml:space="preserve"> 120 </w:t>
      </w:r>
      <w:r>
        <w:rPr>
          <w:rFonts w:hint="eastAsia"/>
        </w:rPr>
        <w:t xml:space="preserve">美元，而是由供应缺口、风险溢价和缓冲折价共同递推形成。</w:t>
      </w:r>
    </w:p>
    <w:p>
      <w:pPr>
        <w:numPr>
          <w:ilvl w:val="0"/>
          <w:numId w:val="1005"/>
        </w:numPr>
      </w:pPr>
      <w:r>
        <w:rPr>
          <w:rFonts w:hint="eastAsia"/>
        </w:rPr>
        <w:t xml:space="preserve">主动回应评委质疑：本文设置</w:t>
      </w:r>
      <w:r>
        <w:t xml:space="preserve"> Random Walk </w:t>
      </w:r>
      <w:r>
        <w:rPr>
          <w:rFonts w:hint="eastAsia"/>
        </w:rPr>
        <w:t xml:space="preserve">基准、ARIMA</w:t>
      </w:r>
      <w:r>
        <w:t xml:space="preserve"> </w:t>
      </w:r>
      <w:r>
        <w:rPr>
          <w:rFonts w:hint="eastAsia"/>
        </w:rPr>
        <w:t xml:space="preserve">基准、DM</w:t>
      </w:r>
      <w:r>
        <w:t xml:space="preserve"> </w:t>
      </w:r>
      <w:r>
        <w:rPr>
          <w:rFonts w:hint="eastAsia"/>
        </w:rPr>
        <w:t xml:space="preserve">统计检验、滞后平移检验、机制消融、过拟合压力测试和历史同长度窗口检验。</w:t>
      </w:r>
    </w:p>
    <w:p>
      <w:pPr>
        <w:numPr>
          <w:ilvl w:val="0"/>
          <w:numId w:val="1005"/>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p>
      <w:pPr>
        <w:numPr>
          <w:ilvl w:val="0"/>
          <w:numId w:val="1005"/>
        </w:numPr>
      </w:pPr>
      <w:r>
        <w:rPr>
          <w:rFonts w:hint="eastAsia"/>
        </w:rPr>
        <w:t xml:space="preserve">长期表述审慎：三情景中心线与蒙特卡洛扇形区间、状态转移情景树合读，把长期结果定位为条件中心路径、状态切换和尾部风险，而非精确日度点预测。</w:t>
      </w:r>
    </w:p>
    <w:bookmarkEnd w:id="129"/>
    <w:bookmarkStart w:id="130" w:name="局限性"/>
    <w:p>
      <w:pPr>
        <w:pStyle w:val="Heading2"/>
      </w:pPr>
      <w:r>
        <w:rPr>
          <w:rFonts w:hint="eastAsia"/>
        </w:rPr>
        <w:t xml:space="preserve">局限性</w:t>
      </w:r>
    </w:p>
    <w:p>
      <w:pPr>
        <w:numPr>
          <w:ilvl w:val="0"/>
          <w:numId w:val="1006"/>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6"/>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SPR、商业库存和原油产量周度数据作为外部审计，并接入</w:t>
      </w:r>
      <w:r>
        <w:t xml:space="preserve"> GPR </w:t>
      </w:r>
      <w:r>
        <w:rPr>
          <w:rFonts w:hint="eastAsia"/>
        </w:rPr>
        <w:t xml:space="preserve">月度指数和历史滚动窗口审计地缘风险与事件极端性；但尚未自动接入</w:t>
      </w:r>
      <w:r>
        <w:t xml:space="preserve"> IEA/OPEC </w:t>
      </w:r>
      <w:r>
        <w:rPr>
          <w:rFonts w:hint="eastAsia"/>
        </w:rPr>
        <w:t xml:space="preserve">全球口径的完整供需平衡表，也未引入期权隐含波动率、油轮保险费或高频新闻情绪等变量。</w:t>
      </w:r>
    </w:p>
    <w:p>
      <w:pPr>
        <w:numPr>
          <w:ilvl w:val="0"/>
          <w:numId w:val="1006"/>
        </w:numPr>
      </w:pPr>
      <w:r>
        <w:rPr>
          <w:rFonts w:hint="eastAsia"/>
        </w:rPr>
        <w:t xml:space="preserve">蒙特卡洛情景树和状态转移情景树已经刻画了部分参数联动风险与事件状态切换风险，但其联合分布仍来自模型设定而非未来观测，因此尾部概率应解释为条件概率而非真实市场概率。</w:t>
      </w:r>
    </w:p>
    <w:bookmarkEnd w:id="130"/>
    <w:bookmarkStart w:id="131"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 </w:t>
      </w:r>
      <w:r>
        <w:rPr>
          <w:rFonts w:hint="eastAsia"/>
        </w:rPr>
        <w:t xml:space="preserve">周度数据审计基础上，继续接入</w:t>
      </w:r>
      <w:r>
        <w:t xml:space="preserve"> IEA </w:t>
      </w:r>
      <w:r>
        <w:rPr>
          <w:rFonts w:hint="eastAsia"/>
        </w:rPr>
        <w:t xml:space="preserve">或</w:t>
      </w:r>
      <w:r>
        <w:t xml:space="preserve"> OPEC </w:t>
      </w:r>
      <w:r>
        <w:rPr>
          <w:rFonts w:hint="eastAsia"/>
        </w:rPr>
        <w:t xml:space="preserve">全球口径供需平衡表，对长期供给恢复路径进行更客观的外生约束；第二，在现有</w:t>
      </w:r>
      <w:r>
        <w:t xml:space="preserve"> GPR </w:t>
      </w:r>
      <w:r>
        <w:rPr>
          <w:rFonts w:hint="eastAsia"/>
        </w:rPr>
        <w:t xml:space="preserve">滞后审计基础上，继续探索期权隐含波动率、油轮保险费、期货期限结构等更接近市场定价的风险变量；第三，把状态转移概率从当前专家设定进一步约束为由历史地缘风险、波动率和期限结构共同驱动的时变概率。R</w:t>
      </w:r>
      <w:r>
        <w:t xml:space="preserve"> </w:t>
      </w:r>
      <w:r>
        <w:rPr>
          <w:rFonts w:hint="eastAsia"/>
        </w:rPr>
        <w:t xml:space="preserve">语言可用于后续</w:t>
      </w:r>
      <w:r>
        <w:t xml:space="preserve"> GARCH、VAR、Granger </w:t>
      </w:r>
      <w:r>
        <w:rPr>
          <w:rFonts w:hint="eastAsia"/>
        </w:rPr>
        <w:t xml:space="preserve">和稳健标准误等计量审计，C++</w:t>
      </w:r>
      <w:r>
        <w:t xml:space="preserve"> </w:t>
      </w:r>
      <w:r>
        <w:rPr>
          <w:rFonts w:hint="eastAsia"/>
        </w:rPr>
        <w:t xml:space="preserve">多智能体仿真则只有在获得主体级行为数据时才有必要进入主线。</w:t>
      </w:r>
    </w:p>
    <w:bookmarkEnd w:id="131"/>
    <w:bookmarkEnd w:id="132"/>
    <w:bookmarkStart w:id="133"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7"/>
        </w:numPr>
      </w:pPr>
      <w:r>
        <w:rPr>
          <w:rFonts w:hint="eastAsia"/>
        </w:rPr>
        <w:t xml:space="preserve">在赛题低短期弹性假设下，传统供需模型会给出约</w:t>
      </w:r>
      <w:r>
        <w:t xml:space="preserve"> 278–337 </w:t>
      </w:r>
      <w:r>
        <w:rPr>
          <w:rFonts w:hint="eastAsia"/>
        </w:rPr>
        <w:t xml:space="preserve">美元/桶的理论价格，显著高估附件真实价格。</w:t>
      </w:r>
    </w:p>
    <w:p>
      <w:pPr>
        <w:numPr>
          <w:ilvl w:val="0"/>
          <w:numId w:val="1007"/>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7"/>
        </w:numPr>
      </w:pPr>
      <w:r>
        <w:rPr>
          <w:rFonts w:hint="eastAsia"/>
        </w:rPr>
        <w:t xml:space="preserve">模型优于朴素上一日基准和滚动</w:t>
      </w:r>
      <w:r>
        <w:t xml:space="preserve"> ARIMA </w:t>
      </w:r>
      <w:r>
        <w:rPr>
          <w:rFonts w:hint="eastAsia"/>
        </w:rPr>
        <w:t xml:space="preserve">基准，DM</w:t>
      </w:r>
      <w:r>
        <w:t xml:space="preserve"> </w:t>
      </w:r>
      <w:r>
        <w:rPr>
          <w:rFonts w:hint="eastAsia"/>
        </w:rPr>
        <w:t xml:space="preserve">平方损失检验和方向命中检验提供支持性统计证据，且通过滞后平移检验、机制消融和过拟合压力测试，具备较好的解释力和防御性。</w:t>
      </w:r>
    </w:p>
    <w:p>
      <w:pPr>
        <w:numPr>
          <w:ilvl w:val="0"/>
          <w:numId w:val="1007"/>
        </w:numPr>
      </w:pPr>
      <w:r>
        <w:t xml:space="preserve">60–180 </w:t>
      </w:r>
      <w:r>
        <w:rPr>
          <w:rFonts w:hint="eastAsia"/>
        </w:rPr>
        <w:t xml:space="preserve">天情景预测显示，中性情景第</w:t>
      </w:r>
      <w:r>
        <w:t xml:space="preserve"> 180 </w:t>
      </w:r>
      <w:r>
        <w:rPr>
          <w:rFonts w:hint="eastAsia"/>
        </w:rPr>
        <w:t xml:space="preserve">天价格约为</w:t>
      </w:r>
      <w:r>
        <w:t xml:space="preserve"> 92.43 </w:t>
      </w:r>
      <w:r>
        <w:rPr>
          <w:rFonts w:hint="eastAsia"/>
        </w:rPr>
        <w:t xml:space="preserve">美元/桶；悲观情景第</w:t>
      </w:r>
      <w:r>
        <w:t xml:space="preserve"> 180 </w:t>
      </w:r>
      <w:r>
        <w:rPr>
          <w:rFonts w:hint="eastAsia"/>
        </w:rPr>
        <w:t xml:space="preserve">天约为</w:t>
      </w:r>
      <w:r>
        <w:t xml:space="preserve"> 106.83 </w:t>
      </w:r>
      <w:r>
        <w:rPr>
          <w:rFonts w:hint="eastAsia"/>
        </w:rPr>
        <w:t xml:space="preserve">美元/桶，并存在二次跳涨风险。</w:t>
      </w:r>
    </w:p>
    <w:p>
      <w:pPr>
        <w:numPr>
          <w:ilvl w:val="0"/>
          <w:numId w:val="1007"/>
        </w:numPr>
      </w:pPr>
      <w:r>
        <w:rPr>
          <w:rFonts w:hint="eastAsia"/>
        </w:rPr>
        <w:t xml:space="preserve">敏感性分析显示，地缘风险权重、不确定性与制度风险强度和制度风险占比是综合敏感度最高的三个因素；SPR</w:t>
      </w:r>
      <w:r>
        <w:t xml:space="preserve"> </w:t>
      </w:r>
      <w:r>
        <w:rPr>
          <w:rFonts w:hint="eastAsia"/>
        </w:rPr>
        <w:t xml:space="preserve">和绕道运输更偏向削峰、缺口闭合和争取恢复时间。</w:t>
      </w:r>
    </w:p>
    <w:p>
      <w:pPr>
        <w:numPr>
          <w:ilvl w:val="0"/>
          <w:numId w:val="1007"/>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87.67–101.01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4.6%，尾部风险主要来自多因素同时恶化；状态转移情景树进一步说明，若未来冲突状态在缓和、维持和升级之间切换，外推期最高价</w:t>
      </w:r>
      <w:r>
        <w:t xml:space="preserve"> P95 </w:t>
      </w:r>
      <w:r>
        <w:rPr>
          <w:rFonts w:hint="eastAsia"/>
        </w:rPr>
        <w:t xml:space="preserve">约为</w:t>
      </w:r>
      <w:r>
        <w:t xml:space="preserve"> 124.61 </w:t>
      </w:r>
      <w:r>
        <w:rPr>
          <w:rFonts w:hint="eastAsia"/>
        </w:rPr>
        <w:t xml:space="preserve">美元/桶。</w:t>
      </w:r>
    </w:p>
    <w:p>
      <w:pPr>
        <w:numPr>
          <w:ilvl w:val="0"/>
          <w:numId w:val="1007"/>
        </w:numPr>
      </w:pPr>
      <w:r>
        <w:t xml:space="preserve">GPR </w:t>
      </w:r>
      <w:r>
        <w:rPr>
          <w:rFonts w:hint="eastAsia"/>
        </w:rPr>
        <w:t xml:space="preserve">滞后审计显示，2026</w:t>
      </w:r>
      <w:r>
        <w:t xml:space="preserve"> </w:t>
      </w:r>
      <w:r>
        <w:rPr>
          <w:rFonts w:hint="eastAsia"/>
        </w:rPr>
        <w:t xml:space="preserve">年</w:t>
      </w:r>
      <w:r>
        <w:t xml:space="preserve"> 3–4 </w:t>
      </w:r>
      <w:r>
        <w:rPr>
          <w:rFonts w:hint="eastAsia"/>
        </w:rPr>
        <w:t xml:space="preserve">月地缘风险处于历史高分位，支持风险溢价机制；但滞后收益解释力较弱，因此本文不把</w:t>
      </w:r>
      <w:r>
        <w:t xml:space="preserve"> GPR </w:t>
      </w:r>
      <w:r>
        <w:rPr>
          <w:rFonts w:hint="eastAsia"/>
        </w:rPr>
        <w:t xml:space="preserve">包装成短期点预测因子。</w:t>
      </w:r>
    </w:p>
    <w:p>
      <w:pPr>
        <w:numPr>
          <w:ilvl w:val="0"/>
          <w:numId w:val="1007"/>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bookmarkEnd w:id="133"/>
    <w:bookmarkStart w:id="134" w:name="附录支撑材料说明"/>
    <w:p>
      <w:pPr>
        <w:pStyle w:val="Heading1"/>
      </w:pPr>
      <w:r>
        <w:rPr>
          <w:rFonts w:hint="eastAsia"/>
        </w:rPr>
        <w:t xml:space="preserve">附录：支撑材料说明</w:t>
      </w:r>
    </w:p>
    <w:p>
      <w:pPr>
        <w:pStyle w:val="FirstParagraph"/>
      </w:pPr>
      <w:r>
        <w:rPr>
          <w:rFonts w:hint="eastAsia"/>
        </w:rPr>
        <w:t xml:space="preserve">本文的主要计算和图表均由项目目录中的脚本复现。附件原始价格数据经清洗后形成中文命名</w:t>
      </w:r>
      <w:r>
        <w:t xml:space="preserve"> </w:t>
      </w:r>
      <w:r>
        <w:rPr>
          <w:rFonts w:hint="eastAsia"/>
        </w:rPr>
        <w:t xml:space="preserve">CSV；短期模型校准结果保存在</w:t>
      </w:r>
      <w:r>
        <w:t xml:space="preserve"> </w:t>
      </w:r>
      <w:r>
        <w:rPr>
          <w:rStyle w:val="VerbatimChar"/>
          <w:rFonts w:hint="eastAsia"/>
        </w:rPr>
        <w:t xml:space="preserve">output/calibration/动态模型校准后路径.csv</w:t>
      </w:r>
      <w:r>
        <w:rPr>
          <w:rFonts w:hint="eastAsia"/>
        </w:rPr>
        <w:t xml:space="preserve">；长期三情景预测结果保存在</w:t>
      </w:r>
      <w:r>
        <w:t xml:space="preserve"> </w:t>
      </w:r>
      <w:r>
        <w:rPr>
          <w:rStyle w:val="VerbatimChar"/>
          <w:rFonts w:hint="eastAsia"/>
        </w:rPr>
        <w:t xml:space="preserve">output/scenarios/三情景预测结果.csv</w:t>
      </w:r>
      <w:r>
        <w:rPr>
          <w:rFonts w:hint="eastAsia"/>
        </w:rPr>
        <w:t xml:space="preserve">；最终论文图表由</w:t>
      </w:r>
      <w:r>
        <w:t xml:space="preserve"> </w:t>
      </w:r>
      <w:r>
        <w:rPr>
          <w:rStyle w:val="VerbatimChar"/>
        </w:rPr>
        <w:t xml:space="preserve">src/visualization/</w:t>
      </w:r>
      <w:r>
        <w:t xml:space="preserve"> </w:t>
      </w:r>
      <w:r>
        <w:rPr>
          <w:rFonts w:hint="eastAsia"/>
        </w:rPr>
        <w:t xml:space="preserve">下的可视化脚本生成。最终交付文件为</w:t>
      </w:r>
      <w:r>
        <w:t xml:space="preserve"> </w:t>
      </w:r>
      <w:r>
        <w:rPr>
          <w:rStyle w:val="VerbatimChar"/>
          <w:rFonts w:hint="eastAsia"/>
        </w:rPr>
        <w:t xml:space="preserve">output/final/总论文.pdf</w:t>
      </w:r>
      <w:r>
        <w:t xml:space="preserve"> </w:t>
      </w:r>
      <w:r>
        <w:rPr>
          <w:rFonts w:hint="eastAsia"/>
        </w:rPr>
        <w:t xml:space="preserve">和</w:t>
      </w:r>
      <w:r>
        <w:t xml:space="preserve"> </w:t>
      </w:r>
      <w:r>
        <w:rPr>
          <w:rStyle w:val="VerbatimChar"/>
          <w:rFonts w:hint="eastAsia"/>
        </w:rPr>
        <w:t xml:space="preserve">output/final/总论文.docx</w:t>
      </w:r>
      <w:r>
        <w:t xml:space="preserve">。</w:t>
      </w:r>
    </w:p>
    <w:bookmarkEnd w:id="134"/>
    <w:bookmarkStart w:id="140"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135">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136">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137">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38">
        <w:r>
          <w:rPr>
            <w:rStyle w:val="Hyperlink"/>
          </w:rPr>
          <w:t xml:space="preserve">EIA petroleum weekly data</w:t>
        </w:r>
      </w:hyperlink>
      <w:r>
        <w:t xml:space="preserve">.</w:t>
      </w:r>
    </w:p>
    <w:p>
      <w:pPr>
        <w:pStyle w:val="BodyText"/>
      </w:pPr>
      <w:r>
        <w:t xml:space="preserve">Caldara-Iacoviello Geopolitical Risk Index. Monthly GPR data.</w:t>
      </w:r>
      <w:r>
        <w:t xml:space="preserve"> </w:t>
      </w:r>
      <w:hyperlink r:id="rId139">
        <w:r>
          <w:rPr>
            <w:rStyle w:val="Hyperlink"/>
          </w:rPr>
          <w:t xml:space="preserve">GPR data page</w:t>
        </w:r>
      </w:hyperlink>
      <w:r>
        <w:t xml:space="preserve">.</w:t>
      </w:r>
    </w:p>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4" Target="media/rId124.png" /><Relationship Type="http://schemas.openxmlformats.org/officeDocument/2006/relationships/image" Id="rId67" Target="media/rId67.png" /><Relationship Type="http://schemas.openxmlformats.org/officeDocument/2006/relationships/image" Id="rId110" Target="media/rId110.png" /><Relationship Type="http://schemas.openxmlformats.org/officeDocument/2006/relationships/image" Id="rId33" Target="media/rId33.png" /><Relationship Type="http://schemas.openxmlformats.org/officeDocument/2006/relationships/image" Id="rId19" Target="media/rId19.png" /><Relationship Type="http://schemas.openxmlformats.org/officeDocument/2006/relationships/image" Id="rId121" Target="media/rId121.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image" Id="rId16" Target="media/rId16.png" /><Relationship Type="http://schemas.openxmlformats.org/officeDocument/2006/relationships/image" Id="rId23" Target="media/rId23.png" /><Relationship Type="http://schemas.openxmlformats.org/officeDocument/2006/relationships/image" Id="rId96" Target="media/rId96.png" /><Relationship Type="http://schemas.openxmlformats.org/officeDocument/2006/relationships/image" Id="rId117" Target="media/rId117.png" /><Relationship Type="http://schemas.openxmlformats.org/officeDocument/2006/relationships/image" Id="rId89" Target="media/rId89.png" /><Relationship Type="http://schemas.openxmlformats.org/officeDocument/2006/relationships/image" Id="rId49" Target="media/rId49.png" /><Relationship Type="http://schemas.openxmlformats.org/officeDocument/2006/relationships/image" Id="rId72" Target="media/rId72.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60" Target="media/rId60.png" /><Relationship Type="http://schemas.openxmlformats.org/officeDocument/2006/relationships/image" Id="rId52" Target="media/rId52.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6" Target="media/rId56.png" /><Relationship Type="http://schemas.openxmlformats.org/officeDocument/2006/relationships/image" Id="rId85" Target="media/rId85.png" /><Relationship Type="http://schemas.openxmlformats.org/officeDocument/2006/relationships/image" Id="rId106" Target="media/rId106.png" /><Relationship Type="http://schemas.openxmlformats.org/officeDocument/2006/relationships/image" Id="rId10" Target="media/rId10.png" /><Relationship Type="http://schemas.openxmlformats.org/officeDocument/2006/relationships/image" Id="rId92" Target="media/rId92.png" /><Relationship Type="http://schemas.openxmlformats.org/officeDocument/2006/relationships/hyperlink" Id="rId138" Target="https://www.eia.gov/dnav/pet/pet_sum_sndw_dcus_nus_w.htm" TargetMode="External" /><Relationship Type="http://schemas.openxmlformats.org/officeDocument/2006/relationships/hyperlink" Id="rId135" Target="https://www.eia.gov/international/analysis/special-topics/World_Oil_Transit_Chokepoints" TargetMode="External" /><Relationship Type="http://schemas.openxmlformats.org/officeDocument/2006/relationships/hyperlink" Id="rId136" Target="https://www.iea.org/about/oil-security-and-emergency-response/strait-of-hormuz" TargetMode="External" /><Relationship Type="http://schemas.openxmlformats.org/officeDocument/2006/relationships/hyperlink" Id="rId137" Target="https://www.iea.org/news/iea-governing-board-concludes-2022-collective-actions" TargetMode="External" /><Relationship Type="http://schemas.openxmlformats.org/officeDocument/2006/relationships/hyperlink" Id="rId139"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38" Target="https://www.eia.gov/dnav/pet/pet_sum_sndw_dcus_nus_w.htm" TargetMode="External" /><Relationship Type="http://schemas.openxmlformats.org/officeDocument/2006/relationships/hyperlink" Id="rId135" Target="https://www.eia.gov/international/analysis/special-topics/World_Oil_Transit_Chokepoints" TargetMode="External" /><Relationship Type="http://schemas.openxmlformats.org/officeDocument/2006/relationships/hyperlink" Id="rId136" Target="https://www.iea.org/about/oil-security-and-emergency-response/strait-of-hormuz" TargetMode="External" /><Relationship Type="http://schemas.openxmlformats.org/officeDocument/2006/relationships/hyperlink" Id="rId137" Target="https://www.iea.org/news/iea-governing-board-concludes-2022-collective-actions" TargetMode="External" /><Relationship Type="http://schemas.openxmlformats.org/officeDocument/2006/relationships/hyperlink" Id="rId139"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2026-05-12T07:03:01Z</dcterms:created>
  <dcterms:modified xsi:type="dcterms:W3CDTF">2026-05-12T07:03:01Z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