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3.png" ContentType="image/png"/>
  <Override PartName="/word/media/rId61.png" ContentType="image/png"/>
  <Override PartName="/word/media/rId10.png" ContentType="image/png"/>
  <Override PartName="/word/media/rId17.png" ContentType="image/png"/>
  <Override PartName="/word/media/rId58.png" ContentType="image/png"/>
  <Override PartName="/word/media/rId70.png" ContentType="image/png"/>
  <Override PartName="/word/media/rId67.png" ContentType="image/png"/>
  <Override PartName="/word/media/rId42.png" ContentType="image/png"/>
  <Override PartName="/word/media/rId35.png" ContentType="image/png"/>
  <Override PartName="/word/media/rId49.png" ContentType="image/png"/>
  <Override PartName="/word/media/rId38.png" ContentType="image/png"/>
  <Override PartName="/word/media/rId4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p>
      <w:pPr>
        <w:pStyle w:val="FirstParagraph"/>
      </w:pPr>
      <w:r>
        <w:rPr>
          <w:rFonts w:hint="eastAsia"/>
          <w:b/>
          <w:bCs/>
        </w:rPr>
        <w:t xml:space="preserve">摘要</w:t>
      </w:r>
    </w:p>
    <w:p>
      <w:pPr>
        <w:pStyle w:val="BodyText"/>
      </w:pPr>
      <w:r>
        <w:rPr>
          <w:rFonts w:hint="eastAsia"/>
        </w:rPr>
        <w:t xml:space="preserve">霍尔木兹海峡是全球原油运输的关键咽喉，一旦发生封锁，供应中断、地缘风险重估、战略储备释放、商业库存缓冲、绕道运输恢复和市场预期修复会同时作用于国际原油价格。本文以附件给出的布伦特原油期货主力合约价格数据为基础，建立了从静态供需上界到动态递推解释、再到</w:t>
      </w:r>
      <w:r>
        <w:t xml:space="preserve"> 60–180 </w:t>
      </w:r>
      <w:r>
        <w:rPr>
          <w:rFonts w:hint="eastAsia"/>
        </w:rPr>
        <w:t xml:space="preserve">天情景预测与敏感性分析的完整模型链条。</w:t>
      </w:r>
    </w:p>
    <w:p>
      <w:pPr>
        <w:pStyle w:val="BodyText"/>
      </w:pPr>
      <w:r>
        <w:rPr>
          <w:rFonts w:hint="eastAsia"/>
        </w:rPr>
        <w:t xml:space="preserve">首先，本文完成</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月的原始价格序列清洗，截取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日的冲突窗口作为主要拟合区间。数据表明，冲突窗口内最高收盘价为</w:t>
      </w:r>
      <w:r>
        <w:t xml:space="preserve"> 114.06 </w:t>
      </w:r>
      <w:r>
        <w:rPr>
          <w:rFonts w:hint="eastAsia"/>
        </w:rPr>
        <w:t xml:space="preserve">美元/桶，最高盘中价为</w:t>
      </w:r>
      <w:r>
        <w:t xml:space="preserve"> 119.50 </w:t>
      </w:r>
      <w:r>
        <w:rPr>
          <w:rFonts w:hint="eastAsia"/>
        </w:rPr>
        <w:t xml:space="preserve">美元/桶。其次，本文以题面给出的短期需求价格弹性和供应中断范围构造传统供需基准模型。在线性化低弹性口径下，传统模型给出约</w:t>
      </w:r>
      <w:r>
        <w:t xml:space="preserve"> 278–337 </w:t>
      </w:r>
      <w:r>
        <w:rPr>
          <w:rFonts w:hint="eastAsia"/>
        </w:rPr>
        <w:t xml:space="preserve">美元/桶的理论价格区间，明显高于附件数据观测水平，说明必须引入缓冲机制和市场预期机制。</w:t>
      </w:r>
    </w:p>
    <w:p>
      <w:pPr>
        <w:pStyle w:val="BodyText"/>
      </w:pPr>
      <w:r>
        <w:rPr>
          <w:rFonts w:hint="eastAsia"/>
        </w:rPr>
        <w:t xml:space="preserve">为解释现实价格路径，本文构建短期动态递推模型。模型在题面物理供需层纳入供应中断、SPR</w:t>
      </w:r>
      <w:r>
        <w:t xml:space="preserve"> </w:t>
      </w:r>
      <w:r>
        <w:rPr>
          <w:rFonts w:hint="eastAsia"/>
        </w:rPr>
        <w:t xml:space="preserve">释放、商业库存、绕道运输、需求收缩和恐慌衰减，在市场价格形成层纳入地缘风险溢价、不确定性平台、缓冲确认折价和预期修复折价。通过固定种子随机搜索、差分进化连续精修、局部稳健性复核和拟合质量精修，综合最优模型在</w:t>
      </w:r>
      <w:r>
        <w:t xml:space="preserve"> 46 </w:t>
      </w:r>
      <w:r>
        <w:rPr>
          <w:rFonts w:hint="eastAsia"/>
        </w:rPr>
        <w:t xml:space="preserve">个交易日冲突窗口内取得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美元/桶的拟合效果，并优于上一日价格朴素基准和滚动</w:t>
      </w:r>
      <w:r>
        <w:t xml:space="preserve"> ARIMA </w:t>
      </w:r>
      <w:r>
        <w:rPr>
          <w:rFonts w:hint="eastAsia"/>
        </w:rPr>
        <w:t xml:space="preserve">基准。进一步的滞后平移检验、拐点检验、机制消融、过拟合压力测试和硬编码审计表明，该模型不是简单滞后复制，也没有把</w:t>
      </w:r>
      <w:r>
        <w:t xml:space="preserve"> 120 </w:t>
      </w:r>
      <w:r>
        <w:rPr>
          <w:rFonts w:hint="eastAsia"/>
        </w:rPr>
        <w:t xml:space="preserve">美元平台写成代码上限。</w:t>
      </w:r>
    </w:p>
    <w:p>
      <w:pPr>
        <w:pStyle w:val="BodyText"/>
      </w:pPr>
      <w:r>
        <w:rPr>
          <w:rFonts w:hint="eastAsia"/>
        </w:rPr>
        <w:t xml:space="preserve">在此基础上，本文构建乐观、中性、悲观三种</w:t>
      </w:r>
      <w:r>
        <w:t xml:space="preserve"> 60–180 </w:t>
      </w:r>
      <w:r>
        <w:rPr>
          <w:rFonts w:hint="eastAsia"/>
        </w:rPr>
        <w:t xml:space="preserve">天情景路径。中性情景第</w:t>
      </w:r>
      <w:r>
        <w:t xml:space="preserve"> 180 </w:t>
      </w:r>
      <w:r>
        <w:rPr>
          <w:rFonts w:hint="eastAsia"/>
        </w:rPr>
        <w:t xml:space="preserve">天价格约为</w:t>
      </w:r>
      <w:r>
        <w:t xml:space="preserve"> 104.49 </w:t>
      </w:r>
      <w:r>
        <w:rPr>
          <w:rFonts w:hint="eastAsia"/>
        </w:rPr>
        <w:t xml:space="preserve">美元/桶，悲观情景第</w:t>
      </w:r>
      <w:r>
        <w:t xml:space="preserve"> 180 </w:t>
      </w:r>
      <w:r>
        <w:rPr>
          <w:rFonts w:hint="eastAsia"/>
        </w:rPr>
        <w:t xml:space="preserve">天约为</w:t>
      </w:r>
      <w:r>
        <w:t xml:space="preserve"> 119.53 </w:t>
      </w:r>
      <w:r>
        <w:rPr>
          <w:rFonts w:hint="eastAsia"/>
        </w:rPr>
        <w:t xml:space="preserve">美元/桶，且存在较高二次跳涨风险。最后，本文围绕</w:t>
      </w:r>
      <w:r>
        <w:t xml:space="preserve"> 10 </w:t>
      </w:r>
      <w:r>
        <w:rPr>
          <w:rFonts w:hint="eastAsia"/>
        </w:rPr>
        <w:t xml:space="preserve">个关键参数进行单因素敏感性分析，发现综合敏感度最高的三个因素为不确定性平台、地缘风险权重和供应中断量；SPR</w:t>
      </w:r>
      <w:r>
        <w:t xml:space="preserve"> </w:t>
      </w:r>
      <w:r>
        <w:rPr>
          <w:rFonts w:hint="eastAsia"/>
        </w:rPr>
        <w:t xml:space="preserve">释放和绕道运输对第</w:t>
      </w:r>
      <w:r>
        <w:t xml:space="preserve"> 180 </w:t>
      </w:r>
      <w:r>
        <w:rPr>
          <w:rFonts w:hint="eastAsia"/>
        </w:rPr>
        <w:t xml:space="preserve">天终点价格影响较小，但能够影响外推期峰值和削峰能力。研究结果表明，短期油价平台由物理缺口和市场风险重估共同决定，长期风险则取决于高风险溢价、供应中断规模和政策缓冲能否形成组合对冲。</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bookmarkEnd w:id="9"/>
    <w:bookmarkStart w:id="21" w:name="数据处理与描述性分析"/>
    <w:p>
      <w:pPr>
        <w:pStyle w:val="Heading1"/>
      </w:pPr>
      <w:r>
        <w:rPr>
          <w:rFonts w:hint="eastAsia"/>
        </w:rPr>
        <w:t xml:space="preserve">数据处理与描述性分析</w:t>
      </w:r>
    </w:p>
    <w:bookmarkStart w:id="16"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CaptionedFigure"/>
      </w:pPr>
      <w:r>
        <w:drawing>
          <wp:inline>
            <wp:extent cx="4907280" cy="2453640"/>
            <wp:effectExtent b="0" l="0" r="0" t="0"/>
            <wp:docPr descr="" title="" id="11" name="Picture"/>
            <a:graphic>
              <a:graphicData uri="http://schemas.openxmlformats.org/drawingml/2006/picture">
                <pic:pic>
                  <pic:nvPicPr>
                    <pic:cNvPr descr="price_trend.png" id="12" name="Picture"/>
                    <pic:cNvPicPr>
                      <a:picLocks noChangeArrowheads="1" noChangeAspect="1"/>
                    </pic:cNvPicPr>
                  </pic:nvPicPr>
                  <pic:blipFill>
                    <a:blip r:embed="rId10"/>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14" name="Picture"/>
            <a:graphic>
              <a:graphicData uri="http://schemas.openxmlformats.org/drawingml/2006/picture">
                <pic:pic>
                  <pic:nvPicPr>
                    <pic:cNvPr descr="event_window_price.png" id="15" name="Picture"/>
                    <pic:cNvPicPr>
                      <a:picLocks noChangeArrowheads="1" noChangeAspect="1"/>
                    </pic:cNvPicPr>
                  </pic:nvPicPr>
                  <pic:blipFill>
                    <a:blip r:embed="rId13"/>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16"/>
    <w:bookmarkStart w:id="20"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18" name="Picture"/>
            <a:graphic>
              <a:graphicData uri="http://schemas.openxmlformats.org/drawingml/2006/picture">
                <pic:pic>
                  <pic:nvPicPr>
                    <pic:cNvPr descr="return_volatility.png" id="19" name="Picture"/>
                    <pic:cNvPicPr>
                      <a:picLocks noChangeArrowheads="1" noChangeAspect="1"/>
                    </pic:cNvPicPr>
                  </pic:nvPicPr>
                  <pic:blipFill>
                    <a:blip r:embed="rId17"/>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0"/>
    <w:bookmarkEnd w:id="21"/>
    <w:bookmarkStart w:id="24" w:name="模型假设与符号说明"/>
    <w:p>
      <w:pPr>
        <w:pStyle w:val="Heading1"/>
      </w:pPr>
      <w:r>
        <w:rPr>
          <w:rFonts w:hint="eastAsia"/>
        </w:rPr>
        <w:t xml:space="preserve">模型假设与符号说明</w:t>
      </w:r>
    </w:p>
    <w:bookmarkStart w:id="22" w:name="基本假设"/>
    <w:p>
      <w:pPr>
        <w:pStyle w:val="Heading2"/>
      </w:pPr>
      <w:r>
        <w:rPr>
          <w:rFonts w:hint="eastAsia"/>
        </w:rPr>
        <w:t xml:space="preserve">基本假设</w:t>
      </w:r>
    </w:p>
    <w:p>
      <w:pPr>
        <w:numPr>
          <w:ilvl w:val="0"/>
          <w:numId w:val="1002"/>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2"/>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2"/>
        </w:numPr>
      </w:pPr>
      <w:r>
        <w:rPr>
          <w:rFonts w:hint="eastAsia"/>
        </w:rPr>
        <w:t xml:space="preserve">短期需求弹性按题面给定低弹性口径处理；中长期需求弹性允许逐步过渡，以反映高价下需求调整更充分。</w:t>
      </w:r>
    </w:p>
    <w:p>
      <w:pPr>
        <w:numPr>
          <w:ilvl w:val="0"/>
          <w:numId w:val="1002"/>
        </w:numPr>
      </w:pPr>
      <w:r>
        <w:rPr>
          <w:rFonts w:hint="eastAsia"/>
        </w:rPr>
        <w:t xml:space="preserve">模型不使用新闻爬虫数据，也不把外部新闻情绪作为观测输入；恐慌强度和衰减率是行为机制参数。</w:t>
      </w:r>
    </w:p>
    <w:p>
      <w:pPr>
        <w:numPr>
          <w:ilvl w:val="0"/>
          <w:numId w:val="1002"/>
        </w:numPr>
      </w:pPr>
      <w:r>
        <w:t xml:space="preserve">60–180 </w:t>
      </w:r>
      <w:r>
        <w:rPr>
          <w:rFonts w:hint="eastAsia"/>
        </w:rPr>
        <w:t xml:space="preserve">天预测为条件情景外推，不代表真实未来观测，也不编造任何未来真实价格。</w:t>
      </w:r>
    </w:p>
    <w:bookmarkEnd w:id="22"/>
    <w:bookmarkStart w:id="23"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不确定性平台强度</w:t>
            </w:r>
          </w:p>
        </w:tc>
        <w:tc>
          <w:tcPr/>
          <w:p>
            <w:pPr>
              <w:pStyle w:val="Compact"/>
              <w:jc w:val="left"/>
            </w:pPr>
            <w:r>
              <w:rPr>
                <w:rFonts w:hint="eastAsia"/>
              </w:rPr>
              <w:t xml:space="preserve">无量纲</w:t>
            </w:r>
          </w:p>
        </w:tc>
      </w:tr>
    </w:tbl>
    <w:bookmarkEnd w:id="23"/>
    <w:bookmarkEnd w:id="24"/>
    <w:bookmarkStart w:id="30" w:name="传统供需基准模型"/>
    <w:p>
      <w:pPr>
        <w:pStyle w:val="Heading1"/>
      </w:pPr>
      <w:r>
        <w:rPr>
          <w:rFonts w:hint="eastAsia"/>
        </w:rPr>
        <w:t xml:space="preserve">传统供需基准模型</w:t>
      </w:r>
    </w:p>
    <w:bookmarkStart w:id="25"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的理论价格压力。设基准价格为</w:t>
      </w:r>
      <w:r>
        <w:t xml:space="preserve"> </w:t>
      </w:r>
      <m:oMath>
        <m:sSub>
          <m:e>
            <m:r>
              <m:t>P</m:t>
            </m:r>
          </m:e>
          <m:sub>
            <m:r>
              <m:t>0</m:t>
            </m:r>
          </m:sub>
        </m:sSub>
      </m:oMath>
      <w:r>
        <w:rPr>
          <w:rFonts w:hint="eastAsia"/>
        </w:rPr>
        <w:t xml:space="preserve">，供应中断占需求比例为</w:t>
      </w:r>
      <w:r>
        <w:t xml:space="preserve"> </w:t>
      </w:r>
      <m:oMath>
        <m:r>
          <m:t>I</m:t>
        </m:r>
        <m:r>
          <m:rPr>
            <m:sty m:val="p"/>
          </m:rPr>
          <m:t>/</m:t>
        </m:r>
        <m:sSub>
          <m:e>
            <m:r>
              <m:t>D</m:t>
            </m:r>
          </m:e>
          <m:sub>
            <m:r>
              <m:t>0</m:t>
            </m:r>
          </m:sub>
        </m:sSub>
      </m:oMath>
      <w:r>
        <w:rPr>
          <w:rFonts w:hint="eastAsia"/>
        </w:rPr>
        <w:t xml:space="preserve">，短期需求价格弹性为</w:t>
      </w:r>
      <w:r>
        <w:t xml:space="preserve"> </w:t>
      </w:r>
      <m:oMath>
        <m:r>
          <m:t>ε</m:t>
        </m:r>
      </m:oMath>
      <w:r>
        <w:rPr>
          <w:rFonts w:hint="eastAsia"/>
        </w:rPr>
        <w:t xml:space="preserve">，线性化价格上界写为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该模型不是最终预测模型，而是用于说明低弹性短期供需框架会产生多高的理论上界。赛题给出的短期弹性约为</w:t>
      </w:r>
      <w:r>
        <w:t xml:space="preserve"> </w:t>
      </w:r>
      <m:oMath>
        <m:r>
          <m:rPr>
            <m:sty m:val="p"/>
          </m:rPr>
          <m:t>−</m:t>
        </m:r>
        <m:r>
          <m:t>0.05</m:t>
        </m:r>
      </m:oMath>
      <w:r>
        <w:rPr>
          <w:rFonts w:hint="eastAsia"/>
        </w:rPr>
        <w:t xml:space="preserve">，供应中断范围约为</w:t>
      </w:r>
      <w:r>
        <w:t xml:space="preserve"> 1400–1800 </w:t>
      </w:r>
      <w:r>
        <w:rPr>
          <w:rFonts w:hint="eastAsia"/>
        </w:rPr>
        <w:t xml:space="preserve">万桶/日。</w:t>
      </w:r>
    </w:p>
    <w:bookmarkEnd w:id="25"/>
    <w:bookmarkStart w:id="29" w:name="基准模型结果"/>
    <w:p>
      <w:pPr>
        <w:pStyle w:val="Heading2"/>
      </w:pPr>
      <w:r>
        <w:rPr>
          <w:rFonts w:hint="eastAsia"/>
        </w:rPr>
        <w:t xml:space="preserve">基准模型结果</w:t>
      </w:r>
    </w:p>
    <w:p>
      <w:pPr>
        <w:pStyle w:val="TableCaption"/>
      </w:pPr>
      <w:r>
        <w:rPr>
          <w:rFonts w:hint="eastAsia"/>
        </w:rPr>
        <w:t xml:space="preserve">传统供需基准模型结果</w:t>
      </w:r>
    </w:p>
    <w:tbl>
      <w:tblPr>
        <w:tblStyle w:val="Table"/>
        <w:tblW w:type="auto" w:w="0"/>
        <w:tblLook w:firstRow="1" w:lastRow="0" w:firstColumn="0" w:lastColumn="0" w:noHBand="0" w:noVBand="0" w:val="0020"/>
        <w:tblCaption w:val="传统供需基准模型结果"/>
      </w:tblPr>
      <w:tblGrid>
        <w:gridCol w:w="1980"/>
        <w:gridCol w:w="1980"/>
        <w:gridCol w:w="1980"/>
        <w:gridCol w:w="198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线性化价格</w:t>
            </w:r>
          </w:p>
        </w:tc>
        <w:tc>
          <w:tcPr/>
          <w:p>
            <w:pPr>
              <w:pStyle w:val="Compact"/>
              <w:jc w:val="right"/>
            </w:pPr>
            <w:r>
              <w:rPr>
                <w:rFonts w:hint="eastAsia"/>
              </w:rPr>
              <w:t xml:space="preserve">相对实际最高收盘价倍数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2.95</w:t>
            </w:r>
          </w:p>
        </w:tc>
      </w:tr>
    </w:tbl>
    <w:p>
      <w:pPr>
        <w:pStyle w:val="CaptionedFigure"/>
      </w:pPr>
      <w:r>
        <w:drawing>
          <wp:inline>
            <wp:extent cx="4693920" cy="2560320"/>
            <wp:effectExtent b="0" l="0" r="0" t="0"/>
            <wp:docPr descr="" title="" id="27" name="Picture"/>
            <a:graphic>
              <a:graphicData uri="http://schemas.openxmlformats.org/drawingml/2006/picture">
                <pic:pic>
                  <pic:nvPicPr>
                    <pic:cNvPr descr="baseline_vs_actual.png" id="28" name="Picture"/>
                    <pic:cNvPicPr>
                      <a:picLocks noChangeArrowheads="1" noChangeAspect="1"/>
                    </pic:cNvPicPr>
                  </pic:nvPicPr>
                  <pic:blipFill>
                    <a:blip r:embed="rId26"/>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结果显示，传统模型给出的</w:t>
      </w:r>
      <w:r>
        <w:t xml:space="preserve"> 278–337 </w:t>
      </w:r>
      <w:r>
        <w:rPr>
          <w:rFonts w:hint="eastAsia"/>
        </w:rPr>
        <w:t xml:space="preserve">美元/桶显著高于附件冲突窗口最高收盘价</w:t>
      </w:r>
      <w:r>
        <w:t xml:space="preserve"> 114.06 </w:t>
      </w:r>
      <w:r>
        <w:rPr>
          <w:rFonts w:hint="eastAsia"/>
        </w:rPr>
        <w:t xml:space="preserve">美元/桶。这说明单纯依靠供应缺口和低短期弹性无法解释现实价格，必须进一步引入</w:t>
      </w:r>
      <w:r>
        <w:t xml:space="preserve"> </w:t>
      </w:r>
      <w:r>
        <w:rPr>
          <w:rFonts w:hint="eastAsia"/>
        </w:rPr>
        <w:t xml:space="preserve">SPR、库存、绕道运输、需求收缩和市场预期修复。</w:t>
      </w:r>
    </w:p>
    <w:bookmarkEnd w:id="29"/>
    <w:bookmarkEnd w:id="30"/>
    <w:bookmarkStart w:id="33" w:name="短期动态递推模型"/>
    <w:p>
      <w:pPr>
        <w:pStyle w:val="Heading1"/>
      </w:pPr>
      <w:r>
        <w:rPr>
          <w:rFonts w:hint="eastAsia"/>
        </w:rPr>
        <w:t xml:space="preserve">短期动态递推模型</w:t>
      </w:r>
    </w:p>
    <w:bookmarkStart w:id="31"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31"/>
    <w:bookmarkStart w:id="32"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r>
                    <m:t>0.004</m:t>
                  </m:r>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r>
            <m:t>2.5</m:t>
          </m:r>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pStyle w:val="FirstParagraph"/>
      </w:pPr>
      <w:r>
        <w:rPr>
          <w:rFonts w:hint="eastAsia"/>
        </w:rPr>
        <w:t xml:space="preserve">该结构保留了题面中的离散递推思想，同时允许期货市场对风险和预期做非线性再定价。</w:t>
      </w:r>
    </w:p>
    <w:bookmarkEnd w:id="32"/>
    <w:bookmarkEnd w:id="33"/>
    <w:bookmarkStart w:id="56" w:name="参数校准与模型检验"/>
    <w:p>
      <w:pPr>
        <w:pStyle w:val="Heading1"/>
      </w:pPr>
      <w:r>
        <w:rPr>
          <w:rFonts w:hint="eastAsia"/>
        </w:rPr>
        <w:t xml:space="preserve">参数校准与模型检验</w:t>
      </w:r>
    </w:p>
    <w:bookmarkStart w:id="34"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r>
      <w:tr>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c>
          <w:tcPr/>
          <w:p>
            <w:pPr>
              <w:pStyle w:val="Compact"/>
              <w:jc w:val="left"/>
            </w:pPr>
            <w:r>
              <w:rPr>
                <w:rFonts w:hint="eastAsia"/>
              </w:rPr>
              <w:t xml:space="preserve">不确定性平台</w:t>
            </w:r>
          </w:p>
        </w:tc>
        <w:tc>
          <w:tcPr/>
          <w:p>
            <w:pPr>
              <w:pStyle w:val="Compact"/>
              <w:jc w:val="right"/>
            </w:pPr>
            <w:r>
              <w:t xml:space="preserve">0.247</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bookmarkEnd w:id="34"/>
    <w:bookmarkStart w:id="41"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36" name="Picture"/>
            <a:graphic>
              <a:graphicData uri="http://schemas.openxmlformats.org/drawingml/2006/picture">
                <pic:pic>
                  <pic:nvPicPr>
                    <pic:cNvPr descr="短期模型拟合效果.png" id="37" name="Picture"/>
                    <pic:cNvPicPr>
                      <a:picLocks noChangeArrowheads="1" noChangeAspect="1"/>
                    </pic:cNvPicPr>
                  </pic:nvPicPr>
                  <pic:blipFill>
                    <a:blip r:embed="rId35"/>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39" name="Picture"/>
            <a:graphic>
              <a:graphicData uri="http://schemas.openxmlformats.org/drawingml/2006/picture">
                <pic:pic>
                  <pic:nvPicPr>
                    <pic:cNvPr descr="短期模型机制贡献.png" id="40" name="Picture"/>
                    <pic:cNvPicPr>
                      <a:picLocks noChangeArrowheads="1" noChangeAspect="1"/>
                    </pic:cNvPicPr>
                  </pic:nvPicPr>
                  <pic:blipFill>
                    <a:blip r:embed="rId38"/>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41"/>
    <w:bookmarkStart w:id="48" w:name="基准对比与防御性检验"/>
    <w:p>
      <w:pPr>
        <w:pStyle w:val="Heading2"/>
      </w:pPr>
      <w:r>
        <w:rPr>
          <w:rFonts w:hint="eastAsia"/>
        </w:rPr>
        <w:t xml:space="preserve">基准对比与防御性检验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43" name="Picture"/>
            <a:graphic>
              <a:graphicData uri="http://schemas.openxmlformats.org/drawingml/2006/picture">
                <pic:pic>
                  <pic:nvPicPr>
                    <pic:cNvPr descr="短期模型基准对比.png" id="44" name="Picture"/>
                    <pic:cNvPicPr>
                      <a:picLocks noChangeArrowheads="1" noChangeAspect="1"/>
                    </pic:cNvPicPr>
                  </pic:nvPicPr>
                  <pic:blipFill>
                    <a:blip r:embed="rId42"/>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46" name="Picture"/>
            <a:graphic>
              <a:graphicData uri="http://schemas.openxmlformats.org/drawingml/2006/picture">
                <pic:pic>
                  <pic:nvPicPr>
                    <pic:cNvPr descr="短期模型滞后平移检验.png" id="47" name="Picture"/>
                    <pic:cNvPicPr>
                      <a:picLocks noChangeArrowheads="1" noChangeAspect="1"/>
                    </pic:cNvPicPr>
                  </pic:nvPicPr>
                  <pic:blipFill>
                    <a:blip r:embed="rId45"/>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48"/>
    <w:bookmarkStart w:id="55" w:name="机制消融与过拟合防御"/>
    <w:p>
      <w:pPr>
        <w:pStyle w:val="Heading2"/>
      </w:pPr>
      <w:r>
        <w:rPr>
          <w:rFonts w:hint="eastAsia"/>
        </w:rPr>
        <w:t xml:space="preserve">机制消融与过拟合防御</w:t>
      </w:r>
    </w:p>
    <w:p>
      <w:pPr>
        <w:pStyle w:val="FirstParagraph"/>
      </w:pPr>
      <w:r>
        <w:rPr>
          <w:rFonts w:hint="eastAsia"/>
        </w:rPr>
        <w:t xml:space="preserve">本文在同一短期模型中逐项关闭关键机制，并保持其余参数不重新校准。消融结果显示，去除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5.86；去除风险与不确定性溢价后</w:t>
      </w:r>
      <w:r>
        <w:t xml:space="preserve"> RMSE </w:t>
      </w:r>
      <w:r>
        <w:rPr>
          <w:rFonts w:hint="eastAsia"/>
        </w:rPr>
        <w:t xml:space="preserve">升至</w:t>
      </w:r>
      <w:r>
        <w:t xml:space="preserve"> </w:t>
      </w:r>
      <w:r>
        <w:rPr>
          <w:rFonts w:hint="eastAsia"/>
        </w:rPr>
        <w:t xml:space="preserve">30.69；去除预期修复折价后后期</w:t>
      </w:r>
      <w:r>
        <w:t xml:space="preserve"> RMSE </w:t>
      </w:r>
      <w:r>
        <w:rPr>
          <w:rFonts w:hint="eastAsia"/>
        </w:rPr>
        <w:t xml:space="preserve">升至</w:t>
      </w:r>
      <w:r>
        <w:t xml:space="preserve"> </w:t>
      </w:r>
      <w:r>
        <w:rPr>
          <w:rFonts w:hint="eastAsia"/>
        </w:rPr>
        <w:t xml:space="preserve">10.09。这说明题面物理层和市场价格形成层均有边际贡献。</w:t>
      </w:r>
    </w:p>
    <w:p>
      <w:pPr>
        <w:pStyle w:val="CaptionedFigure"/>
      </w:pPr>
      <w:r>
        <w:drawing>
          <wp:inline>
            <wp:extent cx="4800600" cy="2480310"/>
            <wp:effectExtent b="0" l="0" r="0" t="0"/>
            <wp:docPr descr="" title="" id="50" name="Picture"/>
            <a:graphic>
              <a:graphicData uri="http://schemas.openxmlformats.org/drawingml/2006/picture">
                <pic:pic>
                  <pic:nvPicPr>
                    <pic:cNvPr descr="短期模型机制消融实验.png" id="51" name="Picture"/>
                    <pic:cNvPicPr>
                      <a:picLocks noChangeArrowheads="1" noChangeAspect="1"/>
                    </pic:cNvPicPr>
                  </pic:nvPicPr>
                  <pic:blipFill>
                    <a:blip r:embed="rId49"/>
                    <a:stretch>
                      <a:fillRect/>
                    </a:stretch>
                  </pic:blipFill>
                  <pic:spPr bwMode="auto">
                    <a:xfrm>
                      <a:off x="0" y="0"/>
                      <a:ext cx="4800600" cy="2480310"/>
                    </a:xfrm>
                    <a:prstGeom prst="rect">
                      <a:avLst/>
                    </a:prstGeom>
                    <a:noFill/>
                    <a:ln w="9525">
                      <a:noFill/>
                      <a:headEnd/>
                      <a:tailEnd/>
                    </a:ln>
                  </pic:spPr>
                </pic:pic>
              </a:graphicData>
            </a:graphic>
          </wp:inline>
        </w:drawing>
      </w:r>
    </w:p>
    <w:p>
      <w:pPr>
        <w:pStyle w:val="ImageCaption"/>
      </w:pPr>
      <w:r>
        <w:rPr>
          <w:rFonts w:hint="eastAsia"/>
        </w:rPr>
        <w:t xml:space="preserve">短期模型机制消融实验。关闭关键机制后误差结构显著恶化。</w:t>
      </w:r>
    </w:p>
    <w:p>
      <w:pPr>
        <w:pStyle w:val="BodyText"/>
      </w:pPr>
      <w:r>
        <w:rPr>
          <w:rFonts w:hint="eastAsia"/>
        </w:rPr>
        <w:t xml:space="preserve">由于冲突窗口只有</w:t>
      </w:r>
      <w:r>
        <w:t xml:space="preserve"> 46 </w:t>
      </w:r>
      <w:r>
        <w:rPr>
          <w:rFonts w:hint="eastAsia"/>
        </w:rPr>
        <w:t xml:space="preserve">个交易日，而校准参数较多，本文主动进行过拟合压力测试和代码硬编码审计。结果显示，在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美元/桶区间；代码审计确认递推核心未出现将</w:t>
      </w:r>
      <w:r>
        <w:t xml:space="preserve"> 120 </w:t>
      </w:r>
      <w:r>
        <w:rPr>
          <w:rFonts w:hint="eastAsia"/>
        </w:rPr>
        <w:t xml:space="preserve">美元硬编码为上限的条件分支。本文因此将模型定位为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53" name="Picture"/>
            <a:graphic>
              <a:graphicData uri="http://schemas.openxmlformats.org/drawingml/2006/picture">
                <pic:pic>
                  <pic:nvPicPr>
                    <pic:cNvPr descr="短期模型过拟合压力测试.png" id="54" name="Picture"/>
                    <pic:cNvPicPr>
                      <a:picLocks noChangeArrowheads="1" noChangeAspect="1"/>
                    </pic:cNvPicPr>
                  </pic:nvPicPr>
                  <pic:blipFill>
                    <a:blip r:embed="rId52"/>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短期模型过拟合压力测试。多数扰动样本仍保持在合理价格平台附近。</w:t>
      </w:r>
    </w:p>
    <w:bookmarkEnd w:id="55"/>
    <w:bookmarkEnd w:id="56"/>
    <w:bookmarkStart w:id="65" w:name="天三情景预测"/>
    <w:p>
      <w:pPr>
        <w:pStyle w:val="Heading1"/>
      </w:pPr>
      <w:r>
        <w:t xml:space="preserve">60–180 </w:t>
      </w:r>
      <w:r>
        <w:rPr>
          <w:rFonts w:hint="eastAsia"/>
        </w:rPr>
        <w:t xml:space="preserve">天三情景预测</w:t>
      </w:r>
    </w:p>
    <w:bookmarkStart w:id="57" w:name="情景设定"/>
    <w:p>
      <w:pPr>
        <w:pStyle w:val="Heading2"/>
      </w:pPr>
      <w:r>
        <w:rPr>
          <w:rFonts w:hint="eastAsia"/>
        </w:rPr>
        <w:t xml:space="preserve">情景设定</w:t>
      </w:r>
    </w:p>
    <w:p>
      <w:pPr>
        <w:pStyle w:val="FirstParagraph"/>
      </w:pPr>
      <w:r>
        <w:rPr>
          <w:rFonts w:hint="eastAsia"/>
        </w:rPr>
        <w:t xml:space="preserve">阶段</w:t>
      </w:r>
      <w:r>
        <w:t xml:space="preserve"> 5 </w:t>
      </w:r>
      <w:r>
        <w:rPr>
          <w:rFonts w:hint="eastAsia"/>
        </w:rPr>
        <w:t xml:space="preserve">在阶段</w:t>
      </w:r>
      <w:r>
        <w:t xml:space="preserve"> 4 </w:t>
      </w:r>
      <w:r>
        <w:rPr>
          <w:rFonts w:hint="eastAsia"/>
        </w:rPr>
        <w:t xml:space="preserve">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bookmarkEnd w:id="57"/>
    <w:bookmarkStart w:id="64"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98.40</w:t>
            </w:r>
          </w:p>
        </w:tc>
        <w:tc>
          <w:tcPr/>
          <w:p>
            <w:pPr>
              <w:pStyle w:val="Compact"/>
              <w:jc w:val="right"/>
            </w:pPr>
            <w:r>
              <w:t xml:space="preserve">98.33</w:t>
            </w:r>
          </w:p>
        </w:tc>
        <w:tc>
          <w:tcPr/>
          <w:p>
            <w:pPr>
              <w:pStyle w:val="Compact"/>
              <w:jc w:val="right"/>
            </w:pPr>
            <w:r>
              <w:t xml:space="preserve">95.99</w:t>
            </w:r>
          </w:p>
        </w:tc>
        <w:tc>
          <w:tcPr/>
          <w:p>
            <w:pPr>
              <w:pStyle w:val="Compact"/>
              <w:jc w:val="right"/>
            </w:pPr>
            <w:r>
              <w:t xml:space="preserve">104.75</w:t>
            </w:r>
          </w:p>
        </w:tc>
        <w:tc>
          <w:tcPr/>
          <w:p>
            <w:pPr>
              <w:pStyle w:val="Compact"/>
              <w:jc w:val="right"/>
            </w:pPr>
            <w:r>
              <w:t xml:space="preserve">97.73</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109.99</w:t>
            </w:r>
          </w:p>
        </w:tc>
        <w:tc>
          <w:tcPr/>
          <w:p>
            <w:pPr>
              <w:pStyle w:val="Compact"/>
              <w:jc w:val="right"/>
            </w:pPr>
            <w:r>
              <w:t xml:space="preserve">108.04</w:t>
            </w:r>
          </w:p>
        </w:tc>
        <w:tc>
          <w:tcPr/>
          <w:p>
            <w:pPr>
              <w:pStyle w:val="Compact"/>
              <w:jc w:val="right"/>
            </w:pPr>
            <w:r>
              <w:t xml:space="preserve">104.49</w:t>
            </w:r>
          </w:p>
        </w:tc>
        <w:tc>
          <w:tcPr/>
          <w:p>
            <w:pPr>
              <w:pStyle w:val="Compact"/>
              <w:jc w:val="right"/>
            </w:pPr>
            <w:r>
              <w:t xml:space="preserve">110.89</w:t>
            </w:r>
          </w:p>
        </w:tc>
        <w:tc>
          <w:tcPr/>
          <w:p>
            <w:pPr>
              <w:pStyle w:val="Compact"/>
              <w:jc w:val="right"/>
            </w:pPr>
            <w:r>
              <w:t xml:space="preserve">107.88</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127.32</w:t>
            </w:r>
          </w:p>
        </w:tc>
        <w:tc>
          <w:tcPr/>
          <w:p>
            <w:pPr>
              <w:pStyle w:val="Compact"/>
              <w:jc w:val="right"/>
            </w:pPr>
            <w:r>
              <w:t xml:space="preserve">122.59</w:t>
            </w:r>
          </w:p>
        </w:tc>
        <w:tc>
          <w:tcPr/>
          <w:p>
            <w:pPr>
              <w:pStyle w:val="Compact"/>
              <w:jc w:val="right"/>
            </w:pPr>
            <w:r>
              <w:t xml:space="preserve">119.53</w:t>
            </w:r>
          </w:p>
        </w:tc>
        <w:tc>
          <w:tcPr/>
          <w:p>
            <w:pPr>
              <w:pStyle w:val="Compact"/>
              <w:jc w:val="right"/>
            </w:pPr>
            <w:r>
              <w:t xml:space="preserve">130.18</w:t>
            </w:r>
          </w:p>
        </w:tc>
        <w:tc>
          <w:tcPr/>
          <w:p>
            <w:pPr>
              <w:pStyle w:val="Compact"/>
              <w:jc w:val="right"/>
            </w:pPr>
            <w:r>
              <w:t xml:space="preserve">123.57</w:t>
            </w:r>
          </w:p>
        </w:tc>
        <w:tc>
          <w:tcPr/>
          <w:p>
            <w:pPr>
              <w:pStyle w:val="Compact"/>
              <w:jc w:val="right"/>
            </w:pPr>
            <w:r>
              <w:rPr>
                <w:rFonts w:hint="eastAsia"/>
              </w:rPr>
              <w:t xml:space="preserve">高</w:t>
            </w:r>
          </w:p>
        </w:tc>
      </w:tr>
    </w:tbl>
    <w:p>
      <w:pPr>
        <w:pStyle w:val="CaptionedFigure"/>
      </w:pPr>
      <w:r>
        <w:drawing>
          <wp:inline>
            <wp:extent cx="4907280" cy="2645664"/>
            <wp:effectExtent b="0" l="0" r="0" t="0"/>
            <wp:docPr descr="" title="" id="59" name="Picture"/>
            <a:graphic>
              <a:graphicData uri="http://schemas.openxmlformats.org/drawingml/2006/picture">
                <pic:pic>
                  <pic:nvPicPr>
                    <pic:cNvPr descr="scenario_price_paths.png" id="60" name="Picture"/>
                    <pic:cNvPicPr>
                      <a:picLocks noChangeArrowheads="1" noChangeAspect="1"/>
                    </pic:cNvPicPr>
                  </pic:nvPicPr>
                  <pic:blipFill>
                    <a:blip r:embed="rId58"/>
                    <a:stretch>
                      <a:fillRect/>
                    </a:stretch>
                  </pic:blipFill>
                  <pic:spPr bwMode="auto">
                    <a:xfrm>
                      <a:off x="0" y="0"/>
                      <a:ext cx="4907280" cy="2645664"/>
                    </a:xfrm>
                    <a:prstGeom prst="rect">
                      <a:avLst/>
                    </a:prstGeom>
                    <a:noFill/>
                    <a:ln w="9525">
                      <a:noFill/>
                      <a:headEnd/>
                      <a:tailEnd/>
                    </a:ln>
                  </pic:spPr>
                </pic:pic>
              </a:graphicData>
            </a:graphic>
          </wp:inline>
        </w:drawing>
      </w:r>
    </w:p>
    <w:p>
      <w:pPr>
        <w:pStyle w:val="ImageCaption"/>
      </w:pPr>
      <w:r>
        <w:rPr>
          <w:rFonts w:hint="eastAsia"/>
        </w:rPr>
        <w:t xml:space="preserve">阶段</w:t>
      </w:r>
      <w:r>
        <w:t xml:space="preserve"> </w:t>
      </w:r>
      <w:r>
        <w:rPr>
          <w:rFonts w:hint="eastAsia"/>
        </w:rPr>
        <w:t xml:space="preserve">5：60–180</w:t>
      </w:r>
      <w:r>
        <w:t xml:space="preserve"> </w:t>
      </w:r>
      <w:r>
        <w:rPr>
          <w:rFonts w:hint="eastAsia"/>
        </w:rPr>
        <w:t xml:space="preserve">天三情景原油价格路径。</w:t>
      </w:r>
    </w:p>
    <w:p>
      <w:pPr>
        <w:pStyle w:val="BodyText"/>
      </w:pPr>
      <w:r>
        <w:rPr>
          <w:rFonts w:hint="eastAsia"/>
        </w:rPr>
        <w:t xml:space="preserve">结果显示，中性情景下价格在</w:t>
      </w:r>
      <w:r>
        <w:t xml:space="preserve"> 180 </w:t>
      </w:r>
      <w:r>
        <w:rPr>
          <w:rFonts w:hint="eastAsia"/>
        </w:rPr>
        <w:t xml:space="preserve">天附近回落至约</w:t>
      </w:r>
      <w:r>
        <w:t xml:space="preserve"> 104.49 </w:t>
      </w:r>
      <w:r>
        <w:rPr>
          <w:rFonts w:hint="eastAsia"/>
        </w:rPr>
        <w:t xml:space="preserve">美元/桶；悲观情景下，若供应中断偏大、SPR</w:t>
      </w:r>
      <w:r>
        <w:t xml:space="preserve"> </w:t>
      </w:r>
      <w:r>
        <w:rPr>
          <w:rFonts w:hint="eastAsia"/>
        </w:rPr>
        <w:t xml:space="preserve">释放弱、绕道恢复慢且风险溢价维持高位，价格可能再次升至</w:t>
      </w:r>
      <w:r>
        <w:t xml:space="preserve"> 120 </w:t>
      </w:r>
      <w:r>
        <w:rPr>
          <w:rFonts w:hint="eastAsia"/>
        </w:rPr>
        <w:t xml:space="preserve">美元/桶附近，并在外推期达到约</w:t>
      </w:r>
      <w:r>
        <w:t xml:space="preserve"> 130.18 </w:t>
      </w:r>
      <w:r>
        <w:rPr>
          <w:rFonts w:hint="eastAsia"/>
        </w:rPr>
        <w:t xml:space="preserve">美元/桶的高点。</w:t>
      </w:r>
    </w:p>
    <w:p>
      <w:pPr>
        <w:pStyle w:val="CaptionedFigure"/>
      </w:pPr>
      <w:r>
        <w:drawing>
          <wp:inline>
            <wp:extent cx="4907280" cy="3413760"/>
            <wp:effectExtent b="0" l="0" r="0" t="0"/>
            <wp:docPr descr="" title="" id="62" name="Picture"/>
            <a:graphic>
              <a:graphicData uri="http://schemas.openxmlformats.org/drawingml/2006/picture">
                <pic:pic>
                  <pic:nvPicPr>
                    <pic:cNvPr descr="inventory_depletion_risk.png" id="63" name="Picture"/>
                    <pic:cNvPicPr>
                      <a:picLocks noChangeArrowheads="1" noChangeAspect="1"/>
                    </pic:cNvPicPr>
                  </pic:nvPicPr>
                  <pic:blipFill>
                    <a:blip r:embed="rId61"/>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64"/>
    <w:bookmarkEnd w:id="65"/>
    <w:bookmarkStart w:id="74" w:name="敏感性分析"/>
    <w:p>
      <w:pPr>
        <w:pStyle w:val="Heading1"/>
      </w:pPr>
      <w:r>
        <w:rPr>
          <w:rFonts w:hint="eastAsia"/>
        </w:rPr>
        <w:t xml:space="preserve">敏感性分析</w:t>
      </w:r>
    </w:p>
    <w:bookmarkStart w:id="66" w:name="分析方法"/>
    <w:p>
      <w:pPr>
        <w:pStyle w:val="Heading2"/>
      </w:pPr>
      <w:r>
        <w:rPr>
          <w:rFonts w:hint="eastAsia"/>
        </w:rPr>
        <w:t xml:space="preserve">分析方法</w:t>
      </w:r>
    </w:p>
    <w:p>
      <w:pPr>
        <w:pStyle w:val="FirstParagraph"/>
      </w:pPr>
      <w:r>
        <w:rPr>
          <w:rFonts w:hint="eastAsia"/>
        </w:rPr>
        <w:t xml:space="preserve">阶段</w:t>
      </w:r>
      <w:r>
        <w:t xml:space="preserve"> 6 </w:t>
      </w:r>
      <w:r>
        <w:rPr>
          <w:rFonts w:hint="eastAsia"/>
        </w:rPr>
        <w:t xml:space="preserve">以阶段</w:t>
      </w:r>
      <w:r>
        <w:t xml:space="preserve"> 5 </w:t>
      </w:r>
      <w:r>
        <w:rPr>
          <w:rFonts w:hint="eastAsia"/>
        </w:rPr>
        <w:t xml:space="preserve">中性情景为基准，对</w:t>
      </w:r>
      <w:r>
        <w:t xml:space="preserve"> 10 </w:t>
      </w:r>
      <w:r>
        <w:rPr>
          <w:rFonts w:hint="eastAsia"/>
        </w:rPr>
        <w:t xml:space="preserve">个关键参数进行单因素扰动，观察第</w:t>
      </w:r>
      <w:r>
        <w:t xml:space="preserve"> 180 </w:t>
      </w:r>
      <w:r>
        <w:rPr>
          <w:rFonts w:hint="eastAsia"/>
        </w:rPr>
        <w:t xml:space="preserve">天价格、外推期最高价、剩余供需缺口和二次跳涨风险变化。综合敏感度定义为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66"/>
    <w:bookmarkStart w:id="73" w:name="参数重要性排序"/>
    <w:p>
      <w:pPr>
        <w:pStyle w:val="Heading2"/>
      </w:pPr>
      <w:r>
        <w:rPr>
          <w:rFonts w:hint="eastAsia"/>
        </w:rPr>
        <w:t xml:space="preserve">参数重要性排序</w:t>
      </w:r>
    </w:p>
    <w:p>
      <w:pPr>
        <w:pStyle w:val="TableCaption"/>
      </w:pPr>
      <w:r>
        <w:rPr>
          <w:rFonts w:hint="eastAsia"/>
        </w:rPr>
        <w:t xml:space="preserve">阶段</w:t>
      </w:r>
      <w:r>
        <w:t xml:space="preserve"> 6 </w:t>
      </w:r>
      <w:r>
        <w:rPr>
          <w:rFonts w:hint="eastAsia"/>
        </w:rPr>
        <w:t xml:space="preserve">参数综合敏感度排序</w:t>
      </w:r>
    </w:p>
    <w:tbl>
      <w:tblPr>
        <w:tblStyle w:val="Table"/>
        <w:tblW w:type="auto" w:w="0"/>
        <w:tblLook w:firstRow="1" w:lastRow="0" w:firstColumn="0" w:lastColumn="0" w:noHBand="0" w:noVBand="0" w:val="0020"/>
        <w:tblCaption w:val="阶段 6 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不确定性平台</w:t>
            </w:r>
          </w:p>
        </w:tc>
        <w:tc>
          <w:tcPr/>
          <w:p>
            <w:pPr>
              <w:pStyle w:val="Compact"/>
              <w:jc w:val="right"/>
            </w:pPr>
            <w:r>
              <w:t xml:space="preserve">17.93</w:t>
            </w:r>
          </w:p>
        </w:tc>
        <w:tc>
          <w:tcPr/>
          <w:p>
            <w:pPr>
              <w:pStyle w:val="Compact"/>
              <w:jc w:val="right"/>
            </w:pPr>
            <w:r>
              <w:t xml:space="preserve">12.45</w:t>
            </w:r>
          </w:p>
        </w:tc>
        <w:tc>
          <w:tcPr/>
          <w:p>
            <w:pPr>
              <w:pStyle w:val="Compact"/>
              <w:jc w:val="right"/>
            </w:pPr>
            <w:r>
              <w:t xml:space="preserve">12.19</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12.30</w:t>
            </w:r>
          </w:p>
        </w:tc>
        <w:tc>
          <w:tcPr/>
          <w:p>
            <w:pPr>
              <w:pStyle w:val="Compact"/>
              <w:jc w:val="right"/>
            </w:pPr>
            <w:r>
              <w:t xml:space="preserve">7.24</w:t>
            </w:r>
          </w:p>
        </w:tc>
        <w:tc>
          <w:tcPr/>
          <w:p>
            <w:pPr>
              <w:pStyle w:val="Compact"/>
              <w:jc w:val="right"/>
            </w:pPr>
            <w:r>
              <w:t xml:space="preserve">11.26</w:t>
            </w:r>
          </w:p>
        </w:tc>
      </w:tr>
      <w:tr>
        <w:tc>
          <w:tcPr/>
          <w:p>
            <w:pPr>
              <w:pStyle w:val="Compact"/>
              <w:jc w:val="right"/>
            </w:pPr>
            <w:r>
              <w:t xml:space="preserve">3</w:t>
            </w:r>
          </w:p>
        </w:tc>
        <w:tc>
          <w:tcPr/>
          <w:p>
            <w:pPr>
              <w:pStyle w:val="Compact"/>
              <w:jc w:val="left"/>
            </w:pPr>
            <w:r>
              <w:rPr>
                <w:rFonts w:hint="eastAsia"/>
              </w:rPr>
              <w:t xml:space="preserve">供应中断量</w:t>
            </w:r>
          </w:p>
        </w:tc>
        <w:tc>
          <w:tcPr/>
          <w:p>
            <w:pPr>
              <w:pStyle w:val="Compact"/>
              <w:jc w:val="right"/>
            </w:pPr>
            <w:r>
              <w:t xml:space="preserve">5.91</w:t>
            </w:r>
          </w:p>
        </w:tc>
        <w:tc>
          <w:tcPr/>
          <w:p>
            <w:pPr>
              <w:pStyle w:val="Compact"/>
              <w:jc w:val="right"/>
            </w:pPr>
            <w:r>
              <w:t xml:space="preserve">3.54</w:t>
            </w:r>
          </w:p>
        </w:tc>
        <w:tc>
          <w:tcPr/>
          <w:p>
            <w:pPr>
              <w:pStyle w:val="Compact"/>
              <w:jc w:val="right"/>
            </w:pPr>
            <w:r>
              <w:t xml:space="preserve">5.27</w:t>
            </w:r>
          </w:p>
        </w:tc>
      </w:tr>
      <w:tr>
        <w:tc>
          <w:tcPr/>
          <w:p>
            <w:pPr>
              <w:pStyle w:val="Compact"/>
              <w:jc w:val="right"/>
            </w:pPr>
            <w:r>
              <w:t xml:space="preserve">4</w:t>
            </w:r>
          </w:p>
        </w:tc>
        <w:tc>
          <w:tcPr/>
          <w:p>
            <w:pPr>
              <w:pStyle w:val="Compact"/>
              <w:jc w:val="left"/>
            </w:pPr>
            <w:r>
              <w:t xml:space="preserve">SPR </w:t>
            </w:r>
            <w:r>
              <w:rPr>
                <w:rFonts w:hint="eastAsia"/>
              </w:rPr>
              <w:t xml:space="preserve">释放上限</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0.52</w:t>
            </w:r>
          </w:p>
        </w:tc>
      </w:tr>
      <w:tr>
        <w:tc>
          <w:tcPr/>
          <w:p>
            <w:pPr>
              <w:pStyle w:val="Compact"/>
              <w:jc w:val="right"/>
            </w:pPr>
            <w:r>
              <w:t xml:space="preserve">5</w:t>
            </w:r>
          </w:p>
        </w:tc>
        <w:tc>
          <w:tcPr/>
          <w:p>
            <w:pPr>
              <w:pStyle w:val="Compact"/>
              <w:jc w:val="left"/>
            </w:pPr>
            <w:r>
              <w:rPr>
                <w:rFonts w:hint="eastAsia"/>
              </w:rPr>
              <w:t xml:space="preserve">恐慌衰减速度</w:t>
            </w:r>
          </w:p>
        </w:tc>
        <w:tc>
          <w:tcPr/>
          <w:p>
            <w:pPr>
              <w:pStyle w:val="Compact"/>
              <w:jc w:val="right"/>
            </w:pPr>
            <w:r>
              <w:t xml:space="preserve">0.14</w:t>
            </w:r>
          </w:p>
        </w:tc>
        <w:tc>
          <w:tcPr/>
          <w:p>
            <w:pPr>
              <w:pStyle w:val="Compact"/>
              <w:jc w:val="right"/>
            </w:pPr>
            <w:r>
              <w:t xml:space="preserve">0.00</w:t>
            </w:r>
          </w:p>
        </w:tc>
        <w:tc>
          <w:tcPr/>
          <w:p>
            <w:pPr>
              <w:pStyle w:val="Compact"/>
              <w:jc w:val="right"/>
            </w:pPr>
            <w:r>
              <w:t xml:space="preserve">0.30</w:t>
            </w:r>
          </w:p>
        </w:tc>
      </w:tr>
      <w:tr>
        <w:tc>
          <w:tcPr/>
          <w:p>
            <w:pPr>
              <w:pStyle w:val="Compact"/>
              <w:jc w:val="right"/>
            </w:pPr>
            <w:r>
              <w:t xml:space="preserve">6</w:t>
            </w:r>
          </w:p>
        </w:tc>
        <w:tc>
          <w:tcPr/>
          <w:p>
            <w:pPr>
              <w:pStyle w:val="Compact"/>
              <w:jc w:val="left"/>
            </w:pPr>
            <w:r>
              <w:rPr>
                <w:rFonts w:hint="eastAsia"/>
              </w:rPr>
              <w:t xml:space="preserve">预期修复强度</w:t>
            </w:r>
          </w:p>
        </w:tc>
        <w:tc>
          <w:tcPr/>
          <w:p>
            <w:pPr>
              <w:pStyle w:val="Compact"/>
              <w:jc w:val="right"/>
            </w:pPr>
            <w:r>
              <w:t xml:space="preserve">0.07</w:t>
            </w:r>
          </w:p>
        </w:tc>
        <w:tc>
          <w:tcPr/>
          <w:p>
            <w:pPr>
              <w:pStyle w:val="Compact"/>
              <w:jc w:val="right"/>
            </w:pPr>
            <w:r>
              <w:t xml:space="preserve">0.00</w:t>
            </w:r>
          </w:p>
        </w:tc>
        <w:tc>
          <w:tcPr/>
          <w:p>
            <w:pPr>
              <w:pStyle w:val="Compact"/>
              <w:jc w:val="right"/>
            </w:pPr>
            <w:r>
              <w:t xml:space="preserve">0.16</w:t>
            </w:r>
          </w:p>
        </w:tc>
      </w:tr>
      <w:tr>
        <w:tc>
          <w:tcPr/>
          <w:p>
            <w:pPr>
              <w:pStyle w:val="Compact"/>
              <w:jc w:val="right"/>
            </w:pPr>
            <w:r>
              <w:t xml:space="preserve">7</w:t>
            </w:r>
          </w:p>
        </w:tc>
        <w:tc>
          <w:tcPr/>
          <w:p>
            <w:pPr>
              <w:pStyle w:val="Compact"/>
              <w:jc w:val="left"/>
            </w:pPr>
            <w:r>
              <w:t xml:space="preserve">SPR </w:t>
            </w:r>
            <w:r>
              <w:rPr>
                <w:rFonts w:hint="eastAsia"/>
              </w:rPr>
              <w:t xml:space="preserve">启动延迟</w:t>
            </w:r>
          </w:p>
        </w:tc>
        <w:tc>
          <w:tcPr/>
          <w:p>
            <w:pPr>
              <w:pStyle w:val="Compact"/>
              <w:jc w:val="right"/>
            </w:pPr>
            <w:r>
              <w:t xml:space="preserve">0.05</w:t>
            </w:r>
          </w:p>
        </w:tc>
        <w:tc>
          <w:tcPr/>
          <w:p>
            <w:pPr>
              <w:pStyle w:val="Compact"/>
              <w:jc w:val="right"/>
            </w:pPr>
            <w:r>
              <w:t xml:space="preserve">0.00</w:t>
            </w:r>
          </w:p>
        </w:tc>
        <w:tc>
          <w:tcPr/>
          <w:p>
            <w:pPr>
              <w:pStyle w:val="Compact"/>
              <w:jc w:val="right"/>
            </w:pPr>
            <w:r>
              <w:t xml:space="preserve">0.11</w:t>
            </w:r>
          </w:p>
        </w:tc>
      </w:tr>
      <w:tr>
        <w:tc>
          <w:tcPr/>
          <w:p>
            <w:pPr>
              <w:pStyle w:val="Compact"/>
              <w:jc w:val="right"/>
            </w:pPr>
            <w:r>
              <w:t xml:space="preserve">8</w:t>
            </w:r>
          </w:p>
        </w:tc>
        <w:tc>
          <w:tcPr/>
          <w:p>
            <w:pPr>
              <w:pStyle w:val="Compact"/>
              <w:jc w:val="left"/>
            </w:pPr>
            <w:r>
              <w:rPr>
                <w:rFonts w:hint="eastAsia"/>
              </w:rPr>
              <w:t xml:space="preserve">长期需求弹性</w:t>
            </w:r>
          </w:p>
        </w:tc>
        <w:tc>
          <w:tcPr/>
          <w:p>
            <w:pPr>
              <w:pStyle w:val="Compact"/>
              <w:jc w:val="right"/>
            </w:pPr>
            <w:r>
              <w:t xml:space="preserve">0.04</w:t>
            </w:r>
          </w:p>
        </w:tc>
        <w:tc>
          <w:tcPr/>
          <w:p>
            <w:pPr>
              <w:pStyle w:val="Compact"/>
              <w:jc w:val="right"/>
            </w:pPr>
            <w:r>
              <w:t xml:space="preserve">0.00</w:t>
            </w:r>
          </w:p>
        </w:tc>
        <w:tc>
          <w:tcPr/>
          <w:p>
            <w:pPr>
              <w:pStyle w:val="Compact"/>
              <w:jc w:val="right"/>
            </w:pPr>
            <w:r>
              <w:t xml:space="preserve">0.08</w:t>
            </w:r>
          </w:p>
        </w:tc>
      </w:tr>
      <w:tr>
        <w:tc>
          <w:tcPr/>
          <w:p>
            <w:pPr>
              <w:pStyle w:val="Compact"/>
              <w:jc w:val="right"/>
            </w:pPr>
            <w:r>
              <w:t xml:space="preserve">9</w:t>
            </w:r>
          </w:p>
        </w:tc>
        <w:tc>
          <w:tcPr/>
          <w:p>
            <w:pPr>
              <w:pStyle w:val="Compact"/>
              <w:jc w:val="left"/>
            </w:pPr>
            <w:r>
              <w:rPr>
                <w:rFonts w:hint="eastAsia"/>
              </w:rPr>
              <w:t xml:space="preserve">绕道运输能力</w:t>
            </w:r>
          </w:p>
        </w:tc>
        <w:tc>
          <w:tcPr/>
          <w:p>
            <w:pPr>
              <w:pStyle w:val="Compact"/>
              <w:jc w:val="right"/>
            </w:pPr>
            <w:r>
              <w:t xml:space="preserve">0.01</w:t>
            </w:r>
          </w:p>
        </w:tc>
        <w:tc>
          <w:tcPr/>
          <w:p>
            <w:pPr>
              <w:pStyle w:val="Compact"/>
              <w:jc w:val="right"/>
            </w:pPr>
            <w:r>
              <w:t xml:space="preserve">0.00</w:t>
            </w:r>
          </w:p>
        </w:tc>
        <w:tc>
          <w:tcPr/>
          <w:p>
            <w:pPr>
              <w:pStyle w:val="Compact"/>
              <w:jc w:val="right"/>
            </w:pPr>
            <w:r>
              <w:t xml:space="preserve">0.03</w:t>
            </w:r>
          </w:p>
        </w:tc>
      </w:tr>
      <w:tr>
        <w:tc>
          <w:tcPr/>
          <w:p>
            <w:pPr>
              <w:pStyle w:val="Compact"/>
              <w:jc w:val="right"/>
            </w:pPr>
            <w:r>
              <w:t xml:space="preserve">10</w:t>
            </w:r>
          </w:p>
        </w:tc>
        <w:tc>
          <w:tcPr/>
          <w:p>
            <w:pPr>
              <w:pStyle w:val="Compact"/>
              <w:jc w:val="left"/>
            </w:pPr>
            <w:r>
              <w:rPr>
                <w:rFonts w:hint="eastAsia"/>
              </w:rPr>
              <w:t xml:space="preserve">绕道恢复耗时</w:t>
            </w:r>
          </w:p>
        </w:tc>
        <w:tc>
          <w:tcPr/>
          <w:p>
            <w:pPr>
              <w:pStyle w:val="Compact"/>
              <w:jc w:val="right"/>
            </w:pPr>
            <w:r>
              <w:t xml:space="preserve">0.01</w:t>
            </w:r>
          </w:p>
        </w:tc>
        <w:tc>
          <w:tcPr/>
          <w:p>
            <w:pPr>
              <w:pStyle w:val="Compact"/>
              <w:jc w:val="right"/>
            </w:pPr>
            <w:r>
              <w:t xml:space="preserve">0.00</w:t>
            </w:r>
          </w:p>
        </w:tc>
        <w:tc>
          <w:tcPr/>
          <w:p>
            <w:pPr>
              <w:pStyle w:val="Compact"/>
              <w:jc w:val="right"/>
            </w:pPr>
            <w:r>
              <w:t xml:space="preserve">0.03</w:t>
            </w:r>
          </w:p>
        </w:tc>
      </w:tr>
    </w:tbl>
    <w:p>
      <w:pPr>
        <w:pStyle w:val="CaptionedFigure"/>
      </w:pPr>
      <w:r>
        <w:drawing>
          <wp:inline>
            <wp:extent cx="4907280" cy="2998893"/>
            <wp:effectExtent b="0" l="0" r="0" t="0"/>
            <wp:docPr descr="" title="" id="68" name="Picture"/>
            <a:graphic>
              <a:graphicData uri="http://schemas.openxmlformats.org/drawingml/2006/picture">
                <pic:pic>
                  <pic:nvPicPr>
                    <pic:cNvPr descr="sensitivity_tornado_180day.png" id="69" name="Picture"/>
                    <pic:cNvPicPr>
                      <a:picLocks noChangeArrowheads="1" noChangeAspect="1"/>
                    </pic:cNvPicPr>
                  </pic:nvPicPr>
                  <pic:blipFill>
                    <a:blip r:embed="rId67"/>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阶段</w:t>
      </w:r>
      <w:r>
        <w:t xml:space="preserve"> </w:t>
      </w:r>
      <w:r>
        <w:rPr>
          <w:rFonts w:hint="eastAsia"/>
        </w:rPr>
        <w:t xml:space="preserve">6：关键参数综合敏感度排序。</w:t>
      </w:r>
    </w:p>
    <w:p>
      <w:pPr>
        <w:pStyle w:val="CaptionedFigure"/>
      </w:pPr>
      <w:r>
        <w:drawing>
          <wp:inline>
            <wp:extent cx="4907280" cy="1599409"/>
            <wp:effectExtent b="0" l="0" r="0" t="0"/>
            <wp:docPr descr="" title="" id="71" name="Picture"/>
            <a:graphic>
              <a:graphicData uri="http://schemas.openxmlformats.org/drawingml/2006/picture">
                <pic:pic>
                  <pic:nvPicPr>
                    <pic:cNvPr descr="sensitivity_parameter_response.png" id="72" name="Picture"/>
                    <pic:cNvPicPr>
                      <a:picLocks noChangeArrowheads="1" noChangeAspect="1"/>
                    </pic:cNvPicPr>
                  </pic:nvPicPr>
                  <pic:blipFill>
                    <a:blip r:embed="rId70"/>
                    <a:stretch>
                      <a:fillRect/>
                    </a:stretch>
                  </pic:blipFill>
                  <pic:spPr bwMode="auto">
                    <a:xfrm>
                      <a:off x="0" y="0"/>
                      <a:ext cx="4907280" cy="1599409"/>
                    </a:xfrm>
                    <a:prstGeom prst="rect">
                      <a:avLst/>
                    </a:prstGeom>
                    <a:noFill/>
                    <a:ln w="9525">
                      <a:noFill/>
                      <a:headEnd/>
                      <a:tailEnd/>
                    </a:ln>
                  </pic:spPr>
                </pic:pic>
              </a:graphicData>
            </a:graphic>
          </wp:inline>
        </w:drawing>
      </w:r>
    </w:p>
    <w:p>
      <w:pPr>
        <w:pStyle w:val="ImageCaption"/>
      </w:pPr>
      <w:r>
        <w:rPr>
          <w:rFonts w:hint="eastAsia"/>
        </w:rPr>
        <w:t xml:space="preserve">前三个高敏感参数响应曲线。</w:t>
      </w:r>
    </w:p>
    <w:p>
      <w:pPr>
        <w:pStyle w:val="BodyText"/>
      </w:pPr>
      <w:r>
        <w:rPr>
          <w:rFonts w:hint="eastAsia"/>
        </w:rPr>
        <w:t xml:space="preserve">敏感性分析表明，第</w:t>
      </w:r>
      <w:r>
        <w:t xml:space="preserve"> 180 </w:t>
      </w:r>
      <w:r>
        <w:rPr>
          <w:rFonts w:hint="eastAsia"/>
        </w:rPr>
        <w:t xml:space="preserve">天终点价格对市场价格形成层最敏感，尤其是不确定性平台和地缘风险权重；供应中断量决定价格上行压力的物理底座。SPR</w:t>
      </w:r>
      <w:r>
        <w:t xml:space="preserve"> </w:t>
      </w:r>
      <w:r>
        <w:rPr>
          <w:rFonts w:hint="eastAsia"/>
        </w:rPr>
        <w:t xml:space="preserve">释放、启动延迟和绕道运输在中性路径下对第</w:t>
      </w:r>
      <w:r>
        <w:t xml:space="preserve"> 180 </w:t>
      </w:r>
      <w:r>
        <w:rPr>
          <w:rFonts w:hint="eastAsia"/>
        </w:rPr>
        <w:t xml:space="preserve">天终点价影响较小，但会改变外推期峰值和二次跳涨幅度，因此更适合被解释为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73"/>
    <w:bookmarkEnd w:id="74"/>
    <w:bookmarkStart w:id="77" w:name="模型评价"/>
    <w:p>
      <w:pPr>
        <w:pStyle w:val="Heading1"/>
      </w:pPr>
      <w:r>
        <w:rPr>
          <w:rFonts w:hint="eastAsia"/>
        </w:rPr>
        <w:t xml:space="preserve">模型评价</w:t>
      </w:r>
    </w:p>
    <w:bookmarkStart w:id="75" w:name="优点"/>
    <w:p>
      <w:pPr>
        <w:pStyle w:val="Heading2"/>
      </w:pPr>
      <w:r>
        <w:rPr>
          <w:rFonts w:hint="eastAsia"/>
        </w:rPr>
        <w:t xml:space="preserve">优点</w:t>
      </w:r>
    </w:p>
    <w:p>
      <w:pPr>
        <w:numPr>
          <w:ilvl w:val="0"/>
          <w:numId w:val="1003"/>
        </w:numPr>
      </w:pPr>
      <w:r>
        <w:rPr>
          <w:rFonts w:hint="eastAsia"/>
        </w:rPr>
        <w:t xml:space="preserve">证据链完整：从附件数据清洗、传统供需基准、动态模型、校准、防御性检验、三情景预测到敏感性分析均可复现。</w:t>
      </w:r>
    </w:p>
    <w:p>
      <w:pPr>
        <w:numPr>
          <w:ilvl w:val="0"/>
          <w:numId w:val="1003"/>
        </w:numPr>
      </w:pPr>
      <w:r>
        <w:rPr>
          <w:rFonts w:hint="eastAsia"/>
        </w:rPr>
        <w:t xml:space="preserve">机制解释清晰：模型没有把价格平台硬编码为</w:t>
      </w:r>
      <w:r>
        <w:t xml:space="preserve"> 120 </w:t>
      </w:r>
      <w:r>
        <w:rPr>
          <w:rFonts w:hint="eastAsia"/>
        </w:rPr>
        <w:t xml:space="preserve">美元，而是由供应缺口、风险溢价和缓冲折价共同递推形成。</w:t>
      </w:r>
    </w:p>
    <w:p>
      <w:pPr>
        <w:numPr>
          <w:ilvl w:val="0"/>
          <w:numId w:val="1003"/>
        </w:numPr>
      </w:pPr>
      <w:r>
        <w:rPr>
          <w:rFonts w:hint="eastAsia"/>
        </w:rPr>
        <w:t xml:space="preserve">主动回应评委质疑：本文设置</w:t>
      </w:r>
      <w:r>
        <w:t xml:space="preserve"> Random Walk </w:t>
      </w:r>
      <w:r>
        <w:rPr>
          <w:rFonts w:hint="eastAsia"/>
        </w:rPr>
        <w:t xml:space="preserve">基准、ARIMA</w:t>
      </w:r>
      <w:r>
        <w:t xml:space="preserve"> </w:t>
      </w:r>
      <w:r>
        <w:rPr>
          <w:rFonts w:hint="eastAsia"/>
        </w:rPr>
        <w:t xml:space="preserve">基准、滞后平移检验、机制消融和过拟合压力测试。</w:t>
      </w:r>
    </w:p>
    <w:p>
      <w:pPr>
        <w:numPr>
          <w:ilvl w:val="0"/>
          <w:numId w:val="1003"/>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bookmarkEnd w:id="75"/>
    <w:bookmarkStart w:id="76" w:name="局限性"/>
    <w:p>
      <w:pPr>
        <w:pStyle w:val="Heading2"/>
      </w:pPr>
      <w:r>
        <w:rPr>
          <w:rFonts w:hint="eastAsia"/>
        </w:rPr>
        <w:t xml:space="preserve">局限性</w:t>
      </w:r>
    </w:p>
    <w:p>
      <w:pPr>
        <w:numPr>
          <w:ilvl w:val="0"/>
          <w:numId w:val="1004"/>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4"/>
        </w:numPr>
      </w:pPr>
      <w:r>
        <w:rPr>
          <w:rFonts w:hint="eastAsia"/>
        </w:rPr>
        <w:t xml:space="preserve">地缘风险、不确定性平台和预期修复仍以参数化方式刻画，未引入期权隐含波动率、真实库存周报或新闻情绪等外生数据。</w:t>
      </w:r>
    </w:p>
    <w:p>
      <w:pPr>
        <w:numPr>
          <w:ilvl w:val="0"/>
          <w:numId w:val="1004"/>
        </w:numPr>
      </w:pPr>
      <w:r>
        <w:rPr>
          <w:rFonts w:hint="eastAsia"/>
        </w:rPr>
        <w:t xml:space="preserve">单因素敏感性不能完全描述参数联动风险，因此悲观情景仍是判断二次跳涨风险的重要补充。</w:t>
      </w:r>
    </w:p>
    <w:bookmarkEnd w:id="76"/>
    <w:bookmarkEnd w:id="77"/>
    <w:bookmarkStart w:id="79"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5"/>
        </w:numPr>
      </w:pPr>
      <w:r>
        <w:rPr>
          <w:rFonts w:hint="eastAsia"/>
        </w:rPr>
        <w:t xml:space="preserve">在赛题低短期弹性假设下，传统供需模型会给出约</w:t>
      </w:r>
      <w:r>
        <w:t xml:space="preserve"> 278–337 </w:t>
      </w:r>
      <w:r>
        <w:rPr>
          <w:rFonts w:hint="eastAsia"/>
        </w:rPr>
        <w:t xml:space="preserve">美元/桶的理论价格，显著高估附件真实价格。</w:t>
      </w:r>
    </w:p>
    <w:p>
      <w:pPr>
        <w:numPr>
          <w:ilvl w:val="0"/>
          <w:numId w:val="1005"/>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5"/>
        </w:numPr>
      </w:pPr>
      <w:r>
        <w:rPr>
          <w:rFonts w:hint="eastAsia"/>
        </w:rPr>
        <w:t xml:space="preserve">模型优于朴素上一日基准和滚动</w:t>
      </w:r>
      <w:r>
        <w:t xml:space="preserve"> ARIMA </w:t>
      </w:r>
      <w:r>
        <w:rPr>
          <w:rFonts w:hint="eastAsia"/>
        </w:rPr>
        <w:t xml:space="preserve">基准，且通过滞后平移检验、机制消融和过拟合压力测试，具备较好的解释力和防御性。</w:t>
      </w:r>
    </w:p>
    <w:p>
      <w:pPr>
        <w:numPr>
          <w:ilvl w:val="0"/>
          <w:numId w:val="1005"/>
        </w:numPr>
      </w:pPr>
      <w:r>
        <w:t xml:space="preserve">60–180 </w:t>
      </w:r>
      <w:r>
        <w:rPr>
          <w:rFonts w:hint="eastAsia"/>
        </w:rPr>
        <w:t xml:space="preserve">天情景预测显示，中性情景第</w:t>
      </w:r>
      <w:r>
        <w:t xml:space="preserve"> 180 </w:t>
      </w:r>
      <w:r>
        <w:rPr>
          <w:rFonts w:hint="eastAsia"/>
        </w:rPr>
        <w:t xml:space="preserve">天价格约为</w:t>
      </w:r>
      <w:r>
        <w:t xml:space="preserve"> 104.49 </w:t>
      </w:r>
      <w:r>
        <w:rPr>
          <w:rFonts w:hint="eastAsia"/>
        </w:rPr>
        <w:t xml:space="preserve">美元/桶；悲观情景第</w:t>
      </w:r>
      <w:r>
        <w:t xml:space="preserve"> 180 </w:t>
      </w:r>
      <w:r>
        <w:rPr>
          <w:rFonts w:hint="eastAsia"/>
        </w:rPr>
        <w:t xml:space="preserve">天约为</w:t>
      </w:r>
      <w:r>
        <w:t xml:space="preserve"> 119.53 </w:t>
      </w:r>
      <w:r>
        <w:rPr>
          <w:rFonts w:hint="eastAsia"/>
        </w:rPr>
        <w:t xml:space="preserve">美元/桶，并存在较高二次跳涨风险。</w:t>
      </w:r>
    </w:p>
    <w:p>
      <w:pPr>
        <w:numPr>
          <w:ilvl w:val="0"/>
          <w:numId w:val="1005"/>
        </w:numPr>
      </w:pPr>
      <w:r>
        <w:rPr>
          <w:rFonts w:hint="eastAsia"/>
        </w:rPr>
        <w:t xml:space="preserve">敏感性分析显示，不确定性平台、地缘风险权重和供应中断量是最关键影响因素；SPR</w:t>
      </w:r>
      <w:r>
        <w:t xml:space="preserve"> </w:t>
      </w:r>
      <w:r>
        <w:rPr>
          <w:rFonts w:hint="eastAsia"/>
        </w:rPr>
        <w:t xml:space="preserve">和绕道运输更偏向削峰和争取恢复时间。</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w:t>
      </w:r>
    </w:p>
    <w:p>
      <w:pPr>
        <w:pStyle w:val="BodyText"/>
      </w:pPr>
      <w:r>
        <w:t xml:space="preserve">99</w:t>
      </w:r>
      <w:r>
        <w:t xml:space="preserve"> </w:t>
      </w: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U.S. Energy Information Administration. World Oil Transit Chokepoints.</w:t>
      </w:r>
      <w:r>
        <w:t xml:space="preserve"> </w:t>
      </w:r>
      <w:hyperlink r:id="rId78">
        <w:r>
          <w:rPr>
            <w:rStyle w:val="Hyperlink"/>
          </w:rPr>
          <w:t xml:space="preserve">https://www.eia.gov/international/analysis/special-topics/World_Oil_Transit_Chokepoints</w:t>
        </w:r>
      </w:hyperlink>
    </w:p>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3" Target="media/rId13.png" /><Relationship Type="http://schemas.openxmlformats.org/officeDocument/2006/relationships/image" Id="rId61" Target="media/rId61.png" /><Relationship Type="http://schemas.openxmlformats.org/officeDocument/2006/relationships/image" Id="rId10" Target="media/rId10.png" /><Relationship Type="http://schemas.openxmlformats.org/officeDocument/2006/relationships/image" Id="rId17" Target="media/rId17.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67" Target="media/rId67.png" /><Relationship Type="http://schemas.openxmlformats.org/officeDocument/2006/relationships/image" Id="rId42" Target="media/rId42.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hyperlink" Id="rId78" Target="https://www.eia.gov/international/analysis/special-topics/World_Oil_Transit_Chokepoints" TargetMode="External" /></Relationships>
</file>

<file path=word/_rels/footnotes.xml.rels><?xml version="1.0" encoding="UTF-8"?><Relationships xmlns="http://schemas.openxmlformats.org/package/2006/relationships"><Relationship Type="http://schemas.openxmlformats.org/officeDocument/2006/relationships/hyperlink" Id="rId78" Target="https://www.eia.gov/international/analysis/special-topics/World_Oil_Transit_Choke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2026-05-10T13:34:56Z</dcterms:created>
  <dcterms:modified xsi:type="dcterms:W3CDTF">2026-05-10T13:34:56Z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