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3.png" ContentType="image/png"/>
  <Override PartName="/word/media/rId78.png" ContentType="image/png"/>
  <Override PartName="/word/media/rId10.png" ContentType="image/png"/>
  <Override PartName="/word/media/rId17.png" ContentType="image/png"/>
  <Override PartName="/word/media/rId75.png" ContentType="image/png"/>
  <Override PartName="/word/media/rId87.png" ContentType="image/png"/>
  <Override PartName="/word/media/rId84.png" ContentType="image/png"/>
  <Override PartName="/word/media/rId42.png" ContentType="image/png"/>
  <Override PartName="/word/media/rId64.png" ContentType="image/png"/>
  <Override PartName="/word/media/rId35.png" ContentType="image/png"/>
  <Override PartName="/word/media/rId49.png" ContentType="image/png"/>
  <Override PartName="/word/media/rId38.png" ContentType="image/png"/>
  <Override PartName="/word/media/rId59.png" ContentType="image/png"/>
  <Override PartName="/word/media/rId45.png" ContentType="image/png"/>
  <Override PartName="/word/media/rId68.png" ContentType="image/png"/>
  <Override PartName="/word/media/rId56.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一旦发生封锁，供应中断、地缘风险重估、战略储备释放、商业库存缓冲、绕道运输恢复和市场预期修复会同时作用于国际原油价格。本文以附件给出的布伦特原油期货主力合约价格数据为基础，建立了从静态供需上界到动态递推解释、再到</w:t>
      </w:r>
      <w:r>
        <w:t xml:space="preserve"> 60–180 </w:t>
      </w:r>
      <w:r>
        <w:rPr>
          <w:rFonts w:hint="eastAsia"/>
        </w:rPr>
        <w:t xml:space="preserve">天情景预测与敏感性分析的完整模型链条。</w:t>
      </w:r>
    </w:p>
    <w:p>
      <w:pPr>
        <w:pStyle w:val="BodyText"/>
      </w:pPr>
      <w:r>
        <w:rPr>
          <w:rFonts w:hint="eastAsia"/>
        </w:rPr>
        <w:t xml:space="preserve">首先，本文完成</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月的原始价格序列清洗，截取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日的冲突窗口作为主要拟合区间。数据表明，冲突窗口内最高收盘价为</w:t>
      </w:r>
      <w:r>
        <w:t xml:space="preserve"> 114.06 </w:t>
      </w:r>
      <w:r>
        <w:rPr>
          <w:rFonts w:hint="eastAsia"/>
        </w:rPr>
        <w:t xml:space="preserve">美元/桶，最高盘中价为</w:t>
      </w:r>
      <w:r>
        <w:t xml:space="preserve"> 119.50 </w:t>
      </w:r>
      <w:r>
        <w:rPr>
          <w:rFonts w:hint="eastAsia"/>
        </w:rPr>
        <w:t xml:space="preserve">美元/桶。其次，本文以题面给出的短期需求价格弹性和供应中断范围构造传统供需基准模型。在线性化低弹性口径下，传统模型给出约</w:t>
      </w:r>
      <w:r>
        <w:t xml:space="preserve"> 278–337 </w:t>
      </w:r>
      <w:r>
        <w:rPr>
          <w:rFonts w:hint="eastAsia"/>
        </w:rPr>
        <w:t xml:space="preserve">美元/桶的理论价格区间，明显高于附件数据观测水平，说明必须引入缓冲机制和市场预期机制。</w:t>
      </w:r>
    </w:p>
    <w:p>
      <w:pPr>
        <w:pStyle w:val="BodyText"/>
      </w:pPr>
      <w:r>
        <w:rPr>
          <w:rFonts w:hint="eastAsia"/>
        </w:rPr>
        <w:t xml:space="preserve">为解释现实价格路径，本文构建短期动态递推模型。模型在题面物理供需层纳入供应中断、SPR</w:t>
      </w:r>
      <w:r>
        <w:t xml:space="preserve"> </w:t>
      </w:r>
      <w:r>
        <w:rPr>
          <w:rFonts w:hint="eastAsia"/>
        </w:rPr>
        <w:t xml:space="preserve">释放、商业库存、绕道运输、需求收缩和恐慌衰减，在市场价格形成层纳入地缘风险溢价、不确定性平台、缓冲确认折价和预期修复折价。通过固定种子随机搜索、差分进化连续精修、局部稳健性复核和拟合质量精修，综合最优模型在</w:t>
      </w:r>
      <w:r>
        <w:t xml:space="preserve"> 46 </w:t>
      </w:r>
      <w:r>
        <w:rPr>
          <w:rFonts w:hint="eastAsia"/>
        </w:rPr>
        <w:t xml:space="preserve">个交易日冲突窗口内取得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美元/桶的拟合效果，并优于上一日价格朴素基准和滚动</w:t>
      </w:r>
      <w:r>
        <w:t xml:space="preserve"> ARIMA </w:t>
      </w:r>
      <w:r>
        <w:rPr>
          <w:rFonts w:hint="eastAsia"/>
        </w:rPr>
        <w:t xml:space="preserve">基准。进一步的滞后平移检验、拐点检验、机制消融、过拟合压力测试和硬编码审计表明，该模型不是简单滞后复制，也没有把</w:t>
      </w:r>
      <w:r>
        <w:t xml:space="preserve"> 120 </w:t>
      </w:r>
      <w:r>
        <w:rPr>
          <w:rFonts w:hint="eastAsia"/>
        </w:rPr>
        <w:t xml:space="preserve">美元平台写成代码上限。</w:t>
      </w:r>
    </w:p>
    <w:p>
      <w:pPr>
        <w:pStyle w:val="BodyText"/>
      </w:pPr>
      <w:r>
        <w:rPr>
          <w:rFonts w:hint="eastAsia"/>
        </w:rPr>
        <w:t xml:space="preserve">在此基础上，本文构建乐观、中性、悲观三种</w:t>
      </w:r>
      <w:r>
        <w:t xml:space="preserve"> 60–180 </w:t>
      </w:r>
      <w:r>
        <w:rPr>
          <w:rFonts w:hint="eastAsia"/>
        </w:rPr>
        <w:t xml:space="preserve">天情景路径。中性情景第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美元/桶，且存在较高二次跳涨风险。最后，本文围绕</w:t>
      </w:r>
      <w:r>
        <w:t xml:space="preserve"> 10 </w:t>
      </w:r>
      <w:r>
        <w:rPr>
          <w:rFonts w:hint="eastAsia"/>
        </w:rPr>
        <w:t xml:space="preserve">个关键参数进行单因素敏感性分析，发现综合敏感度最高的三个因素为不确定性平台、地缘风险权重和供应中断量；SPR</w:t>
      </w:r>
      <w:r>
        <w:t xml:space="preserve"> </w:t>
      </w:r>
      <w:r>
        <w:rPr>
          <w:rFonts w:hint="eastAsia"/>
        </w:rPr>
        <w:t xml:space="preserve">释放和绕道运输对第</w:t>
      </w:r>
      <w:r>
        <w:t xml:space="preserve"> 180 </w:t>
      </w:r>
      <w:r>
        <w:rPr>
          <w:rFonts w:hint="eastAsia"/>
        </w:rPr>
        <w:t xml:space="preserve">天终点价格影响较小，但能够影响外推期峰值和削峰能力。研究结果表明，短期油价平台由物理缺口和市场风险重估共同决定，长期风险则取决于高风险溢价、供应中断规模和政策缓冲能否形成组合对冲。</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bookmarkEnd w:id="9"/>
    <w:bookmarkStart w:id="21" w:name="数据处理与描述性分析"/>
    <w:p>
      <w:pPr>
        <w:pStyle w:val="Heading1"/>
      </w:pPr>
      <w:r>
        <w:rPr>
          <w:rFonts w:hint="eastAsia"/>
        </w:rPr>
        <w:t xml:space="preserve">数据处理与描述性分析</w:t>
      </w:r>
    </w:p>
    <w:bookmarkStart w:id="16"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CaptionedFigure"/>
      </w:pPr>
      <w:r>
        <w:drawing>
          <wp:inline>
            <wp:extent cx="4907280" cy="2453640"/>
            <wp:effectExtent b="0" l="0" r="0" t="0"/>
            <wp:docPr descr="" title="" id="11" name="Picture"/>
            <a:graphic>
              <a:graphicData uri="http://schemas.openxmlformats.org/drawingml/2006/picture">
                <pic:pic>
                  <pic:nvPicPr>
                    <pic:cNvPr descr="price_trend.png" id="12" name="Picture"/>
                    <pic:cNvPicPr>
                      <a:picLocks noChangeArrowheads="1" noChangeAspect="1"/>
                    </pic:cNvPicPr>
                  </pic:nvPicPr>
                  <pic:blipFill>
                    <a:blip r:embed="rId10"/>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4" name="Picture"/>
            <a:graphic>
              <a:graphicData uri="http://schemas.openxmlformats.org/drawingml/2006/picture">
                <pic:pic>
                  <pic:nvPicPr>
                    <pic:cNvPr descr="event_window_price.png" id="15" name="Picture"/>
                    <pic:cNvPicPr>
                      <a:picLocks noChangeArrowheads="1" noChangeAspect="1"/>
                    </pic:cNvPicPr>
                  </pic:nvPicPr>
                  <pic:blipFill>
                    <a:blip r:embed="rId13"/>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16"/>
    <w:bookmarkStart w:id="20"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18" name="Picture"/>
            <a:graphic>
              <a:graphicData uri="http://schemas.openxmlformats.org/drawingml/2006/picture">
                <pic:pic>
                  <pic:nvPicPr>
                    <pic:cNvPr descr="return_volatility.png" id="19" name="Picture"/>
                    <pic:cNvPicPr>
                      <a:picLocks noChangeArrowheads="1" noChangeAspect="1"/>
                    </pic:cNvPicPr>
                  </pic:nvPicPr>
                  <pic:blipFill>
                    <a:blip r:embed="rId17"/>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0"/>
    <w:bookmarkEnd w:id="21"/>
    <w:bookmarkStart w:id="24" w:name="模型假设与符号说明"/>
    <w:p>
      <w:pPr>
        <w:pStyle w:val="Heading1"/>
      </w:pPr>
      <w:r>
        <w:rPr>
          <w:rFonts w:hint="eastAsia"/>
        </w:rPr>
        <w:t xml:space="preserve">模型假设与符号说明</w:t>
      </w:r>
    </w:p>
    <w:bookmarkStart w:id="22" w:name="基本假设"/>
    <w:p>
      <w:pPr>
        <w:pStyle w:val="Heading2"/>
      </w:pPr>
      <w:r>
        <w:rPr>
          <w:rFonts w:hint="eastAsia"/>
        </w:rPr>
        <w:t xml:space="preserve">基本假设</w:t>
      </w:r>
    </w:p>
    <w:p>
      <w:pPr>
        <w:numPr>
          <w:ilvl w:val="0"/>
          <w:numId w:val="1002"/>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2"/>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2"/>
        </w:numPr>
      </w:pPr>
      <w:r>
        <w:rPr>
          <w:rFonts w:hint="eastAsia"/>
        </w:rPr>
        <w:t xml:space="preserve">短期需求弹性按题面给定低弹性口径处理；中长期需求弹性允许逐步过渡，以反映高价下需求调整更充分。</w:t>
      </w:r>
    </w:p>
    <w:p>
      <w:pPr>
        <w:numPr>
          <w:ilvl w:val="0"/>
          <w:numId w:val="1002"/>
        </w:numPr>
      </w:pPr>
      <w:r>
        <w:rPr>
          <w:rFonts w:hint="eastAsia"/>
        </w:rPr>
        <w:t xml:space="preserve">模型不使用新闻爬虫数据，也不把外部新闻情绪作为观测输入；恐慌强度和衰减率是行为机制参数。</w:t>
      </w:r>
    </w:p>
    <w:p>
      <w:pPr>
        <w:numPr>
          <w:ilvl w:val="0"/>
          <w:numId w:val="1002"/>
        </w:numPr>
      </w:pPr>
      <w:r>
        <w:t xml:space="preserve">60–180 </w:t>
      </w:r>
      <w:r>
        <w:rPr>
          <w:rFonts w:hint="eastAsia"/>
        </w:rPr>
        <w:t xml:space="preserve">天预测为条件情景外推，不代表真实未来观测，也不编造任何未来真实价格。</w:t>
      </w:r>
    </w:p>
    <w:bookmarkEnd w:id="22"/>
    <w:bookmarkStart w:id="23"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不确定性平台强度</w:t>
            </w:r>
          </w:p>
        </w:tc>
        <w:tc>
          <w:tcPr/>
          <w:p>
            <w:pPr>
              <w:pStyle w:val="Compact"/>
              <w:jc w:val="left"/>
            </w:pPr>
            <w:r>
              <w:rPr>
                <w:rFonts w:hint="eastAsia"/>
              </w:rPr>
              <w:t xml:space="preserve">无量纲</w:t>
            </w:r>
          </w:p>
        </w:tc>
      </w:tr>
    </w:tbl>
    <w:bookmarkEnd w:id="23"/>
    <w:bookmarkEnd w:id="24"/>
    <w:bookmarkStart w:id="30" w:name="传统供需基准模型"/>
    <w:p>
      <w:pPr>
        <w:pStyle w:val="Heading1"/>
      </w:pPr>
      <w:r>
        <w:rPr>
          <w:rFonts w:hint="eastAsia"/>
        </w:rPr>
        <w:t xml:space="preserve">传统供需基准模型</w:t>
      </w:r>
    </w:p>
    <w:bookmarkStart w:id="25"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25"/>
    <w:bookmarkStart w:id="29"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27" name="Picture"/>
            <a:graphic>
              <a:graphicData uri="http://schemas.openxmlformats.org/drawingml/2006/picture">
                <pic:pic>
                  <pic:nvPicPr>
                    <pic:cNvPr descr="baseline_vs_actual.png" id="28" name="Picture"/>
                    <pic:cNvPicPr>
                      <a:picLocks noChangeArrowheads="1" noChangeAspect="1"/>
                    </pic:cNvPicPr>
                  </pic:nvPicPr>
                  <pic:blipFill>
                    <a:blip r:embed="rId26"/>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29"/>
    <w:bookmarkEnd w:id="30"/>
    <w:bookmarkStart w:id="33" w:name="短期动态递推模型"/>
    <w:p>
      <w:pPr>
        <w:pStyle w:val="Heading1"/>
      </w:pPr>
      <w:r>
        <w:rPr>
          <w:rFonts w:hint="eastAsia"/>
        </w:rPr>
        <w:t xml:space="preserve">短期动态递推模型</w:t>
      </w:r>
    </w:p>
    <w:bookmarkStart w:id="31"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1"/>
    <w:bookmarkStart w:id="32"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2"/>
    <w:bookmarkEnd w:id="33"/>
    <w:bookmarkStart w:id="73" w:name="参数校准与模型检验"/>
    <w:p>
      <w:pPr>
        <w:pStyle w:val="Heading1"/>
      </w:pPr>
      <w:r>
        <w:rPr>
          <w:rFonts w:hint="eastAsia"/>
        </w:rPr>
        <w:t xml:space="preserve">参数校准与模型检验</w:t>
      </w:r>
    </w:p>
    <w:bookmarkStart w:id="34"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4"/>
    <w:bookmarkStart w:id="41"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36" name="Picture"/>
            <a:graphic>
              <a:graphicData uri="http://schemas.openxmlformats.org/drawingml/2006/picture">
                <pic:pic>
                  <pic:nvPicPr>
                    <pic:cNvPr descr="短期模型拟合效果.png" id="37" name="Picture"/>
                    <pic:cNvPicPr>
                      <a:picLocks noChangeArrowheads="1" noChangeAspect="1"/>
                    </pic:cNvPicPr>
                  </pic:nvPicPr>
                  <pic:blipFill>
                    <a:blip r:embed="rId3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39" name="Picture"/>
            <a:graphic>
              <a:graphicData uri="http://schemas.openxmlformats.org/drawingml/2006/picture">
                <pic:pic>
                  <pic:nvPicPr>
                    <pic:cNvPr descr="短期模型机制贡献.png" id="40" name="Picture"/>
                    <pic:cNvPicPr>
                      <a:picLocks noChangeArrowheads="1" noChangeAspect="1"/>
                    </pic:cNvPicPr>
                  </pic:nvPicPr>
                  <pic:blipFill>
                    <a:blip r:embed="rId38"/>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1"/>
    <w:bookmarkStart w:id="48"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3" name="Picture"/>
            <a:graphic>
              <a:graphicData uri="http://schemas.openxmlformats.org/drawingml/2006/picture">
                <pic:pic>
                  <pic:nvPicPr>
                    <pic:cNvPr descr="短期模型基准对比.png" id="44" name="Picture"/>
                    <pic:cNvPicPr>
                      <a:picLocks noChangeArrowheads="1" noChangeAspect="1"/>
                    </pic:cNvPicPr>
                  </pic:nvPicPr>
                  <pic:blipFill>
                    <a:blip r:embed="rId42"/>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46" name="Picture"/>
            <a:graphic>
              <a:graphicData uri="http://schemas.openxmlformats.org/drawingml/2006/picture">
                <pic:pic>
                  <pic:nvPicPr>
                    <pic:cNvPr descr="短期模型滞后平移检验.png" id="47" name="Picture"/>
                    <pic:cNvPicPr>
                      <a:picLocks noChangeArrowheads="1" noChangeAspect="1"/>
                    </pic:cNvPicPr>
                  </pic:nvPicPr>
                  <pic:blipFill>
                    <a:blip r:embed="rId45"/>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48"/>
    <w:bookmarkStart w:id="55"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0" name="Picture"/>
            <a:graphic>
              <a:graphicData uri="http://schemas.openxmlformats.org/drawingml/2006/picture">
                <pic:pic>
                  <pic:nvPicPr>
                    <pic:cNvPr descr="短期模型机制消融实验.png" id="51" name="Picture"/>
                    <pic:cNvPicPr>
                      <a:picLocks noChangeArrowheads="1" noChangeAspect="1"/>
                    </pic:cNvPicPr>
                  </pic:nvPicPr>
                  <pic:blipFill>
                    <a:blip r:embed="rId49"/>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3" name="Picture"/>
            <a:graphic>
              <a:graphicData uri="http://schemas.openxmlformats.org/drawingml/2006/picture">
                <pic:pic>
                  <pic:nvPicPr>
                    <pic:cNvPr descr="短期模型过拟合压力测试.png" id="54" name="Picture"/>
                    <pic:cNvPicPr>
                      <a:picLocks noChangeArrowheads="1" noChangeAspect="1"/>
                    </pic:cNvPicPr>
                  </pic:nvPicPr>
                  <pic:blipFill>
                    <a:blip r:embed="rId52"/>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55"/>
    <w:bookmarkStart w:id="62"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8154"/>
            <wp:effectExtent b="0" l="0" r="0" t="0"/>
            <wp:docPr descr="" title="" id="57" name="Picture"/>
            <a:graphic>
              <a:graphicData uri="http://schemas.openxmlformats.org/drawingml/2006/picture">
                <pic:pic>
                  <pic:nvPicPr>
                    <pic:cNvPr descr="短期模型误差诊断.png" id="58" name="Picture"/>
                    <pic:cNvPicPr>
                      <a:picLocks noChangeArrowheads="1" noChangeAspect="1"/>
                    </pic:cNvPicPr>
                  </pic:nvPicPr>
                  <pic:blipFill>
                    <a:blip r:embed="rId56"/>
                    <a:stretch>
                      <a:fillRect/>
                    </a:stretch>
                  </pic:blipFill>
                  <pic:spPr bwMode="auto">
                    <a:xfrm>
                      <a:off x="0" y="0"/>
                      <a:ext cx="4907280" cy="3658154"/>
                    </a:xfrm>
                    <a:prstGeom prst="rect">
                      <a:avLst/>
                    </a:prstGeom>
                    <a:noFill/>
                    <a:ln w="9525">
                      <a:noFill/>
                      <a:headEnd/>
                      <a:tailEnd/>
                    </a:ln>
                  </pic:spPr>
                </pic:pic>
              </a:graphicData>
            </a:graphic>
          </wp:inline>
        </w:drawing>
      </w:r>
    </w:p>
    <w:p>
      <w:pPr>
        <w:pStyle w:val="ImageCaption"/>
      </w:pPr>
      <w:r>
        <w:rPr>
          <w:rFonts w:hint="eastAsia"/>
        </w:rPr>
        <w:t xml:space="preserve">短期模型逐日误差与分段误差诊断。误差没有集中失控于单一阶段。</w:t>
      </w:r>
    </w:p>
    <w:p>
      <w:pPr>
        <w:pStyle w:val="CaptionedFigure"/>
      </w:pPr>
      <w:r>
        <w:drawing>
          <wp:inline>
            <wp:extent cx="4907280" cy="3655675"/>
            <wp:effectExtent b="0" l="0" r="0" t="0"/>
            <wp:docPr descr="" title="" id="60" name="Picture"/>
            <a:graphic>
              <a:graphicData uri="http://schemas.openxmlformats.org/drawingml/2006/picture">
                <pic:pic>
                  <pic:nvPicPr>
                    <pic:cNvPr descr="短期模型残差诊断增强.png" id="61" name="Picture"/>
                    <pic:cNvPicPr>
                      <a:picLocks noChangeArrowheads="1" noChangeAspect="1"/>
                    </pic:cNvPicPr>
                  </pic:nvPicPr>
                  <pic:blipFill>
                    <a:blip r:embed="rId59"/>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2"/>
    <w:bookmarkStart w:id="63"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3"/>
    <w:bookmarkStart w:id="67"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5" name="Picture"/>
            <a:graphic>
              <a:graphicData uri="http://schemas.openxmlformats.org/drawingml/2006/picture">
                <pic:pic>
                  <pic:nvPicPr>
                    <pic:cNvPr descr="短期模型拐点局部检验.png" id="66" name="Picture"/>
                    <pic:cNvPicPr>
                      <a:picLocks noChangeArrowheads="1" noChangeAspect="1"/>
                    </pic:cNvPicPr>
                  </pic:nvPicPr>
                  <pic:blipFill>
                    <a:blip r:embed="rId64"/>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7"/>
    <w:bookmarkStart w:id="71"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69" name="Picture"/>
            <a:graphic>
              <a:graphicData uri="http://schemas.openxmlformats.org/drawingml/2006/picture">
                <pic:pic>
                  <pic:nvPicPr>
                    <pic:cNvPr descr="短期模型稳健性带.png" id="70" name="Picture"/>
                    <pic:cNvPicPr>
                      <a:picLocks noChangeArrowheads="1" noChangeAspect="1"/>
                    </pic:cNvPicPr>
                  </pic:nvPicPr>
                  <pic:blipFill>
                    <a:blip r:embed="rId68"/>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1"/>
    <w:bookmarkStart w:id="72"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2"/>
    <w:bookmarkEnd w:id="73"/>
    <w:bookmarkStart w:id="82" w:name="天三情景预测"/>
    <w:p>
      <w:pPr>
        <w:pStyle w:val="Heading1"/>
      </w:pPr>
      <w:r>
        <w:t xml:space="preserve">60–180 </w:t>
      </w:r>
      <w:r>
        <w:rPr>
          <w:rFonts w:hint="eastAsia"/>
        </w:rPr>
        <w:t xml:space="preserve">天三情景预测</w:t>
      </w:r>
    </w:p>
    <w:bookmarkStart w:id="74"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4"/>
    <w:bookmarkStart w:id="81"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98.40</w:t>
            </w:r>
          </w:p>
        </w:tc>
        <w:tc>
          <w:tcPr/>
          <w:p>
            <w:pPr>
              <w:pStyle w:val="Compact"/>
              <w:jc w:val="right"/>
            </w:pPr>
            <w:r>
              <w:t xml:space="preserve">98.33</w:t>
            </w:r>
          </w:p>
        </w:tc>
        <w:tc>
          <w:tcPr/>
          <w:p>
            <w:pPr>
              <w:pStyle w:val="Compact"/>
              <w:jc w:val="right"/>
            </w:pPr>
            <w:r>
              <w:t xml:space="preserve">95.99</w:t>
            </w:r>
          </w:p>
        </w:tc>
        <w:tc>
          <w:tcPr/>
          <w:p>
            <w:pPr>
              <w:pStyle w:val="Compact"/>
              <w:jc w:val="right"/>
            </w:pPr>
            <w:r>
              <w:t xml:space="preserve">104.75</w:t>
            </w:r>
          </w:p>
        </w:tc>
        <w:tc>
          <w:tcPr/>
          <w:p>
            <w:pPr>
              <w:pStyle w:val="Compact"/>
              <w:jc w:val="right"/>
            </w:pPr>
            <w:r>
              <w:t xml:space="preserve">97.73</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109.99</w:t>
            </w:r>
          </w:p>
        </w:tc>
        <w:tc>
          <w:tcPr/>
          <w:p>
            <w:pPr>
              <w:pStyle w:val="Compact"/>
              <w:jc w:val="right"/>
            </w:pPr>
            <w:r>
              <w:t xml:space="preserve">108.04</w:t>
            </w:r>
          </w:p>
        </w:tc>
        <w:tc>
          <w:tcPr/>
          <w:p>
            <w:pPr>
              <w:pStyle w:val="Compact"/>
              <w:jc w:val="right"/>
            </w:pPr>
            <w:r>
              <w:t xml:space="preserve">104.49</w:t>
            </w:r>
          </w:p>
        </w:tc>
        <w:tc>
          <w:tcPr/>
          <w:p>
            <w:pPr>
              <w:pStyle w:val="Compact"/>
              <w:jc w:val="right"/>
            </w:pPr>
            <w:r>
              <w:t xml:space="preserve">110.89</w:t>
            </w:r>
          </w:p>
        </w:tc>
        <w:tc>
          <w:tcPr/>
          <w:p>
            <w:pPr>
              <w:pStyle w:val="Compact"/>
              <w:jc w:val="right"/>
            </w:pPr>
            <w:r>
              <w:t xml:space="preserve">107.88</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127.32</w:t>
            </w:r>
          </w:p>
        </w:tc>
        <w:tc>
          <w:tcPr/>
          <w:p>
            <w:pPr>
              <w:pStyle w:val="Compact"/>
              <w:jc w:val="right"/>
            </w:pPr>
            <w:r>
              <w:t xml:space="preserve">122.59</w:t>
            </w:r>
          </w:p>
        </w:tc>
        <w:tc>
          <w:tcPr/>
          <w:p>
            <w:pPr>
              <w:pStyle w:val="Compact"/>
              <w:jc w:val="right"/>
            </w:pPr>
            <w:r>
              <w:t xml:space="preserve">119.53</w:t>
            </w:r>
          </w:p>
        </w:tc>
        <w:tc>
          <w:tcPr/>
          <w:p>
            <w:pPr>
              <w:pStyle w:val="Compact"/>
              <w:jc w:val="right"/>
            </w:pPr>
            <w:r>
              <w:t xml:space="preserve">130.18</w:t>
            </w:r>
          </w:p>
        </w:tc>
        <w:tc>
          <w:tcPr/>
          <w:p>
            <w:pPr>
              <w:pStyle w:val="Compact"/>
              <w:jc w:val="right"/>
            </w:pPr>
            <w:r>
              <w:t xml:space="preserve">123.57</w:t>
            </w:r>
          </w:p>
        </w:tc>
        <w:tc>
          <w:tcPr/>
          <w:p>
            <w:pPr>
              <w:pStyle w:val="Compact"/>
              <w:jc w:val="right"/>
            </w:pPr>
            <w:r>
              <w:rPr>
                <w:rFonts w:hint="eastAsia"/>
              </w:rPr>
              <w:t xml:space="preserve">高</w:t>
            </w:r>
          </w:p>
        </w:tc>
      </w:tr>
    </w:tbl>
    <w:p>
      <w:pPr>
        <w:pStyle w:val="CaptionedFigure"/>
      </w:pPr>
      <w:r>
        <w:drawing>
          <wp:inline>
            <wp:extent cx="4907280" cy="2645664"/>
            <wp:effectExtent b="0" l="0" r="0" t="0"/>
            <wp:docPr descr="" title="" id="76" name="Picture"/>
            <a:graphic>
              <a:graphicData uri="http://schemas.openxmlformats.org/drawingml/2006/picture">
                <pic:pic>
                  <pic:nvPicPr>
                    <pic:cNvPr descr="scenario_price_paths.png" id="77" name="Picture"/>
                    <pic:cNvPicPr>
                      <a:picLocks noChangeArrowheads="1" noChangeAspect="1"/>
                    </pic:cNvPicPr>
                  </pic:nvPicPr>
                  <pic:blipFill>
                    <a:blip r:embed="rId75"/>
                    <a:stretch>
                      <a:fillRect/>
                    </a:stretch>
                  </pic:blipFill>
                  <pic:spPr bwMode="auto">
                    <a:xfrm>
                      <a:off x="0" y="0"/>
                      <a:ext cx="4907280" cy="2645664"/>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5：60–180</w:t>
      </w:r>
      <w:r>
        <w:t xml:space="preserve"> </w:t>
      </w:r>
      <w:r>
        <w:rPr>
          <w:rFonts w:hint="eastAsia"/>
        </w:rPr>
        <w:t xml:space="preserve">天三情景原油价格路径。</w:t>
      </w:r>
    </w:p>
    <w:p>
      <w:pPr>
        <w:pStyle w:val="BodyText"/>
      </w:pPr>
      <w:r>
        <w:rPr>
          <w:rFonts w:hint="eastAsia"/>
        </w:rPr>
        <w:t xml:space="preserve">结果显示，中性情景下价格在</w:t>
      </w:r>
      <w:r>
        <w:t xml:space="preserve"> 180 </w:t>
      </w:r>
      <w:r>
        <w:rPr>
          <w:rFonts w:hint="eastAsia"/>
        </w:rPr>
        <w:t xml:space="preserve">天附近回落至约</w:t>
      </w:r>
      <w:r>
        <w:t xml:space="preserve"> 104.49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130.18 </w:t>
      </w:r>
      <w:r>
        <w:rPr>
          <w:rFonts w:hint="eastAsia"/>
        </w:rPr>
        <w:t xml:space="preserve">美元/桶的高点。</w:t>
      </w:r>
    </w:p>
    <w:p>
      <w:pPr>
        <w:pStyle w:val="CaptionedFigure"/>
      </w:pPr>
      <w:r>
        <w:drawing>
          <wp:inline>
            <wp:extent cx="4907280" cy="3413760"/>
            <wp:effectExtent b="0" l="0" r="0" t="0"/>
            <wp:docPr descr="" title="" id="79" name="Picture"/>
            <a:graphic>
              <a:graphicData uri="http://schemas.openxmlformats.org/drawingml/2006/picture">
                <pic:pic>
                  <pic:nvPicPr>
                    <pic:cNvPr descr="inventory_depletion_risk.png" id="80" name="Picture"/>
                    <pic:cNvPicPr>
                      <a:picLocks noChangeArrowheads="1" noChangeAspect="1"/>
                    </pic:cNvPicPr>
                  </pic:nvPicPr>
                  <pic:blipFill>
                    <a:blip r:embed="rId78"/>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1"/>
    <w:bookmarkEnd w:id="82"/>
    <w:bookmarkStart w:id="91" w:name="敏感性分析"/>
    <w:p>
      <w:pPr>
        <w:pStyle w:val="Heading1"/>
      </w:pPr>
      <w:r>
        <w:rPr>
          <w:rFonts w:hint="eastAsia"/>
        </w:rPr>
        <w:t xml:space="preserve">敏感性分析</w:t>
      </w:r>
    </w:p>
    <w:bookmarkStart w:id="83"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3"/>
    <w:bookmarkStart w:id="90"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不确定性平台</w:t>
            </w:r>
          </w:p>
        </w:tc>
        <w:tc>
          <w:tcPr/>
          <w:p>
            <w:pPr>
              <w:pStyle w:val="Compact"/>
              <w:jc w:val="right"/>
            </w:pPr>
            <w:r>
              <w:t xml:space="preserve">17.93</w:t>
            </w:r>
          </w:p>
        </w:tc>
        <w:tc>
          <w:tcPr/>
          <w:p>
            <w:pPr>
              <w:pStyle w:val="Compact"/>
              <w:jc w:val="right"/>
            </w:pPr>
            <w:r>
              <w:t xml:space="preserve">12.45</w:t>
            </w:r>
          </w:p>
        </w:tc>
        <w:tc>
          <w:tcPr/>
          <w:p>
            <w:pPr>
              <w:pStyle w:val="Compact"/>
              <w:jc w:val="right"/>
            </w:pPr>
            <w:r>
              <w:t xml:space="preserve">12.19</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12.30</w:t>
            </w:r>
          </w:p>
        </w:tc>
        <w:tc>
          <w:tcPr/>
          <w:p>
            <w:pPr>
              <w:pStyle w:val="Compact"/>
              <w:jc w:val="right"/>
            </w:pPr>
            <w:r>
              <w:t xml:space="preserve">7.24</w:t>
            </w:r>
          </w:p>
        </w:tc>
        <w:tc>
          <w:tcPr/>
          <w:p>
            <w:pPr>
              <w:pStyle w:val="Compact"/>
              <w:jc w:val="right"/>
            </w:pPr>
            <w:r>
              <w:t xml:space="preserve">11.26</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5.91</w:t>
            </w:r>
          </w:p>
        </w:tc>
        <w:tc>
          <w:tcPr/>
          <w:p>
            <w:pPr>
              <w:pStyle w:val="Compact"/>
              <w:jc w:val="right"/>
            </w:pPr>
            <w:r>
              <w:t xml:space="preserve">3.54</w:t>
            </w:r>
          </w:p>
        </w:tc>
        <w:tc>
          <w:tcPr/>
          <w:p>
            <w:pPr>
              <w:pStyle w:val="Compact"/>
              <w:jc w:val="right"/>
            </w:pPr>
            <w:r>
              <w:t xml:space="preserve">5.27</w:t>
            </w:r>
          </w:p>
        </w:tc>
      </w:tr>
      <w:tr>
        <w:tc>
          <w:tcPr/>
          <w:p>
            <w:pPr>
              <w:pStyle w:val="Compact"/>
              <w:jc w:val="right"/>
            </w:pPr>
            <w:r>
              <w:t xml:space="preserve">4</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0.52</w:t>
            </w:r>
          </w:p>
        </w:tc>
      </w:tr>
      <w:tr>
        <w:tc>
          <w:tcPr/>
          <w:p>
            <w:pPr>
              <w:pStyle w:val="Compact"/>
              <w:jc w:val="right"/>
            </w:pPr>
            <w:r>
              <w:t xml:space="preserve">5</w:t>
            </w:r>
          </w:p>
        </w:tc>
        <w:tc>
          <w:tcPr/>
          <w:p>
            <w:pPr>
              <w:pStyle w:val="Compact"/>
              <w:jc w:val="left"/>
            </w:pPr>
            <w:r>
              <w:rPr>
                <w:rFonts w:hint="eastAsia"/>
              </w:rPr>
              <w:t xml:space="preserve">恐慌衰减速度</w:t>
            </w:r>
          </w:p>
        </w:tc>
        <w:tc>
          <w:tcPr/>
          <w:p>
            <w:pPr>
              <w:pStyle w:val="Compact"/>
              <w:jc w:val="right"/>
            </w:pPr>
            <w:r>
              <w:t xml:space="preserve">0.14</w:t>
            </w:r>
          </w:p>
        </w:tc>
        <w:tc>
          <w:tcPr/>
          <w:p>
            <w:pPr>
              <w:pStyle w:val="Compact"/>
              <w:jc w:val="right"/>
            </w:pPr>
            <w:r>
              <w:t xml:space="preserve">0.00</w:t>
            </w:r>
          </w:p>
        </w:tc>
        <w:tc>
          <w:tcPr/>
          <w:p>
            <w:pPr>
              <w:pStyle w:val="Compact"/>
              <w:jc w:val="right"/>
            </w:pPr>
            <w:r>
              <w:t xml:space="preserve">0.30</w:t>
            </w:r>
          </w:p>
        </w:tc>
      </w:tr>
      <w:tr>
        <w:tc>
          <w:tcPr/>
          <w:p>
            <w:pPr>
              <w:pStyle w:val="Compact"/>
              <w:jc w:val="right"/>
            </w:pPr>
            <w:r>
              <w:t xml:space="preserve">6</w:t>
            </w:r>
          </w:p>
        </w:tc>
        <w:tc>
          <w:tcPr/>
          <w:p>
            <w:pPr>
              <w:pStyle w:val="Compact"/>
              <w:jc w:val="left"/>
            </w:pPr>
            <w:r>
              <w:rPr>
                <w:rFonts w:hint="eastAsia"/>
              </w:rPr>
              <w:t xml:space="preserve">预期修复强度</w:t>
            </w:r>
          </w:p>
        </w:tc>
        <w:tc>
          <w:tcPr/>
          <w:p>
            <w:pPr>
              <w:pStyle w:val="Compact"/>
              <w:jc w:val="right"/>
            </w:pPr>
            <w:r>
              <w:t xml:space="preserve">0.07</w:t>
            </w:r>
          </w:p>
        </w:tc>
        <w:tc>
          <w:tcPr/>
          <w:p>
            <w:pPr>
              <w:pStyle w:val="Compact"/>
              <w:jc w:val="right"/>
            </w:pPr>
            <w:r>
              <w:t xml:space="preserve">0.00</w:t>
            </w:r>
          </w:p>
        </w:tc>
        <w:tc>
          <w:tcPr/>
          <w:p>
            <w:pPr>
              <w:pStyle w:val="Compact"/>
              <w:jc w:val="right"/>
            </w:pPr>
            <w:r>
              <w:t xml:space="preserve">0.16</w:t>
            </w:r>
          </w:p>
        </w:tc>
      </w:tr>
      <w:tr>
        <w:tc>
          <w:tcPr/>
          <w:p>
            <w:pPr>
              <w:pStyle w:val="Compact"/>
              <w:jc w:val="right"/>
            </w:pPr>
            <w:r>
              <w:t xml:space="preserve">7</w:t>
            </w:r>
          </w:p>
        </w:tc>
        <w:tc>
          <w:tcPr/>
          <w:p>
            <w:pPr>
              <w:pStyle w:val="Compact"/>
              <w:jc w:val="left"/>
            </w:pPr>
            <w:r>
              <w:t xml:space="preserve">SPR </w:t>
            </w:r>
            <w:r>
              <w:rPr>
                <w:rFonts w:hint="eastAsia"/>
              </w:rPr>
              <w:t xml:space="preserve">启动延迟</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0.11</w:t>
            </w:r>
          </w:p>
        </w:tc>
      </w:tr>
      <w:tr>
        <w:tc>
          <w:tcPr/>
          <w:p>
            <w:pPr>
              <w:pStyle w:val="Compact"/>
              <w:jc w:val="right"/>
            </w:pPr>
            <w:r>
              <w:t xml:space="preserve">8</w:t>
            </w:r>
          </w:p>
        </w:tc>
        <w:tc>
          <w:tcPr/>
          <w:p>
            <w:pPr>
              <w:pStyle w:val="Compact"/>
              <w:jc w:val="left"/>
            </w:pPr>
            <w:r>
              <w:rPr>
                <w:rFonts w:hint="eastAsia"/>
              </w:rPr>
              <w:t xml:space="preserve">长期需求弹性</w:t>
            </w:r>
          </w:p>
        </w:tc>
        <w:tc>
          <w:tcPr/>
          <w:p>
            <w:pPr>
              <w:pStyle w:val="Compact"/>
              <w:jc w:val="right"/>
            </w:pPr>
            <w:r>
              <w:t xml:space="preserve">0.04</w:t>
            </w:r>
          </w:p>
        </w:tc>
        <w:tc>
          <w:tcPr/>
          <w:p>
            <w:pPr>
              <w:pStyle w:val="Compact"/>
              <w:jc w:val="right"/>
            </w:pPr>
            <w:r>
              <w:t xml:space="preserve">0.00</w:t>
            </w:r>
          </w:p>
        </w:tc>
        <w:tc>
          <w:tcPr/>
          <w:p>
            <w:pPr>
              <w:pStyle w:val="Compact"/>
              <w:jc w:val="right"/>
            </w:pPr>
            <w:r>
              <w:t xml:space="preserve">0.08</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bl>
    <w:p>
      <w:pPr>
        <w:pStyle w:val="CaptionedFigure"/>
      </w:pPr>
      <w:r>
        <w:drawing>
          <wp:inline>
            <wp:extent cx="4907280" cy="2998893"/>
            <wp:effectExtent b="0" l="0" r="0" t="0"/>
            <wp:docPr descr="" title="" id="85" name="Picture"/>
            <a:graphic>
              <a:graphicData uri="http://schemas.openxmlformats.org/drawingml/2006/picture">
                <pic:pic>
                  <pic:nvPicPr>
                    <pic:cNvPr descr="sensitivity_tornado_180day.png" id="86" name="Picture"/>
                    <pic:cNvPicPr>
                      <a:picLocks noChangeArrowheads="1" noChangeAspect="1"/>
                    </pic:cNvPicPr>
                  </pic:nvPicPr>
                  <pic:blipFill>
                    <a:blip r:embed="rId84"/>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CaptionedFigure"/>
      </w:pPr>
      <w:r>
        <w:drawing>
          <wp:inline>
            <wp:extent cx="4907280" cy="1599409"/>
            <wp:effectExtent b="0" l="0" r="0" t="0"/>
            <wp:docPr descr="" title="" id="88" name="Picture"/>
            <a:graphic>
              <a:graphicData uri="http://schemas.openxmlformats.org/drawingml/2006/picture">
                <pic:pic>
                  <pic:nvPicPr>
                    <pic:cNvPr descr="sensitivity_parameter_response.png" id="89" name="Picture"/>
                    <pic:cNvPicPr>
                      <a:picLocks noChangeArrowheads="1" noChangeAspect="1"/>
                    </pic:cNvPicPr>
                  </pic:nvPicPr>
                  <pic:blipFill>
                    <a:blip r:embed="rId87"/>
                    <a:stretch>
                      <a:fillRect/>
                    </a:stretch>
                  </pic:blipFill>
                  <pic:spPr bwMode="auto">
                    <a:xfrm>
                      <a:off x="0" y="0"/>
                      <a:ext cx="4907280" cy="1599409"/>
                    </a:xfrm>
                    <a:prstGeom prst="rect">
                      <a:avLst/>
                    </a:prstGeom>
                    <a:noFill/>
                    <a:ln w="9525">
                      <a:noFill/>
                      <a:headEnd/>
                      <a:tailEnd/>
                    </a:ln>
                  </pic:spPr>
                </pic:pic>
              </a:graphicData>
            </a:graphic>
          </wp:inline>
        </w:drawing>
      </w:r>
    </w:p>
    <w:p>
      <w:pPr>
        <w:pStyle w:val="ImageCaption"/>
      </w:pPr>
      <w:r>
        <w:rPr>
          <w:rFonts w:hint="eastAsia"/>
        </w:rPr>
        <w:t xml:space="preserve">前三个高敏感参数响应曲线。</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天终点价格对市场价格形成层最敏感，尤其是不确定性平台和地缘风险权重；供应中断量决定价格上行压力的物理底座。SPR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90"/>
    <w:bookmarkEnd w:id="91"/>
    <w:bookmarkStart w:id="94" w:name="模型评价"/>
    <w:p>
      <w:pPr>
        <w:pStyle w:val="Heading1"/>
      </w:pPr>
      <w:r>
        <w:rPr>
          <w:rFonts w:hint="eastAsia"/>
        </w:rPr>
        <w:t xml:space="preserve">模型评价</w:t>
      </w:r>
    </w:p>
    <w:bookmarkStart w:id="92" w:name="优点"/>
    <w:p>
      <w:pPr>
        <w:pStyle w:val="Heading2"/>
      </w:pPr>
      <w:r>
        <w:rPr>
          <w:rFonts w:hint="eastAsia"/>
        </w:rPr>
        <w:t xml:space="preserve">优点</w:t>
      </w:r>
    </w:p>
    <w:p>
      <w:pPr>
        <w:numPr>
          <w:ilvl w:val="0"/>
          <w:numId w:val="1003"/>
        </w:numPr>
      </w:pPr>
      <w:r>
        <w:rPr>
          <w:rFonts w:hint="eastAsia"/>
        </w:rPr>
        <w:t xml:space="preserve">证据链完整：从附件数据清洗、传统供需基准、动态模型、校准、防御性检验、三情景预测到敏感性分析均可复现。</w:t>
      </w:r>
    </w:p>
    <w:p>
      <w:pPr>
        <w:numPr>
          <w:ilvl w:val="0"/>
          <w:numId w:val="1003"/>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3"/>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3"/>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92"/>
    <w:bookmarkStart w:id="93" w:name="局限性"/>
    <w:p>
      <w:pPr>
        <w:pStyle w:val="Heading2"/>
      </w:pPr>
      <w:r>
        <w:rPr>
          <w:rFonts w:hint="eastAsia"/>
        </w:rPr>
        <w:t xml:space="preserve">局限性</w:t>
      </w:r>
    </w:p>
    <w:p>
      <w:pPr>
        <w:numPr>
          <w:ilvl w:val="0"/>
          <w:numId w:val="1004"/>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4"/>
        </w:numPr>
      </w:pPr>
      <w:r>
        <w:rPr>
          <w:rFonts w:hint="eastAsia"/>
        </w:rPr>
        <w:t xml:space="preserve">地缘风险、不确定性平台和预期修复仍以参数化方式刻画，未引入期权隐含波动率、真实库存周报或新闻情绪等外生数据。</w:t>
      </w:r>
    </w:p>
    <w:p>
      <w:pPr>
        <w:numPr>
          <w:ilvl w:val="0"/>
          <w:numId w:val="1004"/>
        </w:numPr>
      </w:pPr>
      <w:r>
        <w:rPr>
          <w:rFonts w:hint="eastAsia"/>
        </w:rPr>
        <w:t xml:space="preserve">单因素敏感性不能完全描述参数联动风险，因此悲观情景仍是判断二次跳涨风险的重要补充。</w:t>
      </w:r>
    </w:p>
    <w:bookmarkEnd w:id="93"/>
    <w:bookmarkEnd w:id="94"/>
    <w:bookmarkStart w:id="96"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5"/>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5"/>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5"/>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5"/>
        </w:numPr>
      </w:pPr>
      <w:r>
        <w:t xml:space="preserve">60–180 </w:t>
      </w:r>
      <w:r>
        <w:rPr>
          <w:rFonts w:hint="eastAsia"/>
        </w:rPr>
        <w:t xml:space="preserve">天情景预测显示，中性情景第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美元/桶，并存在较高二次跳涨风险。</w:t>
      </w:r>
    </w:p>
    <w:p>
      <w:pPr>
        <w:numPr>
          <w:ilvl w:val="0"/>
          <w:numId w:val="1005"/>
        </w:numPr>
      </w:pPr>
      <w:r>
        <w:rPr>
          <w:rFonts w:hint="eastAsia"/>
        </w:rPr>
        <w:t xml:space="preserve">敏感性分析显示，不确定性平台、地缘风险权重和供应中断量是最关键影响因素；SPR</w:t>
      </w:r>
      <w:r>
        <w:t xml:space="preserve"> </w:t>
      </w:r>
      <w:r>
        <w:rPr>
          <w:rFonts w:hint="eastAsia"/>
        </w:rPr>
        <w:t xml:space="preserve">和绕道运输更偏向削峰和争取恢复时间。</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p>
      <w:pPr>
        <w:pStyle w:val="BodyText"/>
      </w:pPr>
      <w:r>
        <w:t xml:space="preserve">99</w:t>
      </w:r>
      <w:r>
        <w:t xml:space="preserve"> </w:t>
      </w: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95">
        <w:r>
          <w:rPr>
            <w:rStyle w:val="Hyperlink"/>
          </w:rPr>
          <w:t xml:space="preserve">https://www.eia.gov/international/analysis/special-topics/World_Oil_Transit_Chokepoints</w:t>
        </w:r>
      </w:hyperlink>
    </w:p>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3" Target="media/rId13.png" /><Relationship Type="http://schemas.openxmlformats.org/officeDocument/2006/relationships/image" Id="rId78" Target="media/rId78.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68" Target="media/rId68.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hyperlink" Id="rId95"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95"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2026-05-10T14:24:12Z</dcterms:created>
  <dcterms:modified xsi:type="dcterms:W3CDTF">2026-05-10T14:24:12Z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