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54.png" ContentType="image/png"/>
  <Override PartName="/word/media/rId83.png" ContentType="image/png"/>
  <Override PartName="/word/media/rId136.png" ContentType="image/png"/>
  <Override PartName="/word/media/rId35.png" ContentType="image/png"/>
  <Override PartName="/word/media/rId128.png" ContentType="image/png"/>
  <Override PartName="/word/media/rId21.png" ContentType="image/png"/>
  <Override PartName="/word/media/rId125.png" ContentType="image/png"/>
  <Override PartName="/word/media/rId151.png" ContentType="image/png"/>
  <Override PartName="/word/media/rId121.png" ContentType="image/png"/>
  <Override PartName="/word/media/rId140.png" ContentType="image/png"/>
  <Override PartName="/word/media/rId18.png" ContentType="image/png"/>
  <Override PartName="/word/media/rId25.png" ContentType="image/png"/>
  <Override PartName="/word/media/rId115.png" ContentType="image/png"/>
  <Override PartName="/word/media/rId143.png" ContentType="image/png"/>
  <Override PartName="/word/media/rId108.png" ContentType="image/png"/>
  <Override PartName="/word/media/rId72.png" ContentType="image/png"/>
  <Override PartName="/word/media/rId57.png" ContentType="image/png"/>
  <Override PartName="/word/media/rId88.png" ContentType="image/png"/>
  <Override PartName="/word/media/rId47.png" ContentType="image/png"/>
  <Override PartName="/word/media/rId76.png" ContentType="image/png"/>
  <Override PartName="/word/media/rId50.png" ContentType="image/png"/>
  <Override PartName="/word/media/rId68.png" ContentType="image/png"/>
  <Override PartName="/word/media/rId60.png" ContentType="image/png"/>
  <Override PartName="/word/media/rId92.png" ContentType="image/png"/>
  <Override PartName="/word/media/rId80.png" ContentType="image/png"/>
  <Override PartName="/word/media/rId64.png" ContentType="image/png"/>
  <Override PartName="/word/media/rId40.png" ContentType="image/png"/>
  <Override PartName="/word/media/rId132.png" ContentType="image/png"/>
  <Override PartName="/word/media/rId104.png" ContentType="image/png"/>
  <Override PartName="/word/media/rId10.png" ContentType="image/png"/>
  <Override PartName="/word/media/rId5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基准。进一步加入只使用滞后误差的在线残差校正后，RMSE</w:t>
      </w:r>
      <w:r>
        <w:t xml:space="preserve"> </w:t>
      </w:r>
      <w:r>
        <w:rPr>
          <w:rFonts w:hint="eastAsia"/>
        </w:rPr>
        <w:t xml:space="preserve">降至</w:t>
      </w:r>
      <w:r>
        <w:t xml:space="preserve"> 3.38 </w:t>
      </w:r>
      <w:r>
        <w:rPr>
          <w:rFonts w:hint="eastAsia"/>
        </w:rPr>
        <w:t xml:space="preserve">美元/桶，但方向命中率低于机制主模型，因此仅作为计算机辅助增强层。滞后平移、拐点、机制消融和结构稳定性检验表明，模型不是简单滞后复制，110–120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市场隐含波动率从证据校验层推进到长期参数约束层。新版长期自适应反馈模型显示，中性情景第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16.3%。为避免长期中性线被误读为逐日精确预测，本文又引入缓和、维持、升级三状态转移扰动，得到第</w:t>
      </w:r>
      <w:r>
        <w:t xml:space="preserve"> 180 </w:t>
      </w:r>
      <w:r>
        <w:rPr>
          <w:rFonts w:hint="eastAsia"/>
        </w:rPr>
        <w:t xml:space="preserve">天</w:t>
      </w:r>
      <w:r>
        <w:t xml:space="preserve"> 5%–95% </w:t>
      </w:r>
      <w:r>
        <w:rPr>
          <w:rFonts w:hint="eastAsia"/>
        </w:rPr>
        <w:t xml:space="preserve">条件区间</w:t>
      </w:r>
      <w:r>
        <w:t xml:space="preserve"> 86.31–95.55 </w:t>
      </w:r>
      <w:r>
        <w:rPr>
          <w:rFonts w:hint="eastAsia"/>
        </w:rPr>
        <w:t xml:space="preserve">美元/桶，外推期最高价</w:t>
      </w:r>
      <w:r>
        <w:t xml:space="preserve"> P95 </w:t>
      </w:r>
      <w:r>
        <w:rPr>
          <w:rFonts w:hint="eastAsia"/>
        </w:rPr>
        <w:t xml:space="preserve">为</w:t>
      </w:r>
      <w:r>
        <w:t xml:space="preserve"> 128.72 </w:t>
      </w:r>
      <w:r>
        <w:rPr>
          <w:rFonts w:hint="eastAsia"/>
        </w:rPr>
        <w:t xml:space="preserve">美元/桶。GPR</w:t>
      </w:r>
      <w:r>
        <w:t xml:space="preserve">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冲突窗口具有罕见地缘风险和高波动特征，但外部风险指标只作为校验与长期约束证据，不作为短期同月拟合因子。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7"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天三情景预测模型，并通过敏感性分析、蒙特卡洛情景树、滞后地缘风险指数检验和历史样本稳健性检验识别影响长期价格平衡点和二次跳涨风险的关键变量。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这一技术路线的核心原则是：真实价格只来自附件数据；长期部分只作情景预测，不伪装成拟合；模型检验需覆盖朴素基准、滞后复制、参数过拟合和结构稳定性等关键边界。</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Start w:id="15"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从评审视角看，本文的关键目标不是把附件价格曲线</w:t>
      </w:r>
      <w:r>
        <w:rPr>
          <w:rFonts w:hint="eastAsia"/>
        </w:rPr>
        <w:t xml:space="preserve">“画得像”</w:t>
      </w:r>
      <w:r>
        <w:rPr>
          <w:rFonts w:hint="eastAsia"/>
        </w:rPr>
        <w:t xml:space="preserve">，而是回答三个可检验问题：第一，在题面给定低弹性和封锁冲击下，传统供需模型为什么会明显高估价格；第二，哪些缓冲机制能够把理论高位压回附件中的现实价格平台；第三，当封锁延长至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2</w:t>
        </w:r>
      </w:hyperlink>
      <w:r>
        <w:t xml:space="preserve">。</w:t>
      </w:r>
    </w:p>
    <w:bookmarkStart w:id="14"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外部数据用于数量级校验和约束，不把多国上报值包装成完整全球总量，也不反向替代附件真实价格。</w:t>
            </w:r>
          </w:p>
        </w:tc>
      </w:tr>
    </w:tbl>
    <w:bookmarkEnd w:id="14"/>
    <w:bookmarkEnd w:id="15"/>
    <w:bookmarkStart w:id="16" w:name="文献依据与建模约束"/>
    <w:p>
      <w:pPr>
        <w:pStyle w:val="Heading2"/>
      </w:pPr>
      <w:r>
        <w:rPr>
          <w:rFonts w:hint="eastAsia"/>
        </w:rPr>
        <w:t xml:space="preserve">文献依据与建模约束</w:t>
      </w:r>
    </w:p>
    <w:p>
      <w:pPr>
        <w:pStyle w:val="FirstParagraph"/>
      </w:pPr>
      <w:r>
        <w:rPr>
          <w:rFonts w:hint="eastAsia"/>
        </w:rPr>
        <w:t xml:space="preserve">为避免模型显得像</w:t>
      </w:r>
      <w:r>
        <w:rPr>
          <w:rFonts w:hint="eastAsia"/>
        </w:rPr>
        <w:t xml:space="preserve">“为了拟合而临时拼接”</w:t>
      </w: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来自新闻文本，本文不将同步</w:t>
      </w:r>
      <w:r>
        <w:t xml:space="preserve"> GPR </w:t>
      </w:r>
      <w:r>
        <w:rPr>
          <w:rFonts w:hint="eastAsia"/>
        </w:rPr>
        <w:t xml:space="preserve">输入短期拟合，而只将其作为外部风险校验和滞后检验变量，防止同月新闻与同月油价之间的内生性循环。进一步地，本文接入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隐含波动率，将更接近市场交易定价的风险变量用于长期风险权重和不确定性强度约束，而不把它包装成短期方向预测因子。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6"/>
    <w:bookmarkEnd w:id="17"/>
    <w:bookmarkStart w:id="29" w:name="数据处理与描述性分析"/>
    <w:p>
      <w:pPr>
        <w:pStyle w:val="Heading1"/>
      </w:pPr>
      <w:r>
        <w:rPr>
          <w:rFonts w:hint="eastAsia"/>
        </w:rPr>
        <w:t xml:space="preserve">数据处理与描述性分析</w:t>
      </w:r>
    </w:p>
    <w:bookmarkStart w:id="24"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校验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w:t>
      </w:r>
      <w:r>
        <w:t xml:space="preserve"> 60–180 </w:t>
      </w:r>
      <w:r>
        <w:rPr>
          <w:rFonts w:hint="eastAsia"/>
        </w:rPr>
        <w:t xml:space="preserve">天长期外推中的需求背景、非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下半年需求差额更高，长期模型需保留季节性压力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表并不替代赛题冲击参数。它只说明：在没有霍尔木兹极端封锁的正常基线下，2026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原油需求差额更高。因此，长期模型不能把价格回落解释成</w:t>
      </w:r>
      <w:r>
        <w:rPr>
          <w:rFonts w:hint="eastAsia"/>
        </w:rPr>
        <w:t xml:space="preserve">“全球需求自然塌陷”</w:t>
      </w:r>
      <w:r>
        <w:rPr>
          <w:rFonts w:hint="eastAsia"/>
        </w:rPr>
        <w:t xml:space="preserve">，而应解释为政策缓冲、供给恢复、需求弹性和风险溢价衰减共同作用后的条件路径。</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CaptionedFigure"/>
      </w:pPr>
      <w:r>
        <w:drawing>
          <wp:inline>
            <wp:extent cx="4907280" cy="2453640"/>
            <wp:effectExtent b="0" l="0" r="0" t="0"/>
            <wp:docPr descr="" title="" id="19" name="Picture"/>
            <a:graphic>
              <a:graphicData uri="http://schemas.openxmlformats.org/drawingml/2006/picture">
                <pic:pic>
                  <pic:nvPicPr>
                    <pic:cNvPr descr="布伦特原油长期价格走势.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22" name="Picture"/>
            <a:graphic>
              <a:graphicData uri="http://schemas.openxmlformats.org/drawingml/2006/picture">
                <pic:pic>
                  <pic:nvPicPr>
                    <pic:cNvPr descr="冲突窗口价格走势.png" id="23" name="Picture"/>
                    <pic:cNvPicPr>
                      <a:picLocks noChangeArrowheads="1" noChangeAspect="1"/>
                    </pic:cNvPicPr>
                  </pic:nvPicPr>
                  <pic:blipFill>
                    <a:blip r:embed="rId21"/>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4"/>
    <w:bookmarkStart w:id="28"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6" name="Picture"/>
            <a:graphic>
              <a:graphicData uri="http://schemas.openxmlformats.org/drawingml/2006/picture">
                <pic:pic>
                  <pic:nvPicPr>
                    <pic:cNvPr descr="布伦特收益率与波动率.png" id="27" name="Picture"/>
                    <pic:cNvPicPr>
                      <a:picLocks noChangeArrowheads="1" noChangeAspect="1"/>
                    </pic:cNvPicPr>
                  </pic:nvPicPr>
                  <pic:blipFill>
                    <a:blip r:embed="rId25"/>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8"/>
    <w:bookmarkEnd w:id="29"/>
    <w:bookmarkStart w:id="33" w:name="模型假设与符号说明"/>
    <w:p>
      <w:pPr>
        <w:pStyle w:val="Heading1"/>
      </w:pPr>
      <w:r>
        <w:rPr>
          <w:rFonts w:hint="eastAsia"/>
        </w:rPr>
        <w:t xml:space="preserve">模型假设与符号说明</w:t>
      </w:r>
    </w:p>
    <w:bookmarkStart w:id="30"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0"/>
    <w:bookmarkStart w:id="31"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1"/>
    <w:bookmarkStart w:id="32"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2"/>
    <w:bookmarkEnd w:id="33"/>
    <w:bookmarkStart w:id="39" w:name="传统供需基准模型"/>
    <w:p>
      <w:pPr>
        <w:pStyle w:val="Heading1"/>
      </w:pPr>
      <w:r>
        <w:rPr>
          <w:rFonts w:hint="eastAsia"/>
        </w:rPr>
        <w:t xml:space="preserve">传统供需基准模型</w:t>
      </w:r>
    </w:p>
    <w:bookmarkStart w:id="34"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4"/>
    <w:bookmarkStart w:id="38"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6" name="Picture"/>
            <a:graphic>
              <a:graphicData uri="http://schemas.openxmlformats.org/drawingml/2006/picture">
                <pic:pic>
                  <pic:nvPicPr>
                    <pic:cNvPr descr="传统供需基准与真实价格对比.png" id="37" name="Picture"/>
                    <pic:cNvPicPr>
                      <a:picLocks noChangeArrowheads="1" noChangeAspect="1"/>
                    </pic:cNvPicPr>
                  </pic:nvPicPr>
                  <pic:blipFill>
                    <a:blip r:embed="rId35"/>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综合机制递推模型正是在这一边界上引入动态缓冲与价格形成机制。</w:t>
      </w:r>
    </w:p>
    <w:bookmarkEnd w:id="38"/>
    <w:bookmarkEnd w:id="39"/>
    <w:bookmarkStart w:id="45"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1" name="Picture"/>
            <a:graphic>
              <a:graphicData uri="http://schemas.openxmlformats.org/drawingml/2006/picture">
                <pic:pic>
                  <pic:nvPicPr>
                    <pic:cNvPr descr="综合机制递推模型结构图.png" id="42" name="Picture"/>
                    <pic:cNvPicPr>
                      <a:picLocks noChangeArrowheads="1" noChangeAspect="1"/>
                    </pic:cNvPicPr>
                  </pic:nvPicPr>
                  <pic:blipFill>
                    <a:blip r:embed="rId40"/>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bookmarkStart w:id="43"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3"/>
    <w:bookmarkStart w:id="44"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该层的函数形式来自三个建模约束。第一，Kilian（2009）、Hamilton（2009）和</w:t>
      </w:r>
      <w:r>
        <w:t xml:space="preserve"> Kilian </w:t>
      </w:r>
      <w:r>
        <w:rPr>
          <w:rFonts w:hint="eastAsia"/>
        </w:rPr>
        <w:t xml:space="preserve">与</w:t>
      </w:r>
      <w:r>
        <w:t xml:space="preserve"> </w:t>
      </w:r>
      <w:r>
        <w:rPr>
          <w:rFonts w:hint="eastAsia"/>
        </w:rPr>
        <w:t xml:space="preserve">Murphy（2014）的研究表明，油价冲击应区分物理供给、预防性需求、库存和预期再定价；因此，本文将剩余物理缺口和风险溢价分开建模。第二，题面给出恐慌情绪放大持续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表示约一周尺度的信息吸收，而指数衰减项表示市场在观察到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可知，式中指数项不是为拟合曲线任意添加，而是对</w:t>
      </w:r>
      <w:r>
        <w:rPr>
          <w:rFonts w:hint="eastAsia"/>
        </w:rPr>
        <w:t xml:space="preserve">“冲击建立–风险消化–缓冲确认”</w:t>
      </w:r>
      <w:r>
        <w:rPr>
          <w:rFonts w:hint="eastAsia"/>
        </w:rPr>
        <w:t xml:space="preserve">三类时间过程的简化表示。</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该结构保留了题面中的离散递推思想，同时允许期货市场对风险和预期做非线性再定价。恐慌动量项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需要强调，本文不把市场价格形成层视为任意补丁：风险溢价、缓冲确认折价和预期修复折价只有在具有经济含义、方向可解释、消融后误差明显恶化且扰动后结论保持稳定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bookmarkEnd w:id="44"/>
    <w:bookmarkEnd w:id="45"/>
    <w:bookmarkStart w:id="99" w:name="参数校准与模型检验"/>
    <w:p>
      <w:pPr>
        <w:pStyle w:val="Heading1"/>
      </w:pPr>
      <w:r>
        <w:rPr>
          <w:rFonts w:hint="eastAsia"/>
        </w:rPr>
        <w:t xml:space="preserve">参数校准与模型检验</w:t>
      </w:r>
    </w:p>
    <w:bookmarkStart w:id="46"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价格传导系数</w:t>
            </w:r>
            <w:r>
              <w:t xml:space="preserve"> </w:t>
            </w:r>
            <m:oMath>
              <m:r>
                <m:t>ϕ</m:t>
              </m:r>
            </m:oMath>
          </w:p>
        </w:tc>
        <w:tc>
          <w:tcPr/>
          <w:p>
            <w:pPr>
              <w:pStyle w:val="Compact"/>
              <w:jc w:val="right"/>
            </w:pPr>
            <w:r>
              <w:t xml:space="preserve">0.028</w:t>
            </w:r>
          </w:p>
        </w:tc>
      </w:tr>
      <w:tr>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r>
      <w:tr>
        <w:tc>
          <w:tcPr/>
          <w:p>
            <w:pPr>
              <w:pStyle w:val="Compact"/>
              <w:jc w:val="left"/>
            </w:pPr>
            <w:r>
              <w:rPr>
                <w:rFonts w:hint="eastAsia"/>
              </w:rPr>
              <w:t xml:space="preserve">不确定性/制度风险强度</w:t>
            </w:r>
          </w:p>
        </w:tc>
        <w:tc>
          <w:tcPr/>
          <w:p>
            <w:pPr>
              <w:pStyle w:val="Compact"/>
              <w:jc w:val="right"/>
            </w:pPr>
            <w:r>
              <w:t xml:space="preserve">0.247</w:t>
            </w:r>
          </w:p>
        </w:tc>
        <w:tc>
          <w:tcPr/>
          <w:p>
            <w:pPr>
              <w:pStyle w:val="Compact"/>
              <w:jc w:val="left"/>
            </w:pPr>
            <w:r>
              <w:rPr>
                <w:rFonts w:hint="eastAsia"/>
              </w:rPr>
              <w:t xml:space="preserve">库存响应系数</w:t>
            </w:r>
          </w:p>
        </w:tc>
        <w:tc>
          <w:tcPr/>
          <w:p>
            <w:pPr>
              <w:pStyle w:val="Compact"/>
              <w:jc w:val="right"/>
            </w:pPr>
            <w:r>
              <w:t xml:space="preserve">0.666</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避免把校准参数包装成外生事实。</w:t>
      </w:r>
    </w:p>
    <w:p>
      <w:pPr>
        <w:pStyle w:val="BodyText"/>
      </w:pPr>
      <w:r>
        <w:rPr>
          <w:rFonts w:hint="eastAsia"/>
        </w:rPr>
        <w:t xml:space="preserve">其中，供应中断量</w:t>
      </w:r>
      <w:r>
        <w:t xml:space="preserve"> 1493 </w:t>
      </w:r>
      <w:r>
        <w:rPr>
          <w:rFonts w:hint="eastAsia"/>
        </w:rPr>
        <w:t xml:space="preserve">万桶/日不是官方观测到的实际中断量，而是在赛题给定中断范围内由短期冲突窗口校准得到的中心情景值。本文只将其作为模型参数使用，并在长期乐观、中性、悲观情景以及蒙特卡洛抽样中覆盖</w:t>
      </w:r>
      <w:r>
        <w:t xml:space="preserve"> 1400–1800 </w:t>
      </w:r>
      <w:r>
        <w:rPr>
          <w:rFonts w:hint="eastAsia"/>
        </w:rPr>
        <w:t xml:space="preserve">万桶/日的扰动区间，避免把单一校准点误写成外生事实。</w:t>
      </w:r>
    </w:p>
    <w:bookmarkEnd w:id="46"/>
    <w:bookmarkStart w:id="53"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8" name="Picture"/>
            <a:graphic>
              <a:graphicData uri="http://schemas.openxmlformats.org/drawingml/2006/picture">
                <pic:pic>
                  <pic:nvPicPr>
                    <pic:cNvPr descr="短期模型拟合效果.png" id="49" name="Picture"/>
                    <pic:cNvPicPr>
                      <a:picLocks noChangeArrowheads="1" noChangeAspect="1"/>
                    </pic:cNvPicPr>
                  </pic:nvPicPr>
                  <pic:blipFill>
                    <a:blip r:embed="rId47"/>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51" name="Picture"/>
            <a:graphic>
              <a:graphicData uri="http://schemas.openxmlformats.org/drawingml/2006/picture">
                <pic:pic>
                  <pic:nvPicPr>
                    <pic:cNvPr descr="短期模型机制贡献.png" id="52" name="Picture"/>
                    <pic:cNvPicPr>
                      <a:picLocks noChangeArrowheads="1" noChangeAspect="1"/>
                    </pic:cNvPicPr>
                  </pic:nvPicPr>
                  <pic:blipFill>
                    <a:blip r:embed="rId50"/>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53"/>
    <w:bookmarkStart w:id="63" w:name="基准对比与鲁棒性检验"/>
    <w:p>
      <w:pPr>
        <w:pStyle w:val="Heading2"/>
      </w:pPr>
      <w:r>
        <w:rPr>
          <w:rFonts w:hint="eastAsia"/>
        </w:rPr>
        <w:t xml:space="preserve">基准对比与鲁棒性检验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218758"/>
            <wp:effectExtent b="0" l="0" r="0" t="0"/>
            <wp:docPr descr="" title="" id="55" name="Picture"/>
            <a:graphic>
              <a:graphicData uri="http://schemas.openxmlformats.org/drawingml/2006/picture">
                <pic:pic>
                  <pic:nvPicPr>
                    <pic:cNvPr descr="评审质疑防御框架图.png" id="56" name="Picture"/>
                    <pic:cNvPicPr>
                      <a:picLocks noChangeArrowheads="1" noChangeAspect="1"/>
                    </pic:cNvPicPr>
                  </pic:nvPicPr>
                  <pic:blipFill>
                    <a:blip r:embed="rId54"/>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58" name="Picture"/>
            <a:graphic>
              <a:graphicData uri="http://schemas.openxmlformats.org/drawingml/2006/picture">
                <pic:pic>
                  <pic:nvPicPr>
                    <pic:cNvPr descr="短期模型基准对比.png" id="59" name="Picture"/>
                    <pic:cNvPicPr>
                      <a:picLocks noChangeArrowheads="1" noChangeAspect="1"/>
                    </pic:cNvPicPr>
                  </pic:nvPicPr>
                  <pic:blipFill>
                    <a:blip r:embed="rId5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61" name="Picture"/>
            <a:graphic>
              <a:graphicData uri="http://schemas.openxmlformats.org/drawingml/2006/picture">
                <pic:pic>
                  <pic:nvPicPr>
                    <pic:cNvPr descr="短期模型滞后平移检验.png" id="62" name="Picture"/>
                    <pic:cNvPicPr>
                      <a:picLocks noChangeArrowheads="1" noChangeAspect="1"/>
                    </pic:cNvPicPr>
                  </pic:nvPicPr>
                  <pic:blipFill>
                    <a:blip r:embed="rId6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63"/>
    <w:bookmarkStart w:id="67" w:name="结构稳定性检验"/>
    <w:p>
      <w:pPr>
        <w:pStyle w:val="Heading2"/>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个交易日，而校准参数较多，本文进一步进行参数扰动与结构边界检验。结果显示，在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美元/桶区间；递推结构检查也确认模型未将</w:t>
      </w:r>
      <w:r>
        <w:t xml:space="preserve"> 120 </w:t>
      </w:r>
      <w:r>
        <w:rPr>
          <w:rFonts w:hint="eastAsia"/>
        </w:rPr>
        <w:t xml:space="preserve">美元作为外生价格上限。本文因此将模型定位为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65" name="Picture"/>
            <a:graphic>
              <a:graphicData uri="http://schemas.openxmlformats.org/drawingml/2006/picture">
                <pic:pic>
                  <pic:nvPicPr>
                    <pic:cNvPr descr="短期模型过拟合压力测试.png" id="66" name="Picture"/>
                    <pic:cNvPicPr>
                      <a:picLocks noChangeArrowheads="1" noChangeAspect="1"/>
                    </pic:cNvPicPr>
                  </pic:nvPicPr>
                  <pic:blipFill>
                    <a:blip r:embed="rId64"/>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w:t>
      </w:r>
    </w:p>
    <w:bookmarkEnd w:id="67"/>
    <w:bookmarkStart w:id="71"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9" name="Picture"/>
            <a:graphic>
              <a:graphicData uri="http://schemas.openxmlformats.org/drawingml/2006/picture">
                <pic:pic>
                  <pic:nvPicPr>
                    <pic:cNvPr descr="短期模型残差诊断增强.png" id="70" name="Picture"/>
                    <pic:cNvPicPr>
                      <a:picLocks noChangeArrowheads="1" noChangeAspect="1"/>
                    </pic:cNvPicPr>
                  </pic:nvPicPr>
                  <pic:blipFill>
                    <a:blip r:embed="rId68"/>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71"/>
    <w:bookmarkStart w:id="75" w:name="在线残差校正与机器学习辅助边界"/>
    <w:p>
      <w:pPr>
        <w:pStyle w:val="Heading2"/>
      </w:pPr>
      <w:r>
        <w:rPr>
          <w:rFonts w:hint="eastAsia"/>
        </w:rPr>
        <w:t xml:space="preserve">在线残差校正与机器学习辅助边界</w:t>
      </w:r>
    </w:p>
    <w:p>
      <w:pPr>
        <w:pStyle w:val="FirstParagraph"/>
      </w:pPr>
      <w:r>
        <w:rPr>
          <w:rFonts w:hint="eastAsia"/>
        </w:rPr>
        <w:t xml:space="preserve">考虑到短期模型残差仍存在轻微连续偏差，本文进一步引入一个轻量在线校正层。该层不替代综合机制递推主模型，只使用第</w:t>
      </w:r>
      <w:r>
        <w:t xml:space="preserve"> </w:t>
      </w:r>
      <m:oMath>
        <m:r>
          <m:t>t</m:t>
        </m:r>
        <m:r>
          <m:rPr>
            <m:sty m:val="p"/>
          </m:rPr>
          <m:t>−</m:t>
        </m:r>
        <m:r>
          <m:t>1</m:t>
        </m:r>
      </m:oMath>
      <w:r>
        <w:t xml:space="preserve"> </w:t>
      </w:r>
      <w:r>
        <w:rPr>
          <w:rFonts w:hint="eastAsia"/>
        </w:rPr>
        <w:t xml:space="preserve">日以前已经观测到的模型误差来估计第</w:t>
      </w:r>
      <w:r>
        <w:t xml:space="preserve"> </w:t>
      </w:r>
      <m:oMath>
        <m:r>
          <m:t>t</m:t>
        </m:r>
      </m:oMath>
      <w:r>
        <w:t xml:space="preserve"> </w:t>
      </w:r>
      <w:r>
        <w:rPr>
          <w:rFonts w:hint="eastAsia"/>
        </w:rPr>
        <w:t xml:space="preserve">日误差反馈：</w:t>
      </w:r>
    </w:p>
    <w:p>
      <w:pPr>
        <w:pStyle w:val="BodyText"/>
      </w:pPr>
      <m:oMathPara>
        <m:oMathParaPr>
          <m:jc m:val="center"/>
        </m:oMathParaPr>
        <m:oMath>
          <m:sSub>
            <m:e>
              <m:r>
                <m:t>e</m:t>
              </m:r>
            </m:e>
            <m:sub>
              <m:r>
                <m:t>t</m:t>
              </m:r>
            </m:sub>
          </m:sSub>
          <m:r>
            <m:rPr>
              <m:sty m:val="p"/>
            </m:rPr>
            <m:t>=</m:t>
          </m:r>
          <m:sSub>
            <m:e>
              <m:r>
                <m:t>ρ</m:t>
              </m:r>
            </m:e>
            <m:sub>
              <m:r>
                <m:t>t</m:t>
              </m:r>
            </m:sub>
          </m:sSub>
          <m:sSub>
            <m:e>
              <m:r>
                <m:t>e</m:t>
              </m:r>
            </m:e>
            <m:sub>
              <m:r>
                <m:t>t</m:t>
              </m:r>
              <m:r>
                <m:rPr>
                  <m:sty m:val="p"/>
                </m:rPr>
                <m:t>−</m:t>
              </m:r>
              <m:r>
                <m:t>1</m:t>
              </m:r>
            </m:sub>
          </m:sSub>
          <m:r>
            <m:rPr>
              <m:sty m:val="p"/>
            </m:rPr>
            <m:t>+</m:t>
          </m:r>
          <m:sSub>
            <m:e>
              <m:r>
                <m:t>η</m:t>
              </m:r>
            </m:e>
            <m:sub>
              <m:r>
                <m:t>t</m:t>
              </m:r>
            </m:sub>
          </m:sSub>
          <m:r>
            <m:rPr>
              <m:sty m:val="p"/>
            </m:rPr>
            <m:t>,</m:t>
          </m:r>
          <m:r>
            <m:t>  </m:t>
          </m:r>
          <m:sSubSup>
            <m:e>
              <m:acc>
                <m:accPr>
                  <m:chr m:val="̂"/>
                </m:accPr>
                <m:e>
                  <m:r>
                    <m:t>P</m:t>
                  </m:r>
                </m:e>
              </m:acc>
            </m:e>
            <m:sub>
              <m:r>
                <m:t>t</m:t>
              </m:r>
            </m:sub>
            <m:sup>
              <m:r>
                <m:t> </m:t>
              </m:r>
              <m:r>
                <m:t>c</m:t>
              </m:r>
            </m:sup>
          </m:sSubSup>
          <m:r>
            <m:rPr>
              <m:sty m:val="p"/>
            </m:rPr>
            <m:t>=</m:t>
          </m:r>
          <m:sSub>
            <m:e>
              <m:acc>
                <m:accPr>
                  <m:chr m:val="̂"/>
                </m:accPr>
                <m:e>
                  <m:r>
                    <m:t>P</m:t>
                  </m:r>
                </m:e>
              </m:acc>
            </m:e>
            <m:sub>
              <m:r>
                <m:t>t</m:t>
              </m:r>
            </m:sub>
          </m:sSub>
          <m:r>
            <m:rPr>
              <m:sty m:val="p"/>
            </m:rPr>
            <m:t>−</m:t>
          </m:r>
          <m:sSub>
            <m:e>
              <m:r>
                <m:t>ρ</m:t>
              </m:r>
            </m:e>
            <m:sub>
              <m:r>
                <m:t>t</m:t>
              </m:r>
            </m:sub>
          </m:sSub>
          <m:sSub>
            <m:e>
              <m:r>
                <m:t>e</m:t>
              </m:r>
            </m:e>
            <m:sub>
              <m:r>
                <m:t>t</m:t>
              </m:r>
              <m:r>
                <m:rPr>
                  <m:sty m:val="p"/>
                </m:rPr>
                <m:t>−</m:t>
              </m:r>
              <m:r>
                <m:t>1</m:t>
              </m:r>
            </m:sub>
          </m:sSub>
          <m:r>
            <m:rPr>
              <m:sty m:val="p"/>
            </m:rPr>
            <m:t>.</m:t>
          </m:r>
        </m:oMath>
      </m:oMathPara>
    </w:p>
    <w:p>
      <w:pPr>
        <w:pStyle w:val="FirstParagraph"/>
      </w:pPr>
      <w:r>
        <w:rPr>
          <w:rFonts w:hint="eastAsia"/>
        </w:rPr>
        <w:t xml:space="preserve">其中</w:t>
      </w:r>
      <w:r>
        <w:t xml:space="preserve"> </w:t>
      </w:r>
      <m:oMath>
        <m:sSub>
          <m:e>
            <m:r>
              <m:t>e</m:t>
            </m:r>
          </m:e>
          <m:sub>
            <m:r>
              <m:t>t</m:t>
            </m:r>
          </m:sub>
        </m:sSub>
        <m:r>
          <m:rPr>
            <m:sty m:val="p"/>
          </m:rPr>
          <m:t>=</m:t>
        </m:r>
        <m:sSub>
          <m:e>
            <m:acc>
              <m:accPr>
                <m:chr m:val="̂"/>
              </m:accPr>
              <m:e>
                <m:r>
                  <m:t>P</m:t>
                </m:r>
              </m:e>
            </m:acc>
          </m:e>
          <m:sub>
            <m:r>
              <m:t>t</m:t>
            </m:r>
          </m:sub>
        </m:sSub>
        <m:r>
          <m:rPr>
            <m:sty m:val="p"/>
          </m:rPr>
          <m:t>−</m:t>
        </m:r>
        <m:sSub>
          <m:e>
            <m:r>
              <m:t>P</m:t>
            </m:r>
          </m:e>
          <m:sub>
            <m:r>
              <m:t>t</m:t>
            </m:r>
          </m:sub>
        </m:sSub>
      </m:oMath>
      <w:r>
        <w:rPr>
          <w:rFonts w:hint="eastAsia"/>
        </w:rPr>
        <w:t xml:space="preserve">，</w:t>
      </w:r>
      <m:oMath>
        <m:sSub>
          <m:e>
            <m:r>
              <m:t>ρ</m:t>
            </m:r>
          </m:e>
          <m:sub>
            <m:r>
              <m:t>t</m:t>
            </m:r>
          </m:sub>
        </m:sSub>
      </m:oMath>
      <w:r>
        <w:t xml:space="preserve"> </w:t>
      </w:r>
      <w:r>
        <w:rPr>
          <w:rFonts w:hint="eastAsia"/>
        </w:rPr>
        <w:t xml:space="preserve">通过扩展窗口岭回归估计，并限制在</w:t>
      </w:r>
      <w:r>
        <w:t xml:space="preserve"> </w:t>
      </w:r>
      <m:oMath>
        <m:r>
          <m:rPr>
            <m:sty m:val="p"/>
          </m:rPr>
          <m:t>[</m:t>
        </m:r>
        <m:r>
          <m:t>0</m:t>
        </m:r>
        <m:r>
          <m:rPr>
            <m:sty m:val="p"/>
          </m:rPr>
          <m:t>,</m:t>
        </m:r>
        <m:r>
          <m:t>0.5</m:t>
        </m:r>
        <m:r>
          <m:rPr>
            <m:sty m:val="p"/>
          </m:rPr>
          <m:t>]</m:t>
        </m:r>
      </m:oMath>
      <w:r>
        <w:t xml:space="preserve"> </w:t>
      </w:r>
      <w:r>
        <w:rPr>
          <w:rFonts w:hint="eastAsia"/>
        </w:rPr>
        <w:t xml:space="preserve">内，防止校正层追逐噪声。第</w:t>
      </w:r>
      <w:r>
        <w:t xml:space="preserve"> </w:t>
      </w:r>
      <m:oMath>
        <m:r>
          <m:t>t</m:t>
        </m:r>
      </m:oMath>
      <w:r>
        <w:t xml:space="preserve"> </w:t>
      </w:r>
      <w:r>
        <w:rPr>
          <w:rFonts w:hint="eastAsia"/>
        </w:rPr>
        <w:t xml:space="preserve">日校正不能读取第</w:t>
      </w:r>
      <w:r>
        <w:t xml:space="preserve"> </w:t>
      </w:r>
      <m:oMath>
        <m:r>
          <m:t>t</m:t>
        </m:r>
      </m:oMath>
      <w:r>
        <w:t xml:space="preserve"> </w:t>
      </w:r>
      <w:r>
        <w:rPr>
          <w:rFonts w:hint="eastAsia"/>
        </w:rPr>
        <w:t xml:space="preserve">日真实价格，因此不是事后平滑曲线；它相当于把机器学习中的在线残差学习思想作为主模型的辅助滤波器。</w:t>
      </w:r>
    </w:p>
    <w:p>
      <w:pPr>
        <w:pStyle w:val="TableCaption"/>
      </w:pPr>
      <w:r>
        <w:rPr>
          <w:rFonts w:hint="eastAsia"/>
        </w:rPr>
        <w:t xml:space="preserve">短期在线残差校正效果</w:t>
      </w:r>
    </w:p>
    <w:tbl>
      <w:tblPr>
        <w:tblStyle w:val="Table"/>
        <w:tblW w:type="auto" w:w="0"/>
        <w:tblLook w:firstRow="1" w:lastRow="0" w:firstColumn="0" w:lastColumn="0" w:noHBand="0" w:noVBand="0" w:val="0020"/>
        <w:tblCaption w:val="短期在线残差校正效果"/>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机制递推主模型</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2.858%</w:t>
            </w:r>
          </w:p>
        </w:tc>
        <w:tc>
          <w:tcPr/>
          <w:p>
            <w:pPr>
              <w:pStyle w:val="Compact"/>
              <w:jc w:val="right"/>
            </w:pPr>
            <w:r>
              <w:t xml:space="preserve">64.4%</w:t>
            </w:r>
          </w:p>
        </w:tc>
      </w:tr>
      <w:tr>
        <w:tc>
          <w:tcPr/>
          <w:p>
            <w:pPr>
              <w:pStyle w:val="Compact"/>
              <w:jc w:val="left"/>
            </w:pPr>
            <w:r>
              <w:rPr>
                <w:rFonts w:hint="eastAsia"/>
              </w:rPr>
              <w:t xml:space="preserve">在线残差校正模型</w:t>
            </w:r>
          </w:p>
        </w:tc>
        <w:tc>
          <w:tcPr/>
          <w:p>
            <w:pPr>
              <w:pStyle w:val="Compact"/>
              <w:jc w:val="right"/>
            </w:pPr>
            <w:r>
              <w:t xml:space="preserve">3.383</w:t>
            </w:r>
          </w:p>
        </w:tc>
        <w:tc>
          <w:tcPr/>
          <w:p>
            <w:pPr>
              <w:pStyle w:val="Compact"/>
              <w:jc w:val="right"/>
            </w:pPr>
            <w:r>
              <w:t xml:space="preserve">2.794</w:t>
            </w:r>
          </w:p>
        </w:tc>
        <w:tc>
          <w:tcPr/>
          <w:p>
            <w:pPr>
              <w:pStyle w:val="Compact"/>
              <w:jc w:val="right"/>
            </w:pPr>
            <w:r>
              <w:t xml:space="preserve">2.797%</w:t>
            </w:r>
          </w:p>
        </w:tc>
        <w:tc>
          <w:tcPr/>
          <w:p>
            <w:pPr>
              <w:pStyle w:val="Compact"/>
              <w:jc w:val="right"/>
            </w:pPr>
            <w:r>
              <w:t xml:space="preserve">57.8%</w:t>
            </w:r>
          </w:p>
        </w:tc>
      </w:tr>
      <w:tr>
        <w:tc>
          <w:tcPr/>
          <w:p>
            <w:pPr>
              <w:pStyle w:val="Compact"/>
              <w:jc w:val="left"/>
            </w:pPr>
            <w:r>
              <w:rPr>
                <w:rFonts w:hint="eastAsia"/>
              </w:rPr>
              <w:t xml:space="preserve">朴素上一日基准</w:t>
            </w:r>
          </w:p>
        </w:tc>
        <w:tc>
          <w:tcPr/>
          <w:p>
            <w:pPr>
              <w:pStyle w:val="Compact"/>
              <w:jc w:val="right"/>
            </w:pPr>
            <w:r>
              <w:t xml:space="preserve">4.467</w:t>
            </w:r>
          </w:p>
        </w:tc>
        <w:tc>
          <w:tcPr/>
          <w:p>
            <w:pPr>
              <w:pStyle w:val="Compact"/>
              <w:jc w:val="right"/>
            </w:pPr>
            <w:r>
              <w:t xml:space="preserve">3.570</w:t>
            </w:r>
          </w:p>
        </w:tc>
        <w:tc>
          <w:tcPr/>
          <w:p>
            <w:pPr>
              <w:pStyle w:val="Compact"/>
              <w:jc w:val="right"/>
            </w:pPr>
            <w:r>
              <w:t xml:space="preserve">3.541%</w:t>
            </w:r>
          </w:p>
        </w:tc>
        <w:tc>
          <w:tcPr/>
          <w:p>
            <w:pPr>
              <w:pStyle w:val="Compact"/>
              <w:jc w:val="right"/>
            </w:pPr>
            <w:r>
              <w:t xml:space="preserve">46.7%</w:t>
            </w:r>
          </w:p>
        </w:tc>
      </w:tr>
    </w:tbl>
    <w:p>
      <w:pPr>
        <w:pStyle w:val="CaptionedFigure"/>
      </w:pPr>
      <w:r>
        <w:drawing>
          <wp:inline>
            <wp:extent cx="4907280" cy="3655675"/>
            <wp:effectExtent b="0" l="0" r="0" t="0"/>
            <wp:docPr descr="" title="" id="73" name="Picture"/>
            <a:graphic>
              <a:graphicData uri="http://schemas.openxmlformats.org/drawingml/2006/picture">
                <pic:pic>
                  <pic:nvPicPr>
                    <pic:cNvPr descr="短期模型在线残差校正效果.png" id="74" name="Picture"/>
                    <pic:cNvPicPr>
                      <a:picLocks noChangeArrowheads="1" noChangeAspect="1"/>
                    </pic:cNvPicPr>
                  </pic:nvPicPr>
                  <pic:blipFill>
                    <a:blip r:embed="rId72"/>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短期模型在线残差校正效果。校正层降低了价格水平误差，但方向解释仍以机制主模型为准。</w:t>
      </w:r>
    </w:p>
    <w:p>
      <w:pPr>
        <w:pStyle w:val="BodyText"/>
      </w:pPr>
      <w:r>
        <w:rPr>
          <w:rFonts w:hint="eastAsia"/>
        </w:rPr>
        <w:t xml:space="preserve">结果显示，在线校正可将</w:t>
      </w:r>
      <w:r>
        <w:t xml:space="preserve"> RMSE </w:t>
      </w:r>
      <w:r>
        <w:rPr>
          <w:rFonts w:hint="eastAsia"/>
        </w:rPr>
        <w:t xml:space="preserve">从</w:t>
      </w:r>
      <w:r>
        <w:t xml:space="preserve"> 3.440 </w:t>
      </w:r>
      <w:r>
        <w:rPr>
          <w:rFonts w:hint="eastAsia"/>
        </w:rPr>
        <w:t xml:space="preserve">降至</w:t>
      </w:r>
      <w:r>
        <w:t xml:space="preserve"> </w:t>
      </w:r>
      <w:r>
        <w:rPr>
          <w:rFonts w:hint="eastAsia"/>
        </w:rPr>
        <w:t xml:space="preserve">3.383，MAE</w:t>
      </w:r>
      <w:r>
        <w:t xml:space="preserve"> </w:t>
      </w:r>
      <w:r>
        <w:rPr>
          <w:rFonts w:hint="eastAsia"/>
        </w:rPr>
        <w:t xml:space="preserve">从</w:t>
      </w:r>
      <w:r>
        <w:t xml:space="preserve"> 2.855 </w:t>
      </w:r>
      <w:r>
        <w:rPr>
          <w:rFonts w:hint="eastAsia"/>
        </w:rPr>
        <w:t xml:space="preserve">降至</w:t>
      </w:r>
      <w:r>
        <w:t xml:space="preserve"> </w:t>
      </w:r>
      <w:r>
        <w:rPr>
          <w:rFonts w:hint="eastAsia"/>
        </w:rPr>
        <w:t xml:space="preserve">2.794，最大绝对误差也有所下降。这说明冲突窗口中确实存在可利用的短期误差惯性。但在线校正后的方向命中率低于机制主模型，因此本文不将其升级为新的主模型，而是把它作为计算机方法的克制引入：主模型负责机制解释和方向判断，在线校正层只用于说明残差层面仍存在有限的自适应改进空间。</w:t>
      </w:r>
    </w:p>
    <w:bookmarkEnd w:id="75"/>
    <w:bookmarkStart w:id="79" w:name="时间轴语义与删块稳健性复核"/>
    <w:p>
      <w:pPr>
        <w:pStyle w:val="Heading2"/>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77" name="Picture"/>
            <a:graphic>
              <a:graphicData uri="http://schemas.openxmlformats.org/drawingml/2006/picture">
                <pic:pic>
                  <pic:nvPicPr>
                    <pic:cNvPr descr="短期模型时间轴与删块稳健性.png" id="78" name="Picture"/>
                    <pic:cNvPicPr>
                      <a:picLocks noChangeArrowheads="1" noChangeAspect="1"/>
                    </pic:cNvPicPr>
                  </pic:nvPicPr>
                  <pic:blipFill>
                    <a:blip r:embed="rId76"/>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79"/>
    <w:bookmarkStart w:id="86" w:name="统计检验与-r-语言辅助定位"/>
    <w:p>
      <w:pPr>
        <w:pStyle w:val="Heading2"/>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为进一步提高模型检验的严谨性，本文新增统计检验。该检验不改变短期主模型，只在剔除首日后构造可比较样本，将综合机制递推模型与朴素上一日基准进行误差和统计比较。之所以剔除首日，是因为朴素上一日基准需要上一交易日真实价格作为输入，首日没有可比预测值。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81" name="Picture"/>
            <a:graphic>
              <a:graphicData uri="http://schemas.openxmlformats.org/drawingml/2006/picture">
                <pic:pic>
                  <pic:nvPicPr>
                    <pic:cNvPr descr="短期模型统计审计.png" id="82" name="Picture"/>
                    <pic:cNvPicPr>
                      <a:picLocks noChangeArrowheads="1" noChangeAspect="1"/>
                    </pic:cNvPicPr>
                  </pic:nvPicPr>
                  <pic:blipFill>
                    <a:blip r:embed="rId80"/>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个可比较交易日，绝对损失</w:t>
      </w:r>
      <w:r>
        <w:t xml:space="preserve"> DM </w:t>
      </w:r>
      <w:r>
        <w:rPr>
          <w:rFonts w:hint="eastAsia"/>
        </w:rPr>
        <w:t xml:space="preserve">检验也接近显著性边界，因此本文不把它写成压倒性证明，而是作为基准对比、滞后检验和机制消融之外的补充验证。Newey–West</w:t>
      </w:r>
      <w:r>
        <w:t xml:space="preserve"> </w:t>
      </w:r>
      <w:r>
        <w:rPr>
          <w:rFonts w:hint="eastAsia"/>
        </w:rPr>
        <w:t xml:space="preserve">回归仅用于刻画拟合路径与真实价格的线性一致性，不被用作独立样本外预测能力或因果识别证明。</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84" name="Picture"/>
            <a:graphic>
              <a:graphicData uri="http://schemas.openxmlformats.org/drawingml/2006/picture">
                <pic:pic>
                  <pic:nvPicPr>
                    <pic:cNvPr descr="R短期误差学术诊断.png" id="85" name="Picture"/>
                    <pic:cNvPicPr>
                      <a:picLocks noChangeArrowheads="1" noChangeAspect="1"/>
                    </pic:cNvPicPr>
                  </pic:nvPicPr>
                  <pic:blipFill>
                    <a:blip r:embed="rId83"/>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86"/>
    <w:bookmarkStart w:id="87"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87"/>
    <w:bookmarkStart w:id="91"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89" name="Picture"/>
            <a:graphic>
              <a:graphicData uri="http://schemas.openxmlformats.org/drawingml/2006/picture">
                <pic:pic>
                  <pic:nvPicPr>
                    <pic:cNvPr descr="短期模型拐点局部检验.png" id="90" name="Picture"/>
                    <pic:cNvPicPr>
                      <a:picLocks noChangeArrowheads="1" noChangeAspect="1"/>
                    </pic:cNvPicPr>
                  </pic:nvPicPr>
                  <pic:blipFill>
                    <a:blip r:embed="rId88"/>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91"/>
    <w:bookmarkStart w:id="95"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93" name="Picture"/>
            <a:graphic>
              <a:graphicData uri="http://schemas.openxmlformats.org/drawingml/2006/picture">
                <pic:pic>
                  <pic:nvPicPr>
                    <pic:cNvPr descr="短期模型稳健性带.png" id="94" name="Picture"/>
                    <pic:cNvPicPr>
                      <a:picLocks noChangeArrowheads="1" noChangeAspect="1"/>
                    </pic:cNvPicPr>
                  </pic:nvPicPr>
                  <pic:blipFill>
                    <a:blip r:embed="rId92"/>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bookmarkEnd w:id="95"/>
    <w:bookmarkStart w:id="96" w:name="内生性反事实基准与结构边界"/>
    <w:p>
      <w:pPr>
        <w:pStyle w:val="Heading2"/>
      </w:pPr>
      <w:r>
        <w:rPr>
          <w:rFonts w:hint="eastAsia"/>
        </w:rPr>
        <w:t xml:space="preserve">内生性、反事实基准与结构边界</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“低短期弹性静态供需模型会显著高估现实价格，必须引入库存、SPR、绕道、需求收缩、价格传导折价和预期修复等动态机制解释现实平台”</w:t>
      </w:r>
      <w:r>
        <w:t xml:space="preserve">。</w:t>
      </w:r>
    </w:p>
    <w:p>
      <w:pPr>
        <w:pStyle w:val="BodyText"/>
      </w:pPr>
      <w:r>
        <w:rPr>
          <w:rFonts w:hint="eastAsia"/>
        </w:rPr>
        <w:t xml:space="preserve">最后，本文检查递推结构的价格边界。短期动态递推函数中不存在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美元只作为题面观测参考区间出现在图表阴影和展示配置中，不参与价格递推计算。需要强调的是，当前模型也不是严格意义上的微观多智能体涌现模型，更准确的表述应是机制递推模型；本文可以说明</w:t>
      </w:r>
      <w:r>
        <w:t xml:space="preserve"> 120 </w:t>
      </w:r>
      <w:r>
        <w:rPr>
          <w:rFonts w:hint="eastAsia"/>
        </w:rPr>
        <w:t xml:space="preserve">美元平台不是外生价格上限，但不声称已经实现了多智能体动态纳什均衡。</w:t>
      </w:r>
    </w:p>
    <w:bookmarkEnd w:id="96"/>
    <w:bookmarkStart w:id="98" w:name="鲁棒性与边界检验总览"/>
    <w:p>
      <w:pPr>
        <w:pStyle w:val="Heading2"/>
      </w:pPr>
      <w:r>
        <w:rPr>
          <w:rFonts w:hint="eastAsia"/>
        </w:rPr>
        <w:t xml:space="preserve">鲁棒性与边界检验总览</w:t>
      </w:r>
    </w:p>
    <w:p>
      <w:pPr>
        <w:pStyle w:val="FirstParagraph"/>
      </w:pPr>
      <w:r>
        <w:rPr>
          <w:rFonts w:hint="eastAsia"/>
        </w:rPr>
        <w:t xml:space="preserve">为避免模型检验只呈现有利指标，本文将关键不确定性来源转化为鲁棒性与边界检验。表</w:t>
      </w:r>
      <w:r>
        <w:t xml:space="preserve"> </w:t>
      </w:r>
      <w:hyperlink w:anchor="tab:adversarial-tests">
        <w:r>
          <w:rPr>
            <w:rStyle w:val="Hyperlink"/>
          </w:rPr>
          <w:t xml:space="preserve">3</w:t>
        </w:r>
      </w:hyperlink>
      <w:r>
        <w:t xml:space="preserve"> </w:t>
      </w:r>
      <w:r>
        <w:rPr>
          <w:rFonts w:hint="eastAsia"/>
        </w:rPr>
        <w:t xml:space="preserve">中的检验均不重新寻找最优参数，而是在同一模型框架下改变某个关键条件，观察主结论是否保持稳定。</w:t>
      </w:r>
    </w:p>
    <w:bookmarkStart w:id="97"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89.58–106.44 </w:t>
            </w:r>
            <w:r>
              <w:rPr>
                <w:rFonts w:hint="eastAsia"/>
              </w:rPr>
              <w:t xml:space="preserve">美元/桶，突破</w:t>
            </w:r>
            <w:r>
              <w:t xml:space="preserve"> 120 </w:t>
            </w:r>
            <w:r>
              <w:rPr>
                <w:rFonts w:hint="eastAsia"/>
              </w:rPr>
              <w:t xml:space="preserve">概率约</w:t>
            </w:r>
            <w:r>
              <w:t xml:space="preserve"> 16.3%</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97"/>
    <w:bookmarkEnd w:id="98"/>
    <w:bookmarkEnd w:id="99"/>
    <w:bookmarkStart w:id="119" w:name="天三情景预测"/>
    <w:p>
      <w:pPr>
        <w:pStyle w:val="Heading1"/>
      </w:pPr>
      <w:r>
        <w:t xml:space="preserve">60–180 </w:t>
      </w:r>
      <w:r>
        <w:rPr>
          <w:rFonts w:hint="eastAsia"/>
        </w:rPr>
        <w:t xml:space="preserve">天三情景预测</w:t>
      </w:r>
    </w:p>
    <w:bookmarkStart w:id="100"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长期部分不能称为</w:t>
      </w:r>
      <w:r>
        <w:rPr>
          <w:rFonts w:hint="eastAsia"/>
        </w:rPr>
        <w:t xml:space="preserve">“拟合”</w:t>
      </w: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的表述。三情景曲线表示条件中心路径，而不是未来每日收盘价的精确点预测；其可信度由机制一致性、官方外生数据校验、敏感性分析、蒙特卡洛概率区间和状态转移扰动共同评价。</w:t>
      </w:r>
    </w:p>
    <w:p>
      <w:pPr>
        <w:pStyle w:val="BodyText"/>
      </w:pPr>
      <w:r>
        <w:rPr>
          <w:rFonts w:hint="eastAsia"/>
        </w:rPr>
        <w:t xml:space="preserve">长短期模型并非两套互不相干的模型。短期部分使用同一套物理缺口和市场价格形成递推式，回答封锁初期价格平台如何形成；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由地缘风险溢价、前期冲击不确定性和持续封锁制度风险三部分构成，其中制度风险随未解决供应压力和时间信心恢复共同衰减，避免形成长期常数托底。</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00"/>
    <w:bookmarkStart w:id="103" w:name="长期参数来源与校验边界"/>
    <w:p>
      <w:pPr>
        <w:pStyle w:val="Heading2"/>
      </w:pPr>
      <w:r>
        <w:rPr>
          <w:rFonts w:hint="eastAsia"/>
        </w:rPr>
        <w:t xml:space="preserve">长期参数来源与校验边界</w:t>
      </w:r>
    </w:p>
    <w:p>
      <w:pPr>
        <w:pStyle w:val="FirstParagraph"/>
      </w:pPr>
      <w:r>
        <w:rPr>
          <w:rFonts w:hint="eastAsia"/>
        </w:rPr>
        <w:t xml:space="preserve">长期模型中的部分参数不是可以从附件直接读取的真实观测量，而是用于描述恢复速度、政策收缩和制度风险衰减的机制参数。为避免参数自由度过高，本文对长期参数采用三条约束：一是方向必须来自赛题机制或能源市场逻辑；二是数值只能作为基准情景假设进入，不能冒充官方统计数据；三是所有关键参数必须进入扰动区间、敏感性排序或蒙特卡洛检验。长期参数来源与校验方式见表</w:t>
      </w:r>
      <w:r>
        <w:t xml:space="preserve"> </w:t>
      </w:r>
      <w:hyperlink w:anchor="tab:long-parameter-audit">
        <w:r>
          <w:rPr>
            <w:rStyle w:val="Hyperlink"/>
          </w:rPr>
          <w:t xml:space="preserve">4</w:t>
        </w:r>
      </w:hyperlink>
      <w:r>
        <w:t xml:space="preserve">。</w:t>
      </w:r>
    </w:p>
    <w:bookmarkStart w:id="101" w:name="tab:long-parameter-audit"/>
    <w:p>
      <w:pPr>
        <w:pStyle w:val="TableCaption"/>
      </w:pPr>
      <w:r>
        <w:rPr>
          <w:rFonts w:hint="eastAsia"/>
        </w:rPr>
        <w:t xml:space="preserve">长期关键参数来源与校验方式</w:t>
      </w:r>
    </w:p>
    <w:tbl>
      <w:tblPr>
        <w:tblStyle w:val="Table"/>
        <w:tblW w:type="auto" w:w="0"/>
        <w:tblLook w:firstRow="1" w:lastRow="0" w:firstColumn="0" w:lastColumn="0" w:noHBand="0" w:noVBand="0" w:val="0020"/>
        <w:tblCaption w:val="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只用于长期条件外推，不反向用于短期拟合；JODI</w:t>
            </w:r>
            <w:r>
              <w:t xml:space="preserve"> </w:t>
            </w:r>
            <w:r>
              <w:rPr>
                <w:rFonts w:hint="eastAsia"/>
              </w:rPr>
              <w:t xml:space="preserve">为多国上报口径，不能写成完整全球总量。</w:t>
            </w:r>
          </w:p>
        </w:tc>
      </w:tr>
    </w:tbl>
    <w:bookmarkEnd w:id="101"/>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。具体做法不是用外部数据替代赛题参数，而是由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5</w:t>
        </w:r>
      </w:hyperlink>
      <w:r>
        <w:t xml:space="preserve">。</w:t>
      </w:r>
    </w:p>
    <w:bookmarkStart w:id="102"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02"/>
    <w:bookmarkEnd w:id="103"/>
    <w:bookmarkStart w:id="118"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94.36</w:t>
            </w:r>
          </w:p>
        </w:tc>
        <w:tc>
          <w:tcPr/>
          <w:p>
            <w:pPr>
              <w:pStyle w:val="Compact"/>
              <w:jc w:val="right"/>
            </w:pPr>
            <w:r>
              <w:t xml:space="preserve">92.79</w:t>
            </w:r>
          </w:p>
        </w:tc>
        <w:tc>
          <w:tcPr/>
          <w:p>
            <w:pPr>
              <w:pStyle w:val="Compact"/>
              <w:jc w:val="right"/>
            </w:pPr>
            <w:r>
              <w:t xml:space="preserve">87.78</w:t>
            </w:r>
          </w:p>
        </w:tc>
        <w:tc>
          <w:tcPr/>
          <w:p>
            <w:pPr>
              <w:pStyle w:val="Compact"/>
              <w:jc w:val="right"/>
            </w:pPr>
            <w:r>
              <w:t xml:space="preserve">103.79</w:t>
            </w:r>
          </w:p>
        </w:tc>
        <w:tc>
          <w:tcPr/>
          <w:p>
            <w:pPr>
              <w:pStyle w:val="Compact"/>
              <w:jc w:val="right"/>
            </w:pPr>
            <w:r>
              <w:t xml:space="preserve">92.16</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107.12</w:t>
            </w:r>
          </w:p>
        </w:tc>
        <w:tc>
          <w:tcPr/>
          <w:p>
            <w:pPr>
              <w:pStyle w:val="Compact"/>
              <w:jc w:val="right"/>
            </w:pPr>
            <w:r>
              <w:t xml:space="preserve">102.43</w:t>
            </w:r>
          </w:p>
        </w:tc>
        <w:tc>
          <w:tcPr/>
          <w:p>
            <w:pPr>
              <w:pStyle w:val="Compact"/>
              <w:jc w:val="right"/>
            </w:pPr>
            <w:r>
              <w:t xml:space="preserve">94.15</w:t>
            </w:r>
          </w:p>
        </w:tc>
        <w:tc>
          <w:tcPr/>
          <w:p>
            <w:pPr>
              <w:pStyle w:val="Compact"/>
              <w:jc w:val="right"/>
            </w:pPr>
            <w:r>
              <w:t xml:space="preserve">110.68</w:t>
            </w:r>
          </w:p>
        </w:tc>
        <w:tc>
          <w:tcPr/>
          <w:p>
            <w:pPr>
              <w:pStyle w:val="Compact"/>
              <w:jc w:val="right"/>
            </w:pPr>
            <w:r>
              <w:t xml:space="preserve">102.17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127.81</w:t>
            </w:r>
          </w:p>
        </w:tc>
        <w:tc>
          <w:tcPr/>
          <w:p>
            <w:pPr>
              <w:pStyle w:val="Compact"/>
              <w:jc w:val="right"/>
            </w:pPr>
            <w:r>
              <w:t xml:space="preserve">118.64</w:t>
            </w:r>
          </w:p>
        </w:tc>
        <w:tc>
          <w:tcPr/>
          <w:p>
            <w:pPr>
              <w:pStyle w:val="Compact"/>
              <w:jc w:val="right"/>
            </w:pPr>
            <w:r>
              <w:t xml:space="preserve">110.16</w:t>
            </w:r>
          </w:p>
        </w:tc>
        <w:tc>
          <w:tcPr/>
          <w:p>
            <w:pPr>
              <w:pStyle w:val="Compact"/>
              <w:jc w:val="right"/>
            </w:pPr>
            <w:r>
              <w:t xml:space="preserve">133.91</w:t>
            </w:r>
          </w:p>
        </w:tc>
        <w:tc>
          <w:tcPr/>
          <w:p>
            <w:pPr>
              <w:pStyle w:val="Compact"/>
              <w:jc w:val="right"/>
            </w:pPr>
            <w:r>
              <w:t xml:space="preserve">120.01</w:t>
            </w:r>
          </w:p>
        </w:tc>
        <w:tc>
          <w:tcPr/>
          <w:p>
            <w:pPr>
              <w:pStyle w:val="Compact"/>
              <w:jc w:val="right"/>
            </w:pPr>
            <w:r>
              <w:rPr>
                <w:rFonts w:hint="eastAsia"/>
              </w:rPr>
              <w:t xml:space="preserve">高</w:t>
            </w:r>
          </w:p>
        </w:tc>
      </w:tr>
    </w:tbl>
    <w:bookmarkStart w:id="107" w:name="fig:long-term-fan"/>
    <w:p>
      <w:pPr>
        <w:pStyle w:val="CaptionedFigure"/>
      </w:pPr>
      <w:r>
        <w:drawing>
          <wp:inline>
            <wp:extent cx="5227320" cy="2777013"/>
            <wp:effectExtent b="0" l="0" r="0" t="0"/>
            <wp:docPr descr="" title="" id="105" name="Picture"/>
            <a:graphic>
              <a:graphicData uri="http://schemas.openxmlformats.org/drawingml/2006/picture">
                <pic:pic>
                  <pic:nvPicPr>
                    <pic:cNvPr descr="蒙特卡洛情景树高级组合图.png" id="106" name="Picture"/>
                    <pic:cNvPicPr>
                      <a:picLocks noChangeArrowheads="1" noChangeAspect="1"/>
                    </pic:cNvPicPr>
                  </pic:nvPicPr>
                  <pic:blipFill>
                    <a:blip r:embed="rId104"/>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w:t>
      </w:r>
    </w:p>
    <w:bookmarkEnd w:id="107"/>
    <w:p>
      <w:pPr>
        <w:pStyle w:val="CaptionedFigure"/>
      </w:pPr>
      <w:r>
        <w:drawing>
          <wp:inline>
            <wp:extent cx="5013960" cy="2757678"/>
            <wp:effectExtent b="0" l="0" r="0" t="0"/>
            <wp:docPr descr="" title="" id="109" name="Picture"/>
            <a:graphic>
              <a:graphicData uri="http://schemas.openxmlformats.org/drawingml/2006/picture">
                <pic:pic>
                  <pic:nvPicPr>
                    <pic:cNvPr descr="短期拟合与长期预测总览.png" id="110" name="Picture"/>
                    <pic:cNvPicPr>
                      <a:picLocks noChangeArrowheads="1" noChangeAspect="1"/>
                    </pic:cNvPicPr>
                  </pic:nvPicPr>
                  <pic:blipFill>
                    <a:blip r:embed="rId108"/>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这样得到的长期图不再是一条孤立直线，而是中心路径、状态概率和尾部区间的组合。</w:t>
      </w:r>
    </w:p>
    <w:bookmarkStart w:id="114" w:name="fig:state-transition-fan"/>
    <w:p>
      <w:pPr>
        <w:pStyle w:val="CaptionedFigure"/>
      </w:pPr>
      <w:r>
        <w:drawing>
          <wp:inline>
            <wp:extent cx="5013960" cy="3654242"/>
            <wp:effectExtent b="0" l="0" r="0" t="0"/>
            <wp:docPr descr="" title="" id="112" name="Picture"/>
            <a:graphic>
              <a:graphicData uri="http://schemas.openxmlformats.org/drawingml/2006/picture">
                <pic:pic>
                  <pic:nvPicPr>
                    <pic:cNvPr descr="长期状态转移情景树.png" id="113" name="Picture"/>
                    <pic:cNvPicPr>
                      <a:picLocks noChangeArrowheads="1" noChangeAspect="1"/>
                    </pic:cNvPicPr>
                  </pic:nvPicPr>
                  <pic:blipFill>
                    <a:blip r:embed="rId111"/>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w:t>
      </w:r>
    </w:p>
    <w:bookmarkEnd w:id="114"/>
    <w:p>
      <w:pPr>
        <w:pStyle w:val="BodyText"/>
      </w:pPr>
      <w:r>
        <w:rPr>
          <w:rFonts w:hint="eastAsia"/>
        </w:rPr>
        <w:t xml:space="preserve">结果显示，中性情景下价格在</w:t>
      </w:r>
      <w:r>
        <w:t xml:space="preserve"> 180 </w:t>
      </w:r>
      <w:r>
        <w:rPr>
          <w:rFonts w:hint="eastAsia"/>
        </w:rPr>
        <w:t xml:space="preserve">天附近回落至约</w:t>
      </w:r>
      <w:r>
        <w:t xml:space="preserve"> 94.15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133.91 </w:t>
      </w:r>
      <w:r>
        <w:rPr>
          <w:rFonts w:hint="eastAsia"/>
        </w:rPr>
        <w:t xml:space="preserve">美元/桶的高点。状态转移增强模型进一步给出第</w:t>
      </w:r>
      <w:r>
        <w:t xml:space="preserve"> 180 </w:t>
      </w:r>
      <w:r>
        <w:rPr>
          <w:rFonts w:hint="eastAsia"/>
        </w:rPr>
        <w:t xml:space="preserve">天</w:t>
      </w:r>
      <w:r>
        <w:t xml:space="preserve"> 5%–95% </w:t>
      </w:r>
      <w:r>
        <w:rPr>
          <w:rFonts w:hint="eastAsia"/>
        </w:rPr>
        <w:t xml:space="preserve">条件区间</w:t>
      </w:r>
      <w:r>
        <w:t xml:space="preserve"> 86.31–95.55 </w:t>
      </w:r>
      <w:r>
        <w:rPr>
          <w:rFonts w:hint="eastAsia"/>
        </w:rPr>
        <w:t xml:space="preserve">美元/桶，外推期最高价</w:t>
      </w:r>
      <w:r>
        <w:t xml:space="preserve"> P95 </w:t>
      </w:r>
      <w:r>
        <w:rPr>
          <w:rFonts w:hint="eastAsia"/>
        </w:rPr>
        <w:t xml:space="preserve">为</w:t>
      </w:r>
      <w:r>
        <w:t xml:space="preserve"> 128.72 </w:t>
      </w:r>
      <w:r>
        <w:rPr>
          <w:rFonts w:hint="eastAsia"/>
        </w:rPr>
        <w:t xml:space="preserve">美元/桶，说明长期中心路径的日度精度不能单独夸大，真正应关注的是尾部区间和状态切换风险。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为多国上报口径，OPEC</w:t>
            </w:r>
            <w:r>
              <w:t xml:space="preserve"> </w:t>
            </w:r>
            <w:r>
              <w:rPr>
                <w:rFonts w:hint="eastAsia"/>
              </w:rPr>
              <w:t xml:space="preserve">为正常基线预测，OVX</w:t>
            </w:r>
            <w:r>
              <w:t xml:space="preserve"> </w:t>
            </w:r>
            <w:r>
              <w:rPr>
                <w:rFonts w:hint="eastAsia"/>
              </w:rPr>
              <w:t xml:space="preserve">为期权市场波动预期；这些数据用于数量级和风险约束，不能直接替代赛题冲击参数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86.31–95.55 </w:t>
            </w:r>
            <w:r>
              <w:rPr>
                <w:rFonts w:hint="eastAsia"/>
              </w:rPr>
              <w:t xml:space="preserve">美元/桶，外推期最高价</w:t>
            </w:r>
            <w:r>
              <w:t xml:space="preserve"> P95 </w:t>
            </w:r>
            <w:r>
              <w:rPr>
                <w:rFonts w:hint="eastAsia"/>
              </w:rPr>
              <w:t xml:space="preserve">为</w:t>
            </w:r>
            <w:r>
              <w:t xml:space="preserve"> 128.72 </w:t>
            </w:r>
            <w:r>
              <w:rPr>
                <w:rFonts w:hint="eastAsia"/>
              </w:rPr>
              <w:t xml:space="preserve">美元/桶</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87.78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94.15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110.16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需要主动说明的是，中性第</w:t>
      </w:r>
      <w:r>
        <w:t xml:space="preserve"> 180 </w:t>
      </w:r>
      <w:r>
        <w:rPr>
          <w:rFonts w:hint="eastAsia"/>
        </w:rPr>
        <w:t xml:space="preserve">天物理缺口已基本闭合，但价格仍高于战前</w:t>
      </w:r>
      <w:r>
        <w:t xml:space="preserve"> 75 </w:t>
      </w:r>
      <w:r>
        <w:rPr>
          <w:rFonts w:hint="eastAsia"/>
        </w:rPr>
        <w:t xml:space="preserve">美元/桶，并非供需项失效，而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94.15 </w:t>
      </w:r>
      <w:r>
        <w:rPr>
          <w:rFonts w:hint="eastAsia"/>
        </w:rPr>
        <w:t xml:space="preserve">美元/桶不是模型声称的唯一真实价格，而是</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16" name="Picture"/>
            <a:graphic>
              <a:graphicData uri="http://schemas.openxmlformats.org/drawingml/2006/picture">
                <pic:pic>
                  <pic:nvPicPr>
                    <pic:cNvPr descr="库存与供需缺口风险.png" id="117" name="Picture"/>
                    <pic:cNvPicPr>
                      <a:picLocks noChangeArrowheads="1" noChangeAspect="1"/>
                    </pic:cNvPicPr>
                  </pic:nvPicPr>
                  <pic:blipFill>
                    <a:blip r:embed="rId115"/>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118"/>
    <w:bookmarkEnd w:id="119"/>
    <w:bookmarkStart w:id="158" w:name="敏感性分析"/>
    <w:p>
      <w:pPr>
        <w:pStyle w:val="Heading1"/>
      </w:pPr>
      <w:r>
        <w:rPr>
          <w:rFonts w:hint="eastAsia"/>
        </w:rPr>
        <w:t xml:space="preserve">敏感性分析</w:t>
      </w:r>
    </w:p>
    <w:bookmarkStart w:id="120"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天价格、外推期最高价、剩余供需缺口和二次跳涨风险变化。除题面物理量和行为参数外，本阶段还把长期机制强度参数单独纳入检验，避免长期结论依赖隐藏常数。综合敏感度定义为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20"/>
    <w:bookmarkStart w:id="124"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122" name="Picture"/>
            <a:graphic>
              <a:graphicData uri="http://schemas.openxmlformats.org/drawingml/2006/picture">
                <pic:pic>
                  <pic:nvPicPr>
                    <pic:cNvPr descr="参数敏感性龙卷风图.png" id="123" name="Picture"/>
                    <pic:cNvPicPr>
                      <a:picLocks noChangeArrowheads="1" noChangeAspect="1"/>
                    </pic:cNvPicPr>
                  </pic:nvPicPr>
                  <pic:blipFill>
                    <a:blip r:embed="rId121"/>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p>
      <w:pPr>
        <w:pStyle w:val="BodyText"/>
      </w:pPr>
      <w:r>
        <w:rPr>
          <w:rFonts w:hint="eastAsia"/>
        </w:rPr>
        <w:t xml:space="preserve">敏感性分析表明，第</w:t>
      </w:r>
      <w:r>
        <w:t xml:space="preserve"> 180 </w:t>
      </w:r>
      <w:r>
        <w:rPr>
          <w:rFonts w:hint="eastAsia"/>
        </w:rPr>
        <w:t xml:space="preserve">天终点价格对市场风险吸收速度最敏感。封锁风险衰减速度从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124"/>
    <w:bookmarkStart w:id="135"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BodyText"/>
      </w:pPr>
      <w:r>
        <w:rPr>
          <w:rFonts w:hint="eastAsia"/>
        </w:rPr>
        <w:t xml:space="preserve">需要说明的是，蒙特卡洛抽样并不把所有参数视为彼此独立。本文通过综合压力指数引入方向一致的相关结构：高压状态下，供应中断更大、政策缓冲更弱、运输恢复更慢、风险溢价更高；低压状态下则相反。因此，蒙特卡洛结果应理解为基于题面机制和历史波动尺度的条件先验分布，而不是从未来市场中估计出来的真实协方差矩阵。表中突破概率也是在这些条件假设下的尾部概率，不是无条件历史频率。</w:t>
      </w:r>
    </w:p>
    <w:p>
      <w:pPr>
        <w:pStyle w:val="BodyText"/>
      </w:pPr>
      <w:r>
        <w:rPr>
          <w:rFonts w:hint="eastAsia"/>
        </w:rPr>
        <w:t xml:space="preserve">为避免蒙特卡洛区间完全依赖主观设定，本文进一步利用</w:t>
      </w:r>
      <w:r>
        <w:t xml:space="preserve"> 2017–2025 </w:t>
      </w:r>
      <w:r>
        <w:rPr>
          <w:rFonts w:hint="eastAsia"/>
        </w:rPr>
        <w:t xml:space="preserve">年附件历史数据构造</w:t>
      </w:r>
      <w:r>
        <w:t xml:space="preserve"> 2146 </w:t>
      </w:r>
      <w:r>
        <w:rPr>
          <w:rFonts w:hint="eastAsia"/>
        </w:rPr>
        <w:t xml:space="preserve">个同长度窗口，校准长期扰动尺度。2026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0.0132。历史数据因此进入长期模型的不确定性参数层，而不直接替代霍尔木兹封锁机制。</w:t>
      </w:r>
    </w:p>
    <w:p>
      <w:pPr>
        <w:pStyle w:val="CaptionedFigure"/>
      </w:pPr>
      <w:r>
        <w:drawing>
          <wp:inline>
            <wp:extent cx="4587240" cy="1761500"/>
            <wp:effectExtent b="0" l="0" r="0" t="0"/>
            <wp:docPr descr="" title="" id="126" name="Picture"/>
            <a:graphic>
              <a:graphicData uri="http://schemas.openxmlformats.org/drawingml/2006/picture">
                <pic:pic>
                  <pic:nvPicPr>
                    <pic:cNvPr descr="历史波动参数校准.png" id="127" name="Picture"/>
                    <pic:cNvPicPr>
                      <a:picLocks noChangeArrowheads="1" noChangeAspect="1"/>
                    </pic:cNvPicPr>
                  </pic:nvPicPr>
                  <pic:blipFill>
                    <a:blip r:embed="rId125"/>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31" w:name="fig:mc-path-cloud"/>
    <w:p>
      <w:pPr>
        <w:pStyle w:val="CaptionedFigure"/>
      </w:pPr>
      <w:r>
        <w:drawing>
          <wp:inline>
            <wp:extent cx="4907280" cy="2661575"/>
            <wp:effectExtent b="0" l="0" r="0" t="0"/>
            <wp:docPr descr="" title="" id="129" name="Picture"/>
            <a:graphic>
              <a:graphicData uri="http://schemas.openxmlformats.org/drawingml/2006/picture">
                <pic:pic>
                  <pic:nvPicPr>
                    <pic:cNvPr descr="传统蒙特卡洛路径云图.png" id="130" name="Picture"/>
                    <pic:cNvPicPr>
                      <a:picLocks noChangeArrowheads="1" noChangeAspect="1"/>
                    </pic:cNvPicPr>
                  </pic:nvPicPr>
                  <pic:blipFill>
                    <a:blip r:embed="rId128"/>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条模拟路径中分层抽取代表路径，黑线为中位数路径，蓝色虚线为</w:t>
      </w:r>
      <w:r>
        <w:t xml:space="preserve"> P05/P95 </w:t>
      </w:r>
      <w:r>
        <w:rPr>
          <w:rFonts w:hint="eastAsia"/>
        </w:rPr>
        <w:t xml:space="preserve">条件边界，红色虚线为</w:t>
      </w:r>
      <w:r>
        <w:t xml:space="preserve"> 120 </w:t>
      </w:r>
      <w:r>
        <w:rPr>
          <w:rFonts w:hint="eastAsia"/>
        </w:rPr>
        <w:t xml:space="preserve">美元/桶风险线。</w:t>
      </w:r>
    </w:p>
    <w:bookmarkEnd w:id="131"/>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33" name="Picture"/>
            <a:graphic>
              <a:graphicData uri="http://schemas.openxmlformats.org/drawingml/2006/picture">
                <pic:pic>
                  <pic:nvPicPr>
                    <pic:cNvPr descr="蒙特卡洛尾部风险概率.png" id="134" name="Picture"/>
                    <pic:cNvPicPr>
                      <a:picLocks noChangeArrowheads="1" noChangeAspect="1"/>
                    </pic:cNvPicPr>
                  </pic:nvPicPr>
                  <pic:blipFill>
                    <a:blip r:embed="rId132"/>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94.15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35"/>
    <w:bookmarkStart w:id="139"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89.49 </w:t>
      </w:r>
      <w:r>
        <w:rPr>
          <w:rFonts w:hint="eastAsia"/>
        </w:rPr>
        <w:t xml:space="preserve">美元/桶，5%–95%</w:t>
      </w:r>
      <w:r>
        <w:t xml:space="preserve"> </w:t>
      </w:r>
      <w:r>
        <w:rPr>
          <w:rFonts w:hint="eastAsia"/>
        </w:rPr>
        <w:t xml:space="preserve">条件区间为</w:t>
      </w:r>
      <w:r>
        <w:t xml:space="preserve"> 86.31–95.55 </w:t>
      </w:r>
      <w:r>
        <w:rPr>
          <w:rFonts w:hint="eastAsia"/>
        </w:rPr>
        <w:t xml:space="preserve">美元/桶；外推期最高价</w:t>
      </w:r>
      <w:r>
        <w:t xml:space="preserve"> P95 </w:t>
      </w:r>
      <w:r>
        <w:rPr>
          <w:rFonts w:hint="eastAsia"/>
        </w:rPr>
        <w:t xml:space="preserve">为</w:t>
      </w:r>
      <w:r>
        <w:t xml:space="preserve"> 128.72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27.7%，突破</w:t>
      </w:r>
      <w:r>
        <w:t xml:space="preserve"> 130 </w:t>
      </w:r>
      <w:r>
        <w:rPr>
          <w:rFonts w:hint="eastAsia"/>
        </w:rPr>
        <w:t xml:space="preserve">美元/桶的条件概率为</w:t>
      </w:r>
      <w:r>
        <w:t xml:space="preserve"> </w:t>
      </w:r>
      <w:r>
        <w:rPr>
          <w:rFonts w:hint="eastAsia"/>
        </w:rPr>
        <w:t xml:space="preserve">3.5%。这说明状态切换确实会放大外推期局部峰值，但不会推翻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37" name="Picture"/>
            <a:graphic>
              <a:graphicData uri="http://schemas.openxmlformats.org/drawingml/2006/picture">
                <pic:pic>
                  <pic:nvPicPr>
                    <pic:cNvPr descr="R长期状态转移扇形图.png" id="138" name="Picture"/>
                    <pic:cNvPicPr>
                      <a:picLocks noChangeArrowheads="1" noChangeAspect="1"/>
                    </pic:cNvPicPr>
                  </pic:nvPicPr>
                  <pic:blipFill>
                    <a:blip r:embed="rId136"/>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w:t>
      </w:r>
    </w:p>
    <w:bookmarkEnd w:id="139"/>
    <w:bookmarkStart w:id="146" w:name="滞后地缘风险指数检验"/>
    <w:p>
      <w:pPr>
        <w:pStyle w:val="Heading2"/>
      </w:pPr>
      <w:r>
        <w:rPr>
          <w:rFonts w:hint="eastAsia"/>
        </w:rPr>
        <w:t xml:space="preserve">滞后地缘风险指数检验</w:t>
      </w:r>
    </w:p>
    <w:p>
      <w:pPr>
        <w:pStyle w:val="FirstParagraph"/>
      </w:pPr>
      <w:r>
        <w:rPr>
          <w:rFonts w:hint="eastAsia"/>
        </w:rPr>
        <w:t xml:space="preserve">综合机制递推模型中包含地缘风险权重和恐慌衰减项。若直接用新闻情绪或风险指数解释同日油价，可能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月度指数做外部校验，并采用滞后一期口径。</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41" name="Picture"/>
            <a:graphic>
              <a:graphicData uri="http://schemas.openxmlformats.org/drawingml/2006/picture">
                <pic:pic>
                  <pic:nvPicPr>
                    <pic:cNvPr descr="地缘风险指数滞后审计.png" id="142" name="Picture"/>
                    <pic:cNvPicPr>
                      <a:picLocks noChangeArrowheads="1" noChangeAspect="1"/>
                    </pic:cNvPicPr>
                  </pic:nvPicPr>
                  <pic:blipFill>
                    <a:blip r:embed="rId140"/>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地缘风险指数检验：同步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44" name="Picture"/>
            <a:graphic>
              <a:graphicData uri="http://schemas.openxmlformats.org/drawingml/2006/picture">
                <pic:pic>
                  <pic:nvPicPr>
                    <pic:cNvPr descr="滞后GPR与布伦特收益关系.png" id="145" name="Picture"/>
                    <pic:cNvPicPr>
                      <a:picLocks noChangeArrowheads="1" noChangeAspect="1"/>
                    </pic:cNvPicPr>
                  </pic:nvPicPr>
                  <pic:blipFill>
                    <a:blip r:embed="rId143"/>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对月度收益的解释力有限，因此本文不将其直接加入短期拟合，也不把风险指数写成强点预测变量。这使模型在风险解释和内生性边界之间保持较稳妥的定位。</w:t>
      </w:r>
    </w:p>
    <w:bookmarkEnd w:id="146"/>
    <w:bookmarkStart w:id="150"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的优势是覆盖长期地缘政治风险叙事，但它来自新闻文本，天然存在内生性边界。为补充更接近市场交易定价的风险变量，本文接入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48" name="Picture"/>
            <a:graphic>
              <a:graphicData uri="http://schemas.openxmlformats.org/drawingml/2006/picture">
                <pic:pic>
                  <pic:nvPicPr>
                    <pic:cNvPr descr="OVX隐含波动率滞后检验.png" id="149" name="Picture"/>
                    <pic:cNvPicPr>
                      <a:picLocks noChangeArrowheads="1" noChangeAspect="1"/>
                    </pic:cNvPicPr>
                  </pic:nvPicPr>
                  <pic:blipFill>
                    <a:blip r:embed="rId147"/>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隐含波动率滞后检验。冲突窗口内</w:t>
      </w:r>
      <w:r>
        <w:t xml:space="preserve"> OVX </w:t>
      </w:r>
      <w:r>
        <w:rPr>
          <w:rFonts w:hint="eastAsia"/>
        </w:rPr>
        <w:t xml:space="preserve">明显升高，说明期权市场也对原油尾部风险重新定价。</w:t>
      </w:r>
    </w:p>
    <w:p>
      <w:pPr>
        <w:pStyle w:val="BodyText"/>
      </w:pPr>
      <w:r>
        <w:t xml:space="preserve">OVX </w:t>
      </w:r>
      <w:r>
        <w:rPr>
          <w:rFonts w:hint="eastAsia"/>
        </w:rPr>
        <w:t xml:space="preserve">接入长期模型的方式是克制的：它只作为长期风险权重和不确定性强度的附加乘数，而不进入短期同日拟合。具体而言，OVX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1.0433。这样既利用了期权市场对风险的定价信息，又避免把隐含波动率误写成油价方向预测器。</w:t>
      </w:r>
    </w:p>
    <w:bookmarkEnd w:id="150"/>
    <w:bookmarkStart w:id="157"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52" name="Picture"/>
            <a:graphic>
              <a:graphicData uri="http://schemas.openxmlformats.org/drawingml/2006/picture">
                <pic:pic>
                  <pic:nvPicPr>
                    <pic:cNvPr descr="历史窗口极端性检验.png" id="153" name="Picture"/>
                    <pic:cNvPicPr>
                      <a:picLocks noChangeArrowheads="1" noChangeAspect="1"/>
                    </pic:cNvPicPr>
                  </pic:nvPicPr>
                  <pic:blipFill>
                    <a:blip r:embed="rId151"/>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55" name="Picture"/>
            <a:graphic>
              <a:graphicData uri="http://schemas.openxmlformats.org/drawingml/2006/picture">
                <pic:pic>
                  <pic:nvPicPr>
                    <pic:cNvPr descr="R历史基准误差分布图.png" id="156" name="Picture"/>
                    <pic:cNvPicPr>
                      <a:picLocks noChangeArrowheads="1" noChangeAspect="1"/>
                    </pic:cNvPicPr>
                  </pic:nvPicPr>
                  <pic:blipFill>
                    <a:blip r:embed="rId154"/>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57"/>
    <w:bookmarkEnd w:id="158"/>
    <w:bookmarkStart w:id="162" w:name="模型评价"/>
    <w:p>
      <w:pPr>
        <w:pStyle w:val="Heading1"/>
      </w:pPr>
      <w:r>
        <w:rPr>
          <w:rFonts w:hint="eastAsia"/>
        </w:rPr>
        <w:t xml:space="preserve">模型评价</w:t>
      </w:r>
    </w:p>
    <w:bookmarkStart w:id="159"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证据链完整：从附件数据清洗、传统供需基准、动态模型、校准、鲁棒性检验、三情景预测到敏感性分析均可复现。</w:t>
      </w:r>
    </w:p>
    <w:p>
      <w:pPr>
        <w:numPr>
          <w:ilvl w:val="0"/>
          <w:numId w:val="1005"/>
        </w:numPr>
      </w:pPr>
      <w:r>
        <w:rPr>
          <w:rFonts w:hint="eastAsia"/>
        </w:rPr>
        <w:t xml:space="preserve">机制解释清晰：价格平台由供应缺口、风险溢价和缓冲折价共同递推形成，而非外生给定的价格上限。</w:t>
      </w:r>
    </w:p>
    <w:p>
      <w:pPr>
        <w:numPr>
          <w:ilvl w:val="0"/>
          <w:numId w:val="1005"/>
        </w:numPr>
      </w:pPr>
      <w:r>
        <w:rPr>
          <w:rFonts w:hint="eastAsia"/>
        </w:rPr>
        <w:t xml:space="preserve">检验体系较完整：本文设置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统计检验、滞后平移检验、机制消融、参数扰动和历史同长度窗口检验。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长期表述审慎：三情景中心线与蒙特卡洛扇形区间、状态转移情景树合读，把长期结果定位为条件中心路径、状态切换和尾部风险，而非精确日度点预测。</w:t>
      </w:r>
    </w:p>
    <w:bookmarkEnd w:id="159"/>
    <w:bookmarkStart w:id="160"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SPR、商业库存和原油产量周度数据，接入</w:t>
      </w:r>
      <w:r>
        <w:t xml:space="preserve"> JODI </w:t>
      </w:r>
      <w:r>
        <w:rPr>
          <w:rFonts w:hint="eastAsia"/>
        </w:rPr>
        <w:t xml:space="preserve">多国月度产量、库存、进出口、需求和炼厂产出，整理</w:t>
      </w:r>
      <w:r>
        <w:t xml:space="preserve"> OPEC </w:t>
      </w:r>
      <w:r>
        <w:rPr>
          <w:rFonts w:hint="eastAsia"/>
        </w:rPr>
        <w:t xml:space="preserve">公开全球供需平衡表作为长期外生约束，并进一步接入</w:t>
      </w:r>
      <w:r>
        <w:t xml:space="preserve"> OVX </w:t>
      </w:r>
      <w:r>
        <w:rPr>
          <w:rFonts w:hint="eastAsia"/>
        </w:rPr>
        <w:t xml:space="preserve">原油隐含波动率约束长期风险权重和不确定性强度；同时接入</w:t>
      </w:r>
      <w:r>
        <w:t xml:space="preserve"> GPR </w:t>
      </w:r>
      <w:r>
        <w:rPr>
          <w:rFonts w:hint="eastAsia"/>
        </w:rPr>
        <w:t xml:space="preserve">月度指数和历史滚动窗口校验地缘风险与事件极端性。但</w:t>
      </w:r>
      <w:r>
        <w:t xml:space="preserve"> JODI </w:t>
      </w:r>
      <w:r>
        <w:rPr>
          <w:rFonts w:hint="eastAsia"/>
        </w:rPr>
        <w:t xml:space="preserve">存在上报滞后和覆盖差异，OPEC</w:t>
      </w:r>
      <w:r>
        <w:t xml:space="preserve"> </w:t>
      </w:r>
      <w:r>
        <w:rPr>
          <w:rFonts w:hint="eastAsia"/>
        </w:rPr>
        <w:t xml:space="preserve">表属于正常基线预测而非封锁情景实测，OVX</w:t>
      </w:r>
      <w:r>
        <w:t xml:space="preserve"> </w:t>
      </w:r>
      <w:r>
        <w:rPr>
          <w:rFonts w:hint="eastAsia"/>
        </w:rPr>
        <w:t xml:space="preserve">反映波动率而非方向收益，仍不能替代</w:t>
      </w:r>
      <w:r>
        <w:t xml:space="preserve"> IEA </w:t>
      </w:r>
      <w:r>
        <w:rPr>
          <w:rFonts w:hint="eastAsia"/>
        </w:rPr>
        <w:t xml:space="preserve">完整授权数据库、油轮保险费、期货期限结构或高频新闻情绪等变量。</w:t>
      </w:r>
    </w:p>
    <w:p>
      <w:pPr>
        <w:numPr>
          <w:ilvl w:val="0"/>
          <w:numId w:val="1006"/>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60"/>
    <w:bookmarkStart w:id="161"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专家设定进一步约束为由历史地缘风险、隐含波动率和期限结构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61"/>
    <w:bookmarkEnd w:id="162"/>
    <w:bookmarkStart w:id="163"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美元/桶，并存在二次跳涨风险。</w:t>
      </w:r>
    </w:p>
    <w:p>
      <w:pPr>
        <w:numPr>
          <w:ilvl w:val="0"/>
          <w:numId w:val="1007"/>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16.3%，尾部风险主要来自多因素同时恶化；状态转移情景树进一步说明，若未来冲突状态在缓和、维持和升级之间切换，外推期最高价</w:t>
      </w:r>
      <w:r>
        <w:t xml:space="preserve"> P95 </w:t>
      </w:r>
      <w:r>
        <w:rPr>
          <w:rFonts w:hint="eastAsia"/>
        </w:rPr>
        <w:t xml:space="preserve">约为</w:t>
      </w:r>
      <w:r>
        <w:t xml:space="preserve"> 128.72 </w:t>
      </w:r>
      <w:r>
        <w:rPr>
          <w:rFonts w:hint="eastAsia"/>
        </w:rPr>
        <w:t xml:space="preserve">美元/桶。</w:t>
      </w:r>
    </w:p>
    <w:p>
      <w:pPr>
        <w:numPr>
          <w:ilvl w:val="0"/>
          <w:numId w:val="1007"/>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63"/>
    <w:bookmarkStart w:id="172"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64">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65">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66">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67">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168">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169">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170">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171">
        <w:r>
          <w:rPr>
            <w:rStyle w:val="Hyperlink"/>
          </w:rPr>
          <w:t xml:space="preserve">FRED data page</w:t>
        </w:r>
      </w:hyperlink>
      <w:r>
        <w:t xml:space="preserve">.</w:t>
      </w:r>
    </w:p>
    <w:bookmarkEnd w:id="172"/>
    <w:bookmarkStart w:id="179" w:name="附录"/>
    <w:p>
      <w:pPr>
        <w:pStyle w:val="Heading1"/>
      </w:pPr>
      <w:r>
        <w:rPr>
          <w:rFonts w:hint="eastAsia"/>
        </w:rPr>
        <w:t xml:space="preserve">附录</w:t>
      </w:r>
    </w:p>
    <w:bookmarkStart w:id="173"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本文的建模、校验、绘图和论文生成均保存在同一项目目录中。核心目录结构如下，未列出的缓存文件、临时渲染文件和历史实验文件不影响最终复现。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EIA、JODI、OPEC、GPR、OVX </w:t>
      </w:r>
      <w:r>
        <w:rPr>
          <w:rStyle w:val="VerbatimChar"/>
          <w:rFonts w:hint="eastAsia"/>
        </w:rPr>
        <w:t xml:space="preserve">等外部校验数据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语言计量检验与学术图表脚本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模型结果、校验报告和最终交付物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自动生成的校验报告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质疑报告/</w:t>
      </w:r>
      <w:r>
        <w:rPr>
          <w:rStyle w:val="VerbatimChar"/>
        </w:rPr>
        <w:t xml:space="preserve">             </w:t>
      </w:r>
      <w:r>
        <w:rPr>
          <w:rStyle w:val="VerbatimChar"/>
          <w:rFonts w:hint="eastAsia"/>
        </w:rPr>
        <w:t xml:space="preserve">外部评审意见和修改记录</w:t>
      </w:r>
    </w:p>
    <w:bookmarkEnd w:id="173"/>
    <w:bookmarkStart w:id="174"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174"/>
    <w:bookmarkStart w:id="175"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75"/>
    <w:bookmarkStart w:id="176"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94.15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110.16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76"/>
    <w:bookmarkStart w:id="177" w:name="a.4-稳健性检验补充"/>
    <w:p>
      <w:pPr>
        <w:pStyle w:val="Heading2"/>
      </w:pPr>
      <w:r>
        <w:t xml:space="preserve">A.4 </w:t>
      </w:r>
      <w:r>
        <w:rPr>
          <w:rFonts w:hint="eastAsia"/>
        </w:rPr>
        <w:t xml:space="preserve">稳健性检验补充</w:t>
      </w:r>
    </w:p>
    <w:p>
      <w:pPr>
        <w:numPr>
          <w:ilvl w:val="0"/>
          <w:numId w:val="1008"/>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8"/>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8"/>
        </w:numPr>
      </w:pPr>
      <w:r>
        <w:rPr>
          <w:rFonts w:hint="eastAsia"/>
        </w:rPr>
        <w:t xml:space="preserve">消融检验：逐项移除风险溢价、缓冲折价、预期修复等机制，验证各因素的边际贡献。</w:t>
      </w:r>
    </w:p>
    <w:p>
      <w:pPr>
        <w:numPr>
          <w:ilvl w:val="0"/>
          <w:numId w:val="1008"/>
        </w:numPr>
      </w:pPr>
      <w:r>
        <w:rPr>
          <w:rFonts w:hint="eastAsia"/>
        </w:rPr>
        <w:t xml:space="preserve">参数压力测试：扰动价格传导、风险权重和长期机制参数，检验结论是否依赖唯一一组参数。</w:t>
      </w:r>
    </w:p>
    <w:p>
      <w:pPr>
        <w:numPr>
          <w:ilvl w:val="0"/>
          <w:numId w:val="1008"/>
        </w:numPr>
      </w:pPr>
      <w:r>
        <w:rPr>
          <w:rFonts w:hint="eastAsia"/>
        </w:rPr>
        <w:t xml:space="preserve">外部校验：EIA</w:t>
      </w:r>
      <w:r>
        <w:t xml:space="preserve">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月度指数、OVX</w:t>
      </w:r>
      <w:r>
        <w:t xml:space="preserve"> </w:t>
      </w:r>
      <w:r>
        <w:rPr>
          <w:rFonts w:hint="eastAsia"/>
        </w:rPr>
        <w:t xml:space="preserve">隐含波动率和</w:t>
      </w:r>
      <w:r>
        <w:t xml:space="preserve"> 2017–2026 </w:t>
      </w:r>
      <w:r>
        <w:rPr>
          <w:rFonts w:hint="eastAsia"/>
        </w:rPr>
        <w:t xml:space="preserve">历史同长度窗口用于验证数量级、风险定价和事件极端性。</w:t>
      </w:r>
    </w:p>
    <w:bookmarkEnd w:id="177"/>
    <w:bookmarkStart w:id="178"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78"/>
    <w:bookmarkEnd w:id="1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7" Target="media/rId147.png" /><Relationship Type="http://schemas.openxmlformats.org/officeDocument/2006/relationships/image" Id="rId154" Target="media/rId154.png" /><Relationship Type="http://schemas.openxmlformats.org/officeDocument/2006/relationships/image" Id="rId83" Target="media/rId83.png" /><Relationship Type="http://schemas.openxmlformats.org/officeDocument/2006/relationships/image" Id="rId136" Target="media/rId136.png" /><Relationship Type="http://schemas.openxmlformats.org/officeDocument/2006/relationships/image" Id="rId35" Target="media/rId35.png" /><Relationship Type="http://schemas.openxmlformats.org/officeDocument/2006/relationships/image" Id="rId128" Target="media/rId128.png" /><Relationship Type="http://schemas.openxmlformats.org/officeDocument/2006/relationships/image" Id="rId21" Target="media/rId21.png" /><Relationship Type="http://schemas.openxmlformats.org/officeDocument/2006/relationships/image" Id="rId125" Target="media/rId125.png"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140" Target="media/rId140.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115" Target="media/rId115.png" /><Relationship Type="http://schemas.openxmlformats.org/officeDocument/2006/relationships/image" Id="rId143" Target="media/rId143.png" /><Relationship Type="http://schemas.openxmlformats.org/officeDocument/2006/relationships/image" Id="rId108" Target="media/rId108.png" /><Relationship Type="http://schemas.openxmlformats.org/officeDocument/2006/relationships/image" Id="rId72" Target="media/rId72.png" /><Relationship Type="http://schemas.openxmlformats.org/officeDocument/2006/relationships/image" Id="rId57" Target="media/rId57.png" /><Relationship Type="http://schemas.openxmlformats.org/officeDocument/2006/relationships/image" Id="rId88" Target="media/rId88.png" /><Relationship Type="http://schemas.openxmlformats.org/officeDocument/2006/relationships/image" Id="rId47" Target="media/rId47.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68" Target="media/rId68.png" /><Relationship Type="http://schemas.openxmlformats.org/officeDocument/2006/relationships/image" Id="rId60" Target="media/rId60.png" /><Relationship Type="http://schemas.openxmlformats.org/officeDocument/2006/relationships/image" Id="rId92" Target="media/rId92.png" /><Relationship Type="http://schemas.openxmlformats.org/officeDocument/2006/relationships/image" Id="rId80" Target="media/rId80.png" /><Relationship Type="http://schemas.openxmlformats.org/officeDocument/2006/relationships/image" Id="rId64" Target="media/rId64.png" /><Relationship Type="http://schemas.openxmlformats.org/officeDocument/2006/relationships/image" Id="rId40" Target="media/rId40.png" /><Relationship Type="http://schemas.openxmlformats.org/officeDocument/2006/relationships/image" Id="rId132" Target="media/rId132.png" /><Relationship Type="http://schemas.openxmlformats.org/officeDocument/2006/relationships/image" Id="rId104" Target="media/rId10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11" Target="media/rId111.png" /><Relationship Type="http://schemas.openxmlformats.org/officeDocument/2006/relationships/hyperlink" Id="rId171" Target="https://fred.stlouisfed.org/series/OVXCLS" TargetMode="External" /><Relationship Type="http://schemas.openxmlformats.org/officeDocument/2006/relationships/hyperlink" Id="rId169" Target="https://publications.opec.org/momr/chapter/147/2738" TargetMode="External" /><Relationship Type="http://schemas.openxmlformats.org/officeDocument/2006/relationships/hyperlink" Id="rId167" Target="https://www.eia.gov/dnav/pet/pet_sum_sndw_dcus_nus_w.htm" TargetMode="External" /><Relationship Type="http://schemas.openxmlformats.org/officeDocument/2006/relationships/hyperlink" Id="rId164" Target="https://www.eia.gov/international/analysis/special-topics/World_Oil_Transit_Chokepoints" TargetMode="External" /><Relationship Type="http://schemas.openxmlformats.org/officeDocument/2006/relationships/hyperlink" Id="rId165" Target="https://www.iea.org/about/oil-security-and-emergency-response/strait-of-hormuz" TargetMode="External" /><Relationship Type="http://schemas.openxmlformats.org/officeDocument/2006/relationships/hyperlink" Id="rId166" Target="https://www.iea.org/news/iea-governing-board-concludes-2022-collective-actions" TargetMode="External" /><Relationship Type="http://schemas.openxmlformats.org/officeDocument/2006/relationships/hyperlink" Id="rId168" Target="https://www.jodidata.org/oil/" TargetMode="External" /><Relationship Type="http://schemas.openxmlformats.org/officeDocument/2006/relationships/hyperlink" Id="rId170"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71" Target="https://fred.stlouisfed.org/series/OVXCLS" TargetMode="External" /><Relationship Type="http://schemas.openxmlformats.org/officeDocument/2006/relationships/hyperlink" Id="rId169" Target="https://publications.opec.org/momr/chapter/147/2738" TargetMode="External" /><Relationship Type="http://schemas.openxmlformats.org/officeDocument/2006/relationships/hyperlink" Id="rId167" Target="https://www.eia.gov/dnav/pet/pet_sum_sndw_dcus_nus_w.htm" TargetMode="External" /><Relationship Type="http://schemas.openxmlformats.org/officeDocument/2006/relationships/hyperlink" Id="rId164" Target="https://www.eia.gov/international/analysis/special-topics/World_Oil_Transit_Chokepoints" TargetMode="External" /><Relationship Type="http://schemas.openxmlformats.org/officeDocument/2006/relationships/hyperlink" Id="rId165" Target="https://www.iea.org/about/oil-security-and-emergency-response/strait-of-hormuz" TargetMode="External" /><Relationship Type="http://schemas.openxmlformats.org/officeDocument/2006/relationships/hyperlink" Id="rId166" Target="https://www.iea.org/news/iea-governing-board-concludes-2022-collective-actions" TargetMode="External" /><Relationship Type="http://schemas.openxmlformats.org/officeDocument/2006/relationships/hyperlink" Id="rId168" Target="https://www.jodidata.org/oil/" TargetMode="External" /><Relationship Type="http://schemas.openxmlformats.org/officeDocument/2006/relationships/hyperlink" Id="rId170"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2026-05-13T06:16:30Z</dcterms:created>
  <dcterms:modified xsi:type="dcterms:W3CDTF">2026-05-13T06:16:30Z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