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3.png" ContentType="image/png"/>
  <Override PartName="/word/media/rId10.png" ContentType="image/png"/>
  <Override PartName="/word/media/rId39.png" ContentType="image/png"/>
  <Override PartName="/word/media/rId27.png" ContentType="image/png"/>
  <Override PartName="/word/media/rId35.png" ContentType="image/png"/>
  <Override PartName="/word/media/rId43.png" ContentType="image/png"/>
  <Override PartName="/word/media/rId4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霍尔木兹海峡封锁对国际原油价格影响的短期动态模型研究</w:t>
      </w:r>
    </w:p>
    <w:p>
      <w:pPr>
        <w:pStyle w:val="Author"/>
      </w:pPr>
      <w:r>
        <w:rPr>
          <w:rFonts w:hint="eastAsia"/>
        </w:rPr>
        <w:t xml:space="preserve">数学建模</w:t>
      </w:r>
      <w:r>
        <w:t xml:space="preserve"> A </w:t>
      </w:r>
      <w:r>
        <w:rPr>
          <w:rFonts w:hint="eastAsia"/>
        </w:rPr>
        <w:t xml:space="preserve">题项目组</w:t>
      </w:r>
    </w:p>
    <w:p>
      <w:pPr>
        <w:pStyle w:val="Date"/>
      </w:pPr>
      <w:r>
        <w:t xml:space="preserve">2026 </w:t>
      </w:r>
      <w:r>
        <w:rPr>
          <w:rFonts w:hint="eastAsia"/>
        </w:rPr>
        <w:t xml:space="preserve">年</w:t>
      </w:r>
      <w:r>
        <w:t xml:space="preserve"> 5 </w:t>
      </w:r>
      <w:r>
        <w:rPr>
          <w:rFonts w:hint="eastAsia"/>
        </w:rPr>
        <w:t xml:space="preserve">月</w:t>
      </w:r>
    </w:p>
    <w:p>
      <w:pPr>
        <w:pStyle w:val="FirstParagraph"/>
      </w:pPr>
      <w:r>
        <w:rPr>
          <w:rFonts w:hint="eastAsia"/>
          <w:b/>
          <w:bCs/>
        </w:rPr>
        <w:t xml:space="preserve">摘要</w:t>
      </w:r>
    </w:p>
    <w:p>
      <w:pPr>
        <w:pStyle w:val="BodyText"/>
      </w:pPr>
      <w:r>
        <w:rPr>
          <w:rFonts w:hint="eastAsia"/>
        </w:rPr>
        <w:t xml:space="preserve">霍尔木兹海峡封锁会造成显著的原油运输中断。若直接采用静态供需弹性模型，油价上界容易被推高到远高于附件数据观测水平的区间。针对这一现象，本文以布伦特原油期货主力合约价格数据为基础，构建了一个用于解释冲突窗口短期油价演化的动态递推模型。模型将供应中断、战略石油储备释放、绕道运输恢复、商业库存缓冲、需求弹性调整、恐慌溢价、地缘风险溢价、缓冲确认折价和预期修复折价纳入统一框架，并通过固定种子多目标随机搜索、连续局部精修和局部稳健性复核进行参数校准。结果表明，精修后的短期动态模型在冲突窗口内取得</w:t>
      </w:r>
      <w:r>
        <w:t xml:space="preserve"> RMSE </w:t>
      </w:r>
      <w:r>
        <w:rPr>
          <w:rFonts w:hint="eastAsia"/>
        </w:rPr>
        <w:t xml:space="preserve">为</w:t>
      </w:r>
      <w:r>
        <w:t xml:space="preserve"> 3.47 </w:t>
      </w:r>
      <w:r>
        <w:rPr>
          <w:rFonts w:hint="eastAsia"/>
        </w:rPr>
        <w:t xml:space="preserve">美元/桶、MAE</w:t>
      </w:r>
      <w:r>
        <w:t xml:space="preserve"> </w:t>
      </w:r>
      <w:r>
        <w:rPr>
          <w:rFonts w:hint="eastAsia"/>
        </w:rPr>
        <w:t xml:space="preserve">为</w:t>
      </w:r>
      <w:r>
        <w:t xml:space="preserve"> 2.89 </w:t>
      </w:r>
      <w:r>
        <w:rPr>
          <w:rFonts w:hint="eastAsia"/>
        </w:rPr>
        <w:t xml:space="preserve">美元/桶的拟合效果；其中后期再定价</w:t>
      </w:r>
      <w:r>
        <w:t xml:space="preserve"> RMSE </w:t>
      </w:r>
      <w:r>
        <w:rPr>
          <w:rFonts w:hint="eastAsia"/>
        </w:rPr>
        <w:t xml:space="preserve">为</w:t>
      </w:r>
      <w:r>
        <w:t xml:space="preserve"> 2.84 </w:t>
      </w:r>
      <w:r>
        <w:rPr>
          <w:rFonts w:hint="eastAsia"/>
        </w:rPr>
        <w:t xml:space="preserve">美元/桶，低价回落区间</w:t>
      </w:r>
      <w:r>
        <w:t xml:space="preserve"> RMSE </w:t>
      </w:r>
      <w:r>
        <w:rPr>
          <w:rFonts w:hint="eastAsia"/>
        </w:rPr>
        <w:t xml:space="preserve">为</w:t>
      </w:r>
      <w:r>
        <w:t xml:space="preserve"> 3.48 </w:t>
      </w:r>
      <w:r>
        <w:rPr>
          <w:rFonts w:hint="eastAsia"/>
        </w:rPr>
        <w:t xml:space="preserve">美元/桶。相对于上一日价格朴素基准，模型</w:t>
      </w:r>
      <w:r>
        <w:t xml:space="preserve"> RMSE </w:t>
      </w:r>
      <w:r>
        <w:rPr>
          <w:rFonts w:hint="eastAsia"/>
        </w:rPr>
        <w:t xml:space="preserve">改善</w:t>
      </w:r>
      <w:r>
        <w:t xml:space="preserve"> </w:t>
      </w:r>
      <w:r>
        <w:rPr>
          <w:rFonts w:hint="eastAsia"/>
        </w:rPr>
        <w:t xml:space="preserve">22.4%，Theil</w:t>
      </w:r>
      <w:r>
        <w:t xml:space="preserve"> U </w:t>
      </w:r>
      <w:r>
        <w:rPr>
          <w:rFonts w:hint="eastAsia"/>
        </w:rPr>
        <w:t xml:space="preserve">为</w:t>
      </w:r>
      <w:r>
        <w:t xml:space="preserve"> </w:t>
      </w:r>
      <w:r>
        <w:rPr>
          <w:rFonts w:hint="eastAsia"/>
        </w:rPr>
        <w:t xml:space="preserve">0.78。模型不仅能解释价格冲击和高位平台，也能解释缓冲机制生效后的阶段性回落，并在局部参数扰动下保持稳定。该模型可作为后续</w:t>
      </w:r>
      <w:r>
        <w:t xml:space="preserve"> 60–180 </w:t>
      </w:r>
      <w:r>
        <w:rPr>
          <w:rFonts w:hint="eastAsia"/>
        </w:rPr>
        <w:t xml:space="preserve">天情景预测与敏感性分析的中性基准。</w:t>
      </w:r>
    </w:p>
    <w:p>
      <w:pPr>
        <w:pStyle w:val="BodyText"/>
      </w:pPr>
      <w:r>
        <w:rPr>
          <w:rFonts w:hint="eastAsia"/>
          <w:b/>
          <w:bCs/>
        </w:rPr>
        <w:t xml:space="preserve">关键词：</w:t>
      </w:r>
      <w:r>
        <w:t xml:space="preserve"> </w:t>
      </w:r>
      <w:r>
        <w:rPr>
          <w:rFonts w:hint="eastAsia"/>
        </w:rPr>
        <w:t xml:space="preserve">霍尔木兹海峡；原油价格；动态递推模型；战略石油储备；地缘风险；参数校准</w:t>
      </w:r>
    </w:p>
    <w:p>
      <w:pPr>
        <w:pStyle w:val="BodyText"/>
      </w:pPr>
      <w:r>
        <w:rPr>
          <w:rFonts w:hint="eastAsia"/>
        </w:rPr>
        <w:t xml:space="preserve">传统静态供需模型给出的价格区间明显高估现实价格；加入库存、SPR、绕道、需求调整和预期修复后的短期动态模型，可以把冲突窗口油价解释到</w:t>
      </w:r>
      <w:r>
        <w:t xml:space="preserve"> 110 </w:t>
      </w:r>
      <w:r>
        <w:rPr>
          <w:rFonts w:hint="eastAsia"/>
        </w:rPr>
        <w:t xml:space="preserve">美元/桶附近，并在后期回落段保持较低误差。</w:t>
      </w:r>
    </w:p>
    <w:bookmarkStart w:id="9" w:name="问题背景与建模思路"/>
    <w:p>
      <w:pPr>
        <w:pStyle w:val="Heading1"/>
      </w:pPr>
      <w:r>
        <w:rPr>
          <w:rFonts w:hint="eastAsia"/>
        </w:rPr>
        <w:t xml:space="preserve">问题背景与建模思路</w:t>
      </w:r>
    </w:p>
    <w:p>
      <w:pPr>
        <w:pStyle w:val="FirstParagraph"/>
      </w:pPr>
      <w:r>
        <w:rPr>
          <w:rFonts w:hint="eastAsia"/>
        </w:rPr>
        <w:t xml:space="preserve">霍尔木兹海峡是全球原油运输的关键咽喉。一旦发生封锁，直接影响不仅来自物理运输中断，也来自市场对未来供给安全的风险重估。若仅从短期供应减少出发，根据低弹性的需求曲线进行静态推算，模型会倾向于得到极高的油价上界。然而，附件数据中的冲突窗口价格主要处于</w:t>
      </w:r>
      <w:r>
        <w:t xml:space="preserve"> 110–120 </w:t>
      </w:r>
      <w:r>
        <w:rPr>
          <w:rFonts w:hint="eastAsia"/>
        </w:rPr>
        <w:t xml:space="preserve">美元/桶附近，并未持续突破传统模型所推导出的高位区间。</w:t>
      </w:r>
    </w:p>
    <w:p>
      <w:pPr>
        <w:pStyle w:val="BodyText"/>
      </w:pPr>
      <w:r>
        <w:rPr>
          <w:rFonts w:hint="eastAsia"/>
        </w:rPr>
        <w:t xml:space="preserve">这一差异说明，本题的关键不是简单回答</w:t>
      </w:r>
      <w:r>
        <w:rPr>
          <w:rFonts w:hint="eastAsia"/>
        </w:rPr>
        <w:t xml:space="preserve">“油价是否上涨”</w:t>
      </w:r>
      <w:r>
        <w:rPr>
          <w:rFonts w:hint="eastAsia"/>
        </w:rPr>
        <w:t xml:space="preserve">，而是解释：</w:t>
      </w:r>
    </w:p>
    <w:p>
      <w:pPr>
        <w:pStyle w:val="BodyText"/>
      </w:pPr>
      <m:oMathPara>
        <m:oMathParaPr>
          <m:jc m:val="center"/>
        </m:oMathParaPr>
        <m:oMath>
          <m:r>
            <m:rPr>
              <m:nor/>
              <m:sty m:val="p"/>
            </m:rPr>
            <m:t>巨大供应缺口</m:t>
          </m:r>
          <m:r>
            <m:t> </m:t>
          </m:r>
          <m:r>
            <m:rPr>
              <m:sty m:val="p"/>
            </m:rPr>
            <m:t>⇒</m:t>
          </m:r>
          <m:r>
            <m:t> </m:t>
          </m:r>
          <m:r>
            <m:rPr>
              <m:nor/>
              <m:sty m:val="p"/>
            </m:rPr>
            <m:t>为什么没有转化为同等幅度的持续价格暴涨？</m:t>
          </m:r>
        </m:oMath>
      </m:oMathPara>
    </w:p>
    <w:p>
      <w:pPr>
        <w:pStyle w:val="FirstParagraph"/>
      </w:pPr>
      <w:r>
        <w:rPr>
          <w:rFonts w:hint="eastAsia"/>
        </w:rPr>
        <w:t xml:space="preserve">已有油价冲击研究表明，原油价格变动通常包含供应冲击、需求冲击、库存调整、预防性需求和市场预期等多重因素。Kilian</w:t>
      </w:r>
      <w:r>
        <w:t xml:space="preserve"> </w:t>
      </w:r>
      <w:r>
        <w:rPr>
          <w:rFonts w:hint="eastAsia"/>
        </w:rPr>
        <w:t xml:space="preserve">的油价冲击分解研究强调，不同来源的油价冲击不能混为一谈；Kilian</w:t>
      </w:r>
      <w:r>
        <w:t xml:space="preserve"> </w:t>
      </w:r>
      <w:r>
        <w:rPr>
          <w:rFonts w:hint="eastAsia"/>
        </w:rPr>
        <w:t xml:space="preserve">与</w:t>
      </w:r>
      <w:r>
        <w:t xml:space="preserve"> Murphy </w:t>
      </w:r>
      <w:r>
        <w:rPr>
          <w:rFonts w:hint="eastAsia"/>
        </w:rPr>
        <w:t xml:space="preserve">进一步指出，库存和投机性需求会影响现货油价。因此，本文将静态供需模型作为基准上界，再建立含多重缓冲机制的短期动态递推模型。</w:t>
      </w:r>
    </w:p>
    <w:bookmarkEnd w:id="9"/>
    <w:bookmarkStart w:id="16" w:name="数据说明与冲突窗口特征"/>
    <w:p>
      <w:pPr>
        <w:pStyle w:val="Heading1"/>
      </w:pPr>
      <w:r>
        <w:rPr>
          <w:rFonts w:hint="eastAsia"/>
        </w:rPr>
        <w:t xml:space="preserve">数据说明与冲突窗口特征</w:t>
      </w:r>
    </w:p>
    <w:p>
      <w:pPr>
        <w:pStyle w:val="FirstParagraph"/>
      </w:pPr>
      <w:r>
        <w:rPr>
          <w:rFonts w:hint="eastAsia"/>
        </w:rPr>
        <w:t xml:space="preserve">本文使用附件中的布伦特原油期货主力合约价格数据。阶段</w:t>
      </w:r>
      <w:r>
        <w:t xml:space="preserve"> 1 </w:t>
      </w:r>
      <w:r>
        <w:rPr>
          <w:rFonts w:hint="eastAsia"/>
        </w:rPr>
        <w:t xml:space="preserve">对原始</w:t>
      </w:r>
      <w:r>
        <w:t xml:space="preserve"> CSV </w:t>
      </w:r>
      <w:r>
        <w:rPr>
          <w:rFonts w:hint="eastAsia"/>
        </w:rPr>
        <w:t xml:space="preserve">进行了字段规范化、日期排序、收益率计算和冲突窗口截取。清洗后的全历史数据覆盖</w:t>
      </w:r>
      <w:r>
        <w:t xml:space="preserve"> 2017 </w:t>
      </w:r>
      <w:r>
        <w:rPr>
          <w:rFonts w:hint="eastAsia"/>
        </w:rPr>
        <w:t xml:space="preserve">年</w:t>
      </w:r>
      <w:r>
        <w:t xml:space="preserve"> 9 </w:t>
      </w:r>
      <w:r>
        <w:rPr>
          <w:rFonts w:hint="eastAsia"/>
        </w:rPr>
        <w:t xml:space="preserve">月</w:t>
      </w:r>
      <w:r>
        <w:t xml:space="preserve"> 1 </w:t>
      </w:r>
      <w:r>
        <w:rPr>
          <w:rFonts w:hint="eastAsia"/>
        </w:rPr>
        <w:t xml:space="preserve">日至</w:t>
      </w:r>
      <w:r>
        <w:t xml:space="preserve"> 2026 </w:t>
      </w:r>
      <w:r>
        <w:rPr>
          <w:rFonts w:hint="eastAsia"/>
        </w:rPr>
        <w:t xml:space="preserve">年</w:t>
      </w:r>
      <w:r>
        <w:t xml:space="preserve"> 5 </w:t>
      </w:r>
      <w:r>
        <w:rPr>
          <w:rFonts w:hint="eastAsia"/>
        </w:rPr>
        <w:t xml:space="preserve">月</w:t>
      </w:r>
      <w:r>
        <w:t xml:space="preserve"> 5 </w:t>
      </w:r>
      <w:r>
        <w:rPr>
          <w:rFonts w:hint="eastAsia"/>
        </w:rPr>
        <w:t xml:space="preserve">日；短期模型使用的冲突窗口为</w:t>
      </w:r>
      <w:r>
        <w:t xml:space="preserve"> 2026 </w:t>
      </w:r>
      <w:r>
        <w:rPr>
          <w:rFonts w:hint="eastAsia"/>
        </w:rPr>
        <w:t xml:space="preserve">年</w:t>
      </w:r>
      <w:r>
        <w:t xml:space="preserve"> 3 </w:t>
      </w:r>
      <w:r>
        <w:rPr>
          <w:rFonts w:hint="eastAsia"/>
        </w:rPr>
        <w:t xml:space="preserve">月</w:t>
      </w:r>
      <w:r>
        <w:t xml:space="preserve"> 2 </w:t>
      </w:r>
      <w:r>
        <w:rPr>
          <w:rFonts w:hint="eastAsia"/>
        </w:rPr>
        <w:t xml:space="preserve">日至</w:t>
      </w:r>
      <w:r>
        <w:t xml:space="preserve"> 2026 </w:t>
      </w:r>
      <w:r>
        <w:rPr>
          <w:rFonts w:hint="eastAsia"/>
        </w:rPr>
        <w:t xml:space="preserve">年</w:t>
      </w:r>
      <w:r>
        <w:t xml:space="preserve"> 5 </w:t>
      </w:r>
      <w:r>
        <w:rPr>
          <w:rFonts w:hint="eastAsia"/>
        </w:rPr>
        <w:t xml:space="preserve">月</w:t>
      </w:r>
      <w:r>
        <w:t xml:space="preserve"> 5 </w:t>
      </w:r>
      <w:r>
        <w:rPr>
          <w:rFonts w:hint="eastAsia"/>
        </w:rPr>
        <w:t xml:space="preserve">日，共</w:t>
      </w:r>
      <w:r>
        <w:t xml:space="preserve"> 46 </w:t>
      </w:r>
      <w:r>
        <w:rPr>
          <w:rFonts w:hint="eastAsia"/>
        </w:rPr>
        <w:t xml:space="preserve">个实际交易日。</w:t>
      </w:r>
    </w:p>
    <w:p>
      <w:pPr>
        <w:pStyle w:val="BodyText"/>
      </w:pPr>
      <w:r>
        <w:rPr>
          <w:rFonts w:hint="eastAsia"/>
        </w:rPr>
        <w:t xml:space="preserve">需要说明的是，本文短期模型没有使用爬虫采集的数值数据。价格序列来自官方附件</w:t>
      </w:r>
      <w:r>
        <w:t xml:space="preserve"> </w:t>
      </w:r>
      <w:r>
        <w:rPr>
          <w:rFonts w:hint="eastAsia"/>
        </w:rPr>
        <w:t xml:space="preserve">CSV；全球供需、供应中断范围、战略储备、商业库存、绕道能力、SPR</w:t>
      </w:r>
      <w:r>
        <w:t xml:space="preserve"> </w:t>
      </w:r>
      <w:r>
        <w:rPr>
          <w:rFonts w:hint="eastAsia"/>
        </w:rPr>
        <w:t xml:space="preserve">释放速度和短期需求弹性等数量级来自赛题文本整理。风险权重、恐慌衰减、价格调整速度、缓冲确认折价和预期修复折价等则属于模型待估参数，它们不是外部观测事实，而是在题面约束和机制解释下，通过附件价格路径校准得到。</w:t>
      </w:r>
    </w:p>
    <w:p>
      <w:pPr>
        <w:pStyle w:val="TableCaption"/>
      </w:pPr>
      <w:r>
        <w:rPr>
          <w:rFonts w:hint="eastAsia"/>
        </w:rPr>
        <w:t xml:space="preserve">短期模型数据与参数来源分类</w:t>
      </w:r>
    </w:p>
    <w:tbl>
      <w:tblPr>
        <w:tblStyle w:val="Table"/>
        <w:tblW w:type="auto" w:w="0"/>
        <w:tblLook w:firstRow="1" w:lastRow="0" w:firstColumn="0" w:lastColumn="0" w:noHBand="0" w:noVBand="0" w:val="0020"/>
        <w:tblCaption w:val="短期模型数据与参数来源分类"/>
      </w:tblPr>
      <w:tblGrid>
        <w:gridCol w:w="2640"/>
        <w:gridCol w:w="2640"/>
        <w:gridCol w:w="2640"/>
      </w:tblGrid>
      <w:tr>
        <w:trPr>
          <w:tblHeader w:val="on"/>
        </w:trPr>
        <w:tc>
          <w:tcPr/>
          <w:p>
            <w:pPr>
              <w:pStyle w:val="Compact"/>
              <w:jc w:val="left"/>
            </w:pPr>
            <w:r>
              <w:rPr>
                <w:rFonts w:hint="eastAsia"/>
              </w:rPr>
              <w:t xml:space="preserve">类别</w:t>
            </w:r>
          </w:p>
        </w:tc>
        <w:tc>
          <w:tcPr/>
          <w:p>
            <w:pPr>
              <w:pStyle w:val="Compact"/>
              <w:jc w:val="left"/>
            </w:pPr>
            <w:r>
              <w:rPr>
                <w:rFonts w:hint="eastAsia"/>
              </w:rPr>
              <w:t xml:space="preserve">内容</w:t>
            </w:r>
          </w:p>
        </w:tc>
        <w:tc>
          <w:tcPr/>
          <w:p>
            <w:pPr>
              <w:pStyle w:val="Compact"/>
              <w:jc w:val="left"/>
            </w:pPr>
            <w:r>
              <w:rPr>
                <w:rFonts w:hint="eastAsia"/>
              </w:rPr>
              <w:t xml:space="preserve">来源性质</w:t>
            </w:r>
          </w:p>
        </w:tc>
      </w:tr>
      <w:tr>
        <w:tc>
          <w:tcPr/>
          <w:p>
            <w:pPr>
              <w:pStyle w:val="Compact"/>
              <w:jc w:val="left"/>
            </w:pPr>
            <w:r>
              <w:rPr>
                <w:rFonts w:hint="eastAsia"/>
              </w:rPr>
              <w:t xml:space="preserve">价格数据</w:t>
            </w:r>
          </w:p>
        </w:tc>
        <w:tc>
          <w:tcPr/>
          <w:p>
            <w:pPr>
              <w:pStyle w:val="Compact"/>
              <w:jc w:val="left"/>
            </w:pPr>
            <w:r>
              <w:rPr>
                <w:rFonts w:hint="eastAsia"/>
              </w:rPr>
              <w:t xml:space="preserve">布伦特原油期货主力合约日度价格、冲突窗口收盘价</w:t>
            </w:r>
          </w:p>
        </w:tc>
        <w:tc>
          <w:tcPr/>
          <w:p>
            <w:pPr>
              <w:pStyle w:val="Compact"/>
              <w:jc w:val="left"/>
            </w:pPr>
            <w:r>
              <w:rPr>
                <w:rFonts w:hint="eastAsia"/>
              </w:rPr>
              <w:t xml:space="preserve">官方附件</w:t>
            </w:r>
            <w:r>
              <w:t xml:space="preserve"> CSV</w:t>
            </w:r>
          </w:p>
        </w:tc>
      </w:tr>
      <w:tr>
        <w:tc>
          <w:tcPr/>
          <w:p>
            <w:pPr>
              <w:pStyle w:val="Compact"/>
              <w:jc w:val="left"/>
            </w:pPr>
            <w:r>
              <w:rPr>
                <w:rFonts w:hint="eastAsia"/>
              </w:rPr>
              <w:t xml:space="preserve">题面参数</w:t>
            </w:r>
          </w:p>
        </w:tc>
        <w:tc>
          <w:tcPr/>
          <w:p>
            <w:pPr>
              <w:pStyle w:val="Compact"/>
              <w:jc w:val="left"/>
            </w:pPr>
            <w:r>
              <w:rPr>
                <w:rFonts w:hint="eastAsia"/>
              </w:rPr>
              <w:t xml:space="preserve">全球供需、供应中断范围、SPR、商业库存、绕道运输能力、需求弹性</w:t>
            </w:r>
          </w:p>
        </w:tc>
        <w:tc>
          <w:tcPr/>
          <w:p>
            <w:pPr>
              <w:pStyle w:val="Compact"/>
              <w:jc w:val="left"/>
            </w:pPr>
            <w:r>
              <w:rPr>
                <w:rFonts w:hint="eastAsia"/>
              </w:rPr>
              <w:t xml:space="preserve">赛题文本整理</w:t>
            </w:r>
          </w:p>
        </w:tc>
      </w:tr>
      <w:tr>
        <w:tc>
          <w:tcPr/>
          <w:p>
            <w:pPr>
              <w:pStyle w:val="Compact"/>
              <w:jc w:val="left"/>
            </w:pPr>
            <w:r>
              <w:rPr>
                <w:rFonts w:hint="eastAsia"/>
              </w:rPr>
              <w:t xml:space="preserve">模型待估参数</w:t>
            </w:r>
          </w:p>
        </w:tc>
        <w:tc>
          <w:tcPr/>
          <w:p>
            <w:pPr>
              <w:pStyle w:val="Compact"/>
              <w:jc w:val="left"/>
            </w:pPr>
            <w:r>
              <w:rPr>
                <w:rFonts w:hint="eastAsia"/>
              </w:rPr>
              <w:t xml:space="preserve">风险权重、恐慌衰减、库存响应、调整速度、两类折价强度</w:t>
            </w:r>
          </w:p>
        </w:tc>
        <w:tc>
          <w:tcPr/>
          <w:p>
            <w:pPr>
              <w:pStyle w:val="Compact"/>
              <w:jc w:val="left"/>
            </w:pPr>
            <w:r>
              <w:rPr>
                <w:rFonts w:hint="eastAsia"/>
              </w:rPr>
              <w:t xml:space="preserve">在约束范围内校准</w:t>
            </w:r>
          </w:p>
        </w:tc>
      </w:tr>
      <w:tr>
        <w:tc>
          <w:tcPr/>
          <w:p>
            <w:pPr>
              <w:pStyle w:val="Compact"/>
              <w:jc w:val="left"/>
            </w:pPr>
            <w:r>
              <w:rPr>
                <w:rFonts w:hint="eastAsia"/>
              </w:rPr>
              <w:t xml:space="preserve">参考文献</w:t>
            </w:r>
          </w:p>
        </w:tc>
        <w:tc>
          <w:tcPr/>
          <w:p>
            <w:pPr>
              <w:pStyle w:val="Compact"/>
              <w:jc w:val="left"/>
            </w:pPr>
            <w:r>
              <w:rPr>
                <w:rFonts w:hint="eastAsia"/>
              </w:rPr>
              <w:t xml:space="preserve">油价冲击、库存预期、地缘风险和需求弹性相关研究</w:t>
            </w:r>
          </w:p>
        </w:tc>
        <w:tc>
          <w:tcPr/>
          <w:p>
            <w:pPr>
              <w:pStyle w:val="Compact"/>
              <w:jc w:val="left"/>
            </w:pPr>
            <w:r>
              <w:rPr>
                <w:rFonts w:hint="eastAsia"/>
              </w:rPr>
              <w:t xml:space="preserve">机制依据，不作为替代数据</w:t>
            </w:r>
          </w:p>
        </w:tc>
      </w:tr>
    </w:tbl>
    <w:p/>
    <w:p>
      <w:pPr>
        <w:pStyle w:val="TableCaption"/>
      </w:pPr>
      <w:r>
        <w:rPr>
          <w:rFonts w:hint="eastAsia"/>
        </w:rPr>
        <w:t xml:space="preserve">冲突窗口核心统计量</w:t>
      </w:r>
    </w:p>
    <w:tbl>
      <w:tblPr>
        <w:tblStyle w:val="Table"/>
        <w:tblW w:type="auto" w:w="0"/>
        <w:tblLook w:firstRow="1" w:lastRow="0" w:firstColumn="0" w:lastColumn="0" w:noHBand="0" w:noVBand="0" w:val="0020"/>
        <w:tblCaption w:val="冲突窗口核心统计量"/>
      </w:tblPr>
      <w:tblGrid>
        <w:gridCol w:w="3960"/>
        <w:gridCol w:w="396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r>
      <w:tr>
        <w:tc>
          <w:tcPr/>
          <w:p>
            <w:pPr>
              <w:pStyle w:val="Compact"/>
              <w:jc w:val="left"/>
            </w:pPr>
            <w:r>
              <w:rPr>
                <w:rFonts w:hint="eastAsia"/>
              </w:rPr>
              <w:t xml:space="preserve">交易日数</w:t>
            </w:r>
          </w:p>
        </w:tc>
        <w:tc>
          <w:tcPr/>
          <w:p>
            <w:pPr>
              <w:pStyle w:val="Compact"/>
              <w:jc w:val="right"/>
            </w:pPr>
            <w:r>
              <w:t xml:space="preserve">46</w:t>
            </w:r>
          </w:p>
        </w:tc>
      </w:tr>
      <w:tr>
        <w:tc>
          <w:tcPr/>
          <w:p>
            <w:pPr>
              <w:pStyle w:val="Compact"/>
              <w:jc w:val="left"/>
            </w:pPr>
            <w:r>
              <w:rPr>
                <w:rFonts w:hint="eastAsia"/>
              </w:rPr>
              <w:t xml:space="preserve">窗口起始日</w:t>
            </w:r>
          </w:p>
        </w:tc>
        <w:tc>
          <w:tcPr/>
          <w:p>
            <w:pPr>
              <w:pStyle w:val="Compact"/>
              <w:jc w:val="right"/>
            </w:pPr>
            <w:r>
              <w:t xml:space="preserve">2026-03-02</w:t>
            </w:r>
          </w:p>
        </w:tc>
      </w:tr>
      <w:tr>
        <w:tc>
          <w:tcPr/>
          <w:p>
            <w:pPr>
              <w:pStyle w:val="Compact"/>
              <w:jc w:val="left"/>
            </w:pPr>
            <w:r>
              <w:rPr>
                <w:rFonts w:hint="eastAsia"/>
              </w:rPr>
              <w:t xml:space="preserve">窗口终止日</w:t>
            </w:r>
          </w:p>
        </w:tc>
        <w:tc>
          <w:tcPr/>
          <w:p>
            <w:pPr>
              <w:pStyle w:val="Compact"/>
              <w:jc w:val="right"/>
            </w:pPr>
            <w:r>
              <w:t xml:space="preserve">2026-05-05</w:t>
            </w:r>
          </w:p>
        </w:tc>
      </w:tr>
      <w:tr>
        <w:tc>
          <w:tcPr/>
          <w:p>
            <w:pPr>
              <w:pStyle w:val="Compact"/>
              <w:jc w:val="left"/>
            </w:pPr>
            <w:r>
              <w:rPr>
                <w:rFonts w:hint="eastAsia"/>
              </w:rPr>
              <w:t xml:space="preserve">最高收盘价</w:t>
            </w:r>
          </w:p>
        </w:tc>
        <w:tc>
          <w:tcPr/>
          <w:p>
            <w:pPr>
              <w:pStyle w:val="Compact"/>
              <w:jc w:val="right"/>
            </w:pPr>
            <w:r>
              <w:t xml:space="preserve">114.06 </w:t>
            </w:r>
            <w:r>
              <w:rPr>
                <w:rFonts w:hint="eastAsia"/>
              </w:rPr>
              <w:t xml:space="preserve">美元/桶</w:t>
            </w:r>
          </w:p>
        </w:tc>
      </w:tr>
      <w:tr>
        <w:tc>
          <w:tcPr/>
          <w:p>
            <w:pPr>
              <w:pStyle w:val="Compact"/>
              <w:jc w:val="left"/>
            </w:pPr>
            <w:r>
              <w:rPr>
                <w:rFonts w:hint="eastAsia"/>
              </w:rPr>
              <w:t xml:space="preserve">最高盘中价</w:t>
            </w:r>
          </w:p>
        </w:tc>
        <w:tc>
          <w:tcPr/>
          <w:p>
            <w:pPr>
              <w:pStyle w:val="Compact"/>
              <w:jc w:val="right"/>
            </w:pPr>
            <w:r>
              <w:t xml:space="preserve">119.50 </w:t>
            </w:r>
            <w:r>
              <w:rPr>
                <w:rFonts w:hint="eastAsia"/>
              </w:rPr>
              <w:t xml:space="preserve">美元/桶</w:t>
            </w:r>
          </w:p>
        </w:tc>
      </w:tr>
      <w:tr>
        <w:tc>
          <w:tcPr/>
          <w:p>
            <w:pPr>
              <w:pStyle w:val="Compact"/>
              <w:jc w:val="left"/>
            </w:pPr>
            <w:r>
              <w:rPr>
                <w:rFonts w:hint="eastAsia"/>
              </w:rPr>
              <w:t xml:space="preserve">模型校准目标</w:t>
            </w:r>
          </w:p>
        </w:tc>
        <w:tc>
          <w:tcPr/>
          <w:p>
            <w:pPr>
              <w:pStyle w:val="Compact"/>
              <w:jc w:val="right"/>
            </w:pPr>
            <w:r>
              <w:rPr>
                <w:rFonts w:hint="eastAsia"/>
              </w:rPr>
              <w:t xml:space="preserve">附件</w:t>
            </w:r>
            <w:r>
              <w:t xml:space="preserve"> CSV </w:t>
            </w:r>
            <w:r>
              <w:rPr>
                <w:rFonts w:hint="eastAsia"/>
              </w:rPr>
              <w:t xml:space="preserve">的收盘价</w:t>
            </w:r>
          </w:p>
        </w:tc>
      </w:tr>
    </w:tbl>
    <w:p>
      <w:pPr>
        <w:pStyle w:val="CaptionedFigure"/>
      </w:pPr>
      <w:r>
        <w:drawing>
          <wp:inline>
            <wp:extent cx="5067300" cy="2533650"/>
            <wp:effectExtent b="0" l="0" r="0" t="0"/>
            <wp:docPr descr="" title="" id="11" name="Picture"/>
            <a:graphic>
              <a:graphicData uri="http://schemas.openxmlformats.org/drawingml/2006/picture">
                <pic:pic>
                  <pic:nvPicPr>
                    <pic:cNvPr descr="price_trend.png" id="12" name="Picture"/>
                    <pic:cNvPicPr>
                      <a:picLocks noChangeArrowheads="1" noChangeAspect="1"/>
                    </pic:cNvPicPr>
                  </pic:nvPicPr>
                  <pic:blipFill>
                    <a:blip r:embed="rId10"/>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pPr>
      <w:r>
        <w:rPr>
          <w:rFonts w:hint="eastAsia"/>
        </w:rPr>
        <w:t xml:space="preserve">布伦特原油期货主力合约长期价格走势。全历史图用于说明冲突窗口并非孤立数据，而是处于长期油价波动背景之中。</w:t>
      </w:r>
    </w:p>
    <w:p>
      <w:pPr>
        <w:pStyle w:val="CaptionedFigure"/>
      </w:pPr>
      <w:r>
        <w:drawing>
          <wp:inline>
            <wp:extent cx="5067300" cy="2533650"/>
            <wp:effectExtent b="0" l="0" r="0" t="0"/>
            <wp:docPr descr="" title="" id="14" name="Picture"/>
            <a:graphic>
              <a:graphicData uri="http://schemas.openxmlformats.org/drawingml/2006/picture">
                <pic:pic>
                  <pic:nvPicPr>
                    <pic:cNvPr descr="event_window_price.png" id="15" name="Picture"/>
                    <pic:cNvPicPr>
                      <a:picLocks noChangeArrowheads="1" noChangeAspect="1"/>
                    </pic:cNvPicPr>
                  </pic:nvPicPr>
                  <pic:blipFill>
                    <a:blip r:embed="rId13"/>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pPr>
      <w:r>
        <w:t xml:space="preserve">2026 </w:t>
      </w:r>
      <w:r>
        <w:rPr>
          <w:rFonts w:hint="eastAsia"/>
        </w:rPr>
        <w:t xml:space="preserve">年冲突窗口内的实际油价走势。价格先快速上行，随后在高位震荡，并在中后期出现阶段性回落。</w:t>
      </w:r>
    </w:p>
    <w:bookmarkEnd w:id="16"/>
    <w:bookmarkStart w:id="20" w:name="传统供需基准模型"/>
    <w:p>
      <w:pPr>
        <w:pStyle w:val="Heading1"/>
      </w:pPr>
      <w:r>
        <w:rPr>
          <w:rFonts w:hint="eastAsia"/>
        </w:rPr>
        <w:t xml:space="preserve">传统供需基准模型</w:t>
      </w:r>
    </w:p>
    <w:p>
      <w:pPr>
        <w:pStyle w:val="FirstParagraph"/>
      </w:pPr>
      <w:r>
        <w:rPr>
          <w:rFonts w:hint="eastAsia"/>
        </w:rPr>
        <w:t xml:space="preserve">首先建立传统静态供需模型作为上界对照。设战前日供给和需求均为</w:t>
      </w:r>
      <w:r>
        <w:t xml:space="preserve"> </w:t>
      </w:r>
      <m:oMath>
        <m:sSub>
          <m:e>
            <m:r>
              <m:t>Q</m:t>
            </m:r>
          </m:e>
          <m:sub>
            <m:r>
              <m:t>0</m:t>
            </m:r>
          </m:sub>
        </m:sSub>
      </m:oMath>
      <w:r>
        <w:rPr>
          <w:rFonts w:hint="eastAsia"/>
        </w:rPr>
        <w:t xml:space="preserve">，封锁造成供应中断</w:t>
      </w:r>
      <w:r>
        <w:t xml:space="preserve"> </w:t>
      </w:r>
      <m:oMath>
        <m:r>
          <m:rPr>
            <m:sty m:val="p"/>
          </m:rPr>
          <m:t>Δ</m:t>
        </m:r>
        <m:r>
          <m:t>Q</m:t>
        </m:r>
      </m:oMath>
      <w:r>
        <w:rPr>
          <w:rFonts w:hint="eastAsia"/>
        </w:rPr>
        <w:t xml:space="preserve">，短期需求价格弹性为</w:t>
      </w:r>
      <w:r>
        <w:t xml:space="preserve"> </w:t>
      </w:r>
      <m:oMath>
        <m:sSub>
          <m:e>
            <m:r>
              <m:t>ε</m:t>
            </m:r>
          </m:e>
          <m:sub>
            <m:r>
              <m:t>s</m:t>
            </m:r>
          </m:sub>
        </m:sSub>
        <m:r>
          <m:rPr>
            <m:sty m:val="p"/>
          </m:rPr>
          <m:t>&lt;</m:t>
        </m:r>
        <m:r>
          <m:t>0</m:t>
        </m:r>
      </m:oMath>
      <w:r>
        <w:rPr>
          <w:rFonts w:hint="eastAsia"/>
        </w:rPr>
        <w:t xml:space="preserve">，基准价格为</w:t>
      </w:r>
      <w:r>
        <w:t xml:space="preserve"> </w:t>
      </w:r>
      <m:oMath>
        <m:sSub>
          <m:e>
            <m:r>
              <m:t>P</m:t>
            </m:r>
          </m:e>
          <m:sub>
            <m:r>
              <m:t>0</m:t>
            </m:r>
          </m:sub>
        </m:sSub>
      </m:oMath>
      <w:r>
        <w:rPr>
          <w:rFonts w:hint="eastAsia"/>
        </w:rPr>
        <w:t xml:space="preserve">。在线性化近似下，价格相对变化可写为：</w:t>
      </w:r>
    </w:p>
    <w:p>
      <w:pPr>
        <w:pStyle w:val="BodyText"/>
      </w:pPr>
      <m:oMathPara>
        <m:oMathParaPr>
          <m:jc m:val="center"/>
        </m:oMathParaPr>
        <m:oMath>
          <m:f>
            <m:fPr>
              <m:type m:val="bar"/>
            </m:fPr>
            <m:num>
              <m:r>
                <m:rPr>
                  <m:sty m:val="p"/>
                </m:rPr>
                <m:t>Δ</m:t>
              </m:r>
              <m:r>
                <m:t>P</m:t>
              </m:r>
            </m:num>
            <m:den>
              <m:sSub>
                <m:e>
                  <m:r>
                    <m:t>P</m:t>
                  </m:r>
                </m:e>
                <m:sub>
                  <m:r>
                    <m:t>0</m:t>
                  </m:r>
                </m:sub>
              </m:sSub>
            </m:den>
          </m:f>
          <m:r>
            <m:rPr>
              <m:sty m:val="p"/>
            </m:rPr>
            <m:t>≈</m:t>
          </m:r>
          <m:f>
            <m:fPr>
              <m:type m:val="bar"/>
            </m:fPr>
            <m:num>
              <m:r>
                <m:rPr>
                  <m:sty m:val="p"/>
                </m:rPr>
                <m:t>Δ</m:t>
              </m:r>
              <m:r>
                <m:t>Q</m:t>
              </m:r>
              <m:r>
                <m:rPr>
                  <m:sty m:val="p"/>
                </m:rPr>
                <m:t>/</m:t>
              </m:r>
              <m:sSub>
                <m:e>
                  <m:r>
                    <m:t>Q</m:t>
                  </m:r>
                </m:e>
                <m:sub>
                  <m:r>
                    <m:t>0</m:t>
                  </m:r>
                </m:sub>
              </m:sSub>
            </m:num>
            <m:den>
              <m:r>
                <m:rPr>
                  <m:sty m:val="p"/>
                </m:rPr>
                <m:t>|</m:t>
              </m:r>
              <m:sSub>
                <m:e>
                  <m:r>
                    <m:t>ε</m:t>
                  </m:r>
                </m:e>
                <m:sub>
                  <m:r>
                    <m:t>s</m:t>
                  </m:r>
                </m:sub>
              </m:sSub>
              <m:r>
                <m:rPr>
                  <m:sty m:val="p"/>
                </m:rPr>
                <m:t>|</m:t>
              </m:r>
            </m:den>
          </m:f>
          <m:r>
            <m:rPr>
              <m:sty m:val="p"/>
            </m:rPr>
            <m:t>.</m:t>
          </m:r>
        </m:oMath>
      </m:oMathPara>
    </w:p>
    <w:p>
      <w:pPr>
        <w:pStyle w:val="FirstParagraph"/>
      </w:pPr>
      <w:r>
        <w:rPr>
          <w:rFonts w:hint="eastAsia"/>
        </w:rPr>
        <w:t xml:space="preserve">由此得到的静态价格上界为：</w:t>
      </w:r>
    </w:p>
    <w:p>
      <w:pPr>
        <w:pStyle w:val="BodyText"/>
      </w:pPr>
      <m:oMathPara>
        <m:oMathParaPr>
          <m:jc m:val="center"/>
        </m:oMathParaPr>
        <m:oMath>
          <m:sSub>
            <m:e>
              <m:r>
                <m:t>P</m:t>
              </m:r>
            </m:e>
            <m:sub>
              <m:r>
                <m:rPr>
                  <m:sty m:val="p"/>
                </m:rPr>
                <m:t>s</m:t>
              </m:r>
              <m:r>
                <m:rPr>
                  <m:sty m:val="p"/>
                </m:rPr>
                <m:t>t</m:t>
              </m:r>
              <m:r>
                <m:rPr>
                  <m:sty m:val="p"/>
                </m:rPr>
                <m:t>a</m:t>
              </m:r>
              <m:r>
                <m:rPr>
                  <m:sty m:val="p"/>
                </m:rPr>
                <m:t>t</m:t>
              </m:r>
              <m:r>
                <m:rPr>
                  <m:sty m:val="p"/>
                </m:rPr>
                <m:t>i</m:t>
              </m:r>
              <m:r>
                <m:rPr>
                  <m:sty m:val="p"/>
                </m:rPr>
                <m:t>c</m:t>
              </m:r>
            </m:sub>
          </m:sSub>
          <m:r>
            <m:rPr>
              <m:sty m:val="p"/>
            </m:rPr>
            <m:t>=</m:t>
          </m:r>
          <m:sSub>
            <m:e>
              <m:r>
                <m:t>P</m:t>
              </m:r>
            </m:e>
            <m:sub>
              <m:r>
                <m:t>0</m:t>
              </m:r>
            </m:sub>
          </m:sSub>
          <m:d>
            <m:dPr>
              <m:begChr m:val="("/>
              <m:sepChr m:val=""/>
              <m:endChr m:val=")"/>
              <m:grow/>
            </m:dPr>
            <m:e>
              <m:r>
                <m:t>1</m:t>
              </m:r>
              <m:r>
                <m:rPr>
                  <m:sty m:val="p"/>
                </m:rPr>
                <m:t>+</m:t>
              </m:r>
              <m:f>
                <m:fPr>
                  <m:type m:val="bar"/>
                </m:fPr>
                <m:num>
                  <m:r>
                    <m:rPr>
                      <m:sty m:val="p"/>
                    </m:rPr>
                    <m:t>Δ</m:t>
                  </m:r>
                  <m:r>
                    <m:t>Q</m:t>
                  </m:r>
                  <m:r>
                    <m:rPr>
                      <m:sty m:val="p"/>
                    </m:rPr>
                    <m:t>/</m:t>
                  </m:r>
                  <m:sSub>
                    <m:e>
                      <m:r>
                        <m:t>Q</m:t>
                      </m:r>
                    </m:e>
                    <m:sub>
                      <m:r>
                        <m:t>0</m:t>
                      </m:r>
                    </m:sub>
                  </m:sSub>
                </m:num>
                <m:den>
                  <m:r>
                    <m:rPr>
                      <m:sty m:val="p"/>
                    </m:rPr>
                    <m:t>|</m:t>
                  </m:r>
                  <m:sSub>
                    <m:e>
                      <m:r>
                        <m:t>ε</m:t>
                      </m:r>
                    </m:e>
                    <m:sub>
                      <m:r>
                        <m:t>s</m:t>
                      </m:r>
                    </m:sub>
                  </m:sSub>
                  <m:r>
                    <m:rPr>
                      <m:sty m:val="p"/>
                    </m:rPr>
                    <m:t>|</m:t>
                  </m:r>
                </m:den>
              </m:f>
            </m:e>
          </m:d>
          <m:r>
            <m:rPr>
              <m:sty m:val="p"/>
            </m:rPr>
            <m:t>.</m:t>
          </m:r>
        </m:oMath>
      </m:oMathPara>
    </w:p>
    <w:p>
      <w:pPr>
        <w:pStyle w:val="FirstParagraph"/>
      </w:pPr>
      <w:r>
        <w:rPr>
          <w:rFonts w:hint="eastAsia"/>
        </w:rPr>
        <w:t xml:space="preserve">阶段</w:t>
      </w:r>
      <w:r>
        <w:t xml:space="preserve"> 2 </w:t>
      </w:r>
      <w:r>
        <w:rPr>
          <w:rFonts w:hint="eastAsia"/>
        </w:rPr>
        <w:t xml:space="preserve">的基准模型结果表明，在题面供应中断量和短期低弹性假设下，传统供需模型会给出约</w:t>
      </w:r>
      <w:r>
        <w:t xml:space="preserve"> 278–337 </w:t>
      </w:r>
      <w:r>
        <w:rPr>
          <w:rFonts w:hint="eastAsia"/>
        </w:rPr>
        <w:t xml:space="preserve">美元/桶的价格区间，明显高于附件数据中的最高收盘价</w:t>
      </w:r>
      <w:r>
        <w:t xml:space="preserve"> 114.06 </w:t>
      </w:r>
      <w:r>
        <w:rPr>
          <w:rFonts w:hint="eastAsia"/>
        </w:rPr>
        <w:t xml:space="preserve">美元/桶。这说明静态供需模型可以作为</w:t>
      </w:r>
      <w:r>
        <w:rPr>
          <w:rFonts w:hint="eastAsia"/>
        </w:rPr>
        <w:t xml:space="preserve">“无缓冲机制”</w:t>
      </w:r>
      <w:r>
        <w:rPr>
          <w:rFonts w:hint="eastAsia"/>
        </w:rPr>
        <w:t xml:space="preserve">的理论上界，但不足以解释现实价格路径。</w:t>
      </w:r>
    </w:p>
    <w:p>
      <w:pPr>
        <w:pStyle w:val="CaptionedFigure"/>
      </w:pPr>
      <w:r>
        <w:drawing>
          <wp:inline>
            <wp:extent cx="4907280" cy="2676698"/>
            <wp:effectExtent b="0" l="0" r="0" t="0"/>
            <wp:docPr descr="" title="" id="18" name="Picture"/>
            <a:graphic>
              <a:graphicData uri="http://schemas.openxmlformats.org/drawingml/2006/picture">
                <pic:pic>
                  <pic:nvPicPr>
                    <pic:cNvPr descr="baseline_vs_actual.png" id="19" name="Picture"/>
                    <pic:cNvPicPr>
                      <a:picLocks noChangeArrowheads="1" noChangeAspect="1"/>
                    </pic:cNvPicPr>
                  </pic:nvPicPr>
                  <pic:blipFill>
                    <a:blip r:embed="rId17"/>
                    <a:stretch>
                      <a:fillRect/>
                    </a:stretch>
                  </pic:blipFill>
                  <pic:spPr bwMode="auto">
                    <a:xfrm>
                      <a:off x="0" y="0"/>
                      <a:ext cx="4907280" cy="2676698"/>
                    </a:xfrm>
                    <a:prstGeom prst="rect">
                      <a:avLst/>
                    </a:prstGeom>
                    <a:noFill/>
                    <a:ln w="9525">
                      <a:noFill/>
                      <a:headEnd/>
                      <a:tailEnd/>
                    </a:ln>
                  </pic:spPr>
                </pic:pic>
              </a:graphicData>
            </a:graphic>
          </wp:inline>
        </w:drawing>
      </w:r>
    </w:p>
    <w:p>
      <w:pPr>
        <w:pStyle w:val="ImageCaption"/>
      </w:pPr>
      <w:r>
        <w:rPr>
          <w:rFonts w:hint="eastAsia"/>
        </w:rPr>
        <w:t xml:space="preserve">传统供需基准模型与实际油价对比。静态模型显著高估现实价格，说明必须引入动态缓冲机制。</w:t>
      </w:r>
    </w:p>
    <w:bookmarkEnd w:id="20"/>
    <w:bookmarkStart w:id="23" w:name="短期动态递推模型"/>
    <w:p>
      <w:pPr>
        <w:pStyle w:val="Heading1"/>
      </w:pPr>
      <w:r>
        <w:rPr>
          <w:rFonts w:hint="eastAsia"/>
        </w:rPr>
        <w:t xml:space="preserve">短期动态递推模型</w:t>
      </w:r>
    </w:p>
    <w:bookmarkStart w:id="21" w:name="模型结构"/>
    <w:p>
      <w:pPr>
        <w:pStyle w:val="Heading2"/>
      </w:pPr>
      <w:r>
        <w:rPr>
          <w:rFonts w:hint="eastAsia"/>
        </w:rPr>
        <w:t xml:space="preserve">模型结构</w:t>
      </w:r>
    </w:p>
    <w:p>
      <w:pPr>
        <w:pStyle w:val="FirstParagraph"/>
      </w:pPr>
      <w:r>
        <w:rPr>
          <w:rFonts w:hint="eastAsia"/>
        </w:rPr>
        <w:t xml:space="preserve">短期动态模型以日度为时间步长。设第</w:t>
      </w:r>
      <w:r>
        <w:t xml:space="preserve"> </w:t>
      </w:r>
      <m:oMath>
        <m:r>
          <m:t>t</m:t>
        </m:r>
      </m:oMath>
      <w:r>
        <w:t xml:space="preserve"> </w:t>
      </w:r>
      <w:r>
        <w:rPr>
          <w:rFonts w:hint="eastAsia"/>
        </w:rPr>
        <w:t xml:space="preserve">日模拟价格为</w:t>
      </w:r>
      <w:r>
        <w:t xml:space="preserve"> </w:t>
      </w:r>
      <m:oMath>
        <m:sSub>
          <m:e>
            <m:r>
              <m:t>P</m:t>
            </m:r>
          </m:e>
          <m:sub>
            <m:r>
              <m:t>t</m:t>
            </m:r>
          </m:sub>
        </m:sSub>
      </m:oMath>
      <w:r>
        <w:rPr>
          <w:rFonts w:hint="eastAsia"/>
        </w:rPr>
        <w:t xml:space="preserve">，实际可用供给为</w:t>
      </w:r>
      <w:r>
        <w:t xml:space="preserve"> </w:t>
      </w:r>
      <m:oMath>
        <m:sSub>
          <m:e>
            <m:r>
              <m:t>S</m:t>
            </m:r>
          </m:e>
          <m:sub>
            <m:r>
              <m:t>t</m:t>
            </m:r>
          </m:sub>
        </m:sSub>
      </m:oMath>
      <w:r>
        <w:rPr>
          <w:rFonts w:hint="eastAsia"/>
        </w:rPr>
        <w:t xml:space="preserve">，有效需求为</w:t>
      </w:r>
      <w:r>
        <w:t xml:space="preserve"> </w:t>
      </w:r>
      <m:oMath>
        <m:sSub>
          <m:e>
            <m:r>
              <m:t>D</m:t>
            </m:r>
          </m:e>
          <m:sub>
            <m:r>
              <m:t>t</m:t>
            </m:r>
          </m:sub>
        </m:sSub>
      </m:oMath>
      <w:r>
        <w:rPr>
          <w:rFonts w:hint="eastAsia"/>
        </w:rPr>
        <w:t xml:space="preserve">，剩余供需缺口为</w:t>
      </w:r>
      <w:r>
        <w:t xml:space="preserve"> </w:t>
      </w:r>
      <m:oMath>
        <m:sSub>
          <m:e>
            <m:r>
              <m:t>G</m:t>
            </m:r>
          </m:e>
          <m:sub>
            <m:r>
              <m:t>t</m:t>
            </m:r>
          </m:sub>
        </m:sSub>
      </m:oMath>
      <w:r>
        <w:rPr>
          <w:rFonts w:hint="eastAsia"/>
        </w:rPr>
        <w:t xml:space="preserve">。模型先计算供需侧变量，再将价格分解为基准价格、供需缺口压力、风险溢价、恐慌溢价和折价修复项。</w:t>
      </w:r>
    </w:p>
    <w:p>
      <w:pPr>
        <w:pStyle w:val="BodyText"/>
      </w:pPr>
      <w:r>
        <w:rPr>
          <w:rFonts w:hint="eastAsia"/>
        </w:rPr>
        <w:t xml:space="preserve">有效供给由战前供给、供应中断、SPR</w:t>
      </w:r>
      <w:r>
        <w:t xml:space="preserve"> </w:t>
      </w:r>
      <w:r>
        <w:rPr>
          <w:rFonts w:hint="eastAsia"/>
        </w:rPr>
        <w:t xml:space="preserve">释放、绕道运输和库存缓冲共同决定：</w:t>
      </w:r>
    </w:p>
    <w:p>
      <w:pPr>
        <w:pStyle w:val="BodyText"/>
      </w:pPr>
      <m:oMathPara>
        <m:oMathParaPr>
          <m:jc m:val="center"/>
        </m:oMathParaPr>
        <m:oMath>
          <m:sSub>
            <m:e>
              <m:r>
                <m:t>S</m:t>
              </m:r>
            </m:e>
            <m:sub>
              <m:r>
                <m:t>t</m:t>
              </m:r>
            </m:sub>
          </m:sSub>
          <m:r>
            <m:rPr>
              <m:sty m:val="p"/>
            </m:rPr>
            <m:t>=</m:t>
          </m:r>
          <m:sSub>
            <m:e>
              <m:r>
                <m:t>Q</m:t>
              </m:r>
            </m:e>
            <m:sub>
              <m:r>
                <m:t>0</m:t>
              </m:r>
            </m:sub>
          </m:sSub>
          <m:r>
            <m:rPr>
              <m:sty m:val="p"/>
            </m:rPr>
            <m:t>−</m:t>
          </m:r>
          <m:r>
            <m:t>I</m:t>
          </m:r>
          <m:r>
            <m:rPr>
              <m:sty m:val="p"/>
            </m:rPr>
            <m:t>+</m:t>
          </m:r>
          <m:sSubSup>
            <m:e>
              <m:r>
                <m:t>R</m:t>
              </m:r>
            </m:e>
            <m:sub>
              <m:r>
                <m:t>t</m:t>
              </m:r>
            </m:sub>
            <m:sup>
              <m:r>
                <m:rPr>
                  <m:sty m:val="p"/>
                </m:rPr>
                <m:t>S</m:t>
              </m:r>
              <m:r>
                <m:rPr>
                  <m:sty m:val="p"/>
                </m:rPr>
                <m:t>P</m:t>
              </m:r>
              <m:r>
                <m:rPr>
                  <m:sty m:val="p"/>
                </m:rPr>
                <m:t>R</m:t>
              </m:r>
            </m:sup>
          </m:sSubSup>
          <m:r>
            <m:rPr>
              <m:sty m:val="p"/>
            </m:rPr>
            <m:t>+</m:t>
          </m:r>
          <m:sSubSup>
            <m:e>
              <m:r>
                <m:t>R</m:t>
              </m:r>
            </m:e>
            <m:sub>
              <m:r>
                <m:t>t</m:t>
              </m:r>
            </m:sub>
            <m:sup>
              <m:r>
                <m:rPr>
                  <m:sty m:val="p"/>
                </m:rPr>
                <m:t>r</m:t>
              </m:r>
              <m:r>
                <m:rPr>
                  <m:sty m:val="p"/>
                </m:rPr>
                <m:t>o</m:t>
              </m:r>
              <m:r>
                <m:rPr>
                  <m:sty m:val="p"/>
                </m:rPr>
                <m:t>u</m:t>
              </m:r>
              <m:r>
                <m:rPr>
                  <m:sty m:val="p"/>
                </m:rPr>
                <m:t>t</m:t>
              </m:r>
              <m:r>
                <m:rPr>
                  <m:sty m:val="p"/>
                </m:rPr>
                <m:t>e</m:t>
              </m:r>
            </m:sup>
          </m:sSubSup>
          <m:r>
            <m:rPr>
              <m:sty m:val="p"/>
            </m:rPr>
            <m:t>+</m:t>
          </m:r>
          <m:sSubSup>
            <m:e>
              <m:r>
                <m:t>B</m:t>
              </m:r>
            </m:e>
            <m:sub>
              <m:r>
                <m:t>t</m:t>
              </m:r>
            </m:sub>
            <m:sup>
              <m:r>
                <m:rPr>
                  <m:sty m:val="p"/>
                </m:rPr>
                <m:t>i</m:t>
              </m:r>
              <m:r>
                <m:rPr>
                  <m:sty m:val="p"/>
                </m:rPr>
                <m:t>n</m:t>
              </m:r>
              <m:r>
                <m:rPr>
                  <m:sty m:val="p"/>
                </m:rPr>
                <m:t>v</m:t>
              </m:r>
            </m:sup>
          </m:sSubSup>
          <m:r>
            <m:rPr>
              <m:sty m:val="p"/>
            </m:rPr>
            <m:t>,</m:t>
          </m:r>
        </m:oMath>
      </m:oMathPara>
    </w:p>
    <w:p>
      <w:pPr>
        <w:pStyle w:val="FirstParagraph"/>
      </w:pPr>
      <w:r>
        <w:rPr>
          <w:rFonts w:hint="eastAsia"/>
        </w:rPr>
        <w:t xml:space="preserve">其中</w:t>
      </w:r>
      <w:r>
        <w:t xml:space="preserve"> </w:t>
      </w:r>
      <m:oMath>
        <m:r>
          <m:t>I</m:t>
        </m:r>
      </m:oMath>
      <w:r>
        <w:t xml:space="preserve"> </w:t>
      </w:r>
      <w:r>
        <w:rPr>
          <w:rFonts w:hint="eastAsia"/>
        </w:rPr>
        <w:t xml:space="preserve">为供应中断量，</w:t>
      </w:r>
      <m:oMath>
        <m:sSubSup>
          <m:e>
            <m:r>
              <m:t>R</m:t>
            </m:r>
          </m:e>
          <m:sub>
            <m:r>
              <m:t>t</m:t>
            </m:r>
          </m:sub>
          <m:sup>
            <m:r>
              <m:rPr>
                <m:sty m:val="p"/>
              </m:rPr>
              <m:t>S</m:t>
            </m:r>
            <m:r>
              <m:rPr>
                <m:sty m:val="p"/>
              </m:rPr>
              <m:t>P</m:t>
            </m:r>
            <m:r>
              <m:rPr>
                <m:sty m:val="p"/>
              </m:rPr>
              <m:t>R</m:t>
            </m:r>
          </m:sup>
        </m:sSubSup>
      </m:oMath>
      <w:r>
        <w:t xml:space="preserve"> </w:t>
      </w:r>
      <w:r>
        <w:rPr>
          <w:rFonts w:hint="eastAsia"/>
        </w:rPr>
        <w:t xml:space="preserve">为战略石油储备释放量，</w:t>
      </w:r>
      <m:oMath>
        <m:sSubSup>
          <m:e>
            <m:r>
              <m:t>R</m:t>
            </m:r>
          </m:e>
          <m:sub>
            <m:r>
              <m:t>t</m:t>
            </m:r>
          </m:sub>
          <m:sup>
            <m:r>
              <m:rPr>
                <m:sty m:val="p"/>
              </m:rPr>
              <m:t>r</m:t>
            </m:r>
            <m:r>
              <m:rPr>
                <m:sty m:val="p"/>
              </m:rPr>
              <m:t>o</m:t>
            </m:r>
            <m:r>
              <m:rPr>
                <m:sty m:val="p"/>
              </m:rPr>
              <m:t>u</m:t>
            </m:r>
            <m:r>
              <m:rPr>
                <m:sty m:val="p"/>
              </m:rPr>
              <m:t>t</m:t>
            </m:r>
            <m:r>
              <m:rPr>
                <m:sty m:val="p"/>
              </m:rPr>
              <m:t>e</m:t>
            </m:r>
          </m:sup>
        </m:sSubSup>
      </m:oMath>
      <w:r>
        <w:t xml:space="preserve"> </w:t>
      </w:r>
      <w:r>
        <w:rPr>
          <w:rFonts w:hint="eastAsia"/>
        </w:rPr>
        <w:t xml:space="preserve">为绕道运输恢复量，</w:t>
      </w:r>
      <m:oMath>
        <m:sSubSup>
          <m:e>
            <m:r>
              <m:t>B</m:t>
            </m:r>
          </m:e>
          <m:sub>
            <m:r>
              <m:t>t</m:t>
            </m:r>
          </m:sub>
          <m:sup>
            <m:r>
              <m:rPr>
                <m:sty m:val="p"/>
              </m:rPr>
              <m:t>i</m:t>
            </m:r>
            <m:r>
              <m:rPr>
                <m:sty m:val="p"/>
              </m:rPr>
              <m:t>n</m:t>
            </m:r>
            <m:r>
              <m:rPr>
                <m:sty m:val="p"/>
              </m:rPr>
              <m:t>v</m:t>
            </m:r>
          </m:sup>
        </m:sSubSup>
      </m:oMath>
      <w:r>
        <w:t xml:space="preserve"> </w:t>
      </w:r>
      <w:r>
        <w:rPr>
          <w:rFonts w:hint="eastAsia"/>
        </w:rPr>
        <w:t xml:space="preserve">为商业库存缓冲量。</w:t>
      </w:r>
    </w:p>
    <w:p>
      <w:pPr>
        <w:pStyle w:val="BodyText"/>
      </w:pPr>
      <w:r>
        <w:rPr>
          <w:rFonts w:hint="eastAsia"/>
        </w:rPr>
        <w:t xml:space="preserve">有效需求考虑价格弹性和观察到的需求收缩：</w:t>
      </w:r>
    </w:p>
    <w:p>
      <w:pPr>
        <w:pStyle w:val="BodyText"/>
      </w:pPr>
      <m:oMathPara>
        <m:oMathParaPr>
          <m:jc m:val="center"/>
        </m:oMathParaPr>
        <m:oMath>
          <m:sSub>
            <m:e>
              <m:r>
                <m:t>D</m:t>
              </m:r>
            </m:e>
            <m:sub>
              <m:r>
                <m:t>t</m:t>
              </m:r>
            </m:sub>
          </m:sSub>
          <m:r>
            <m:rPr>
              <m:sty m:val="p"/>
            </m:rPr>
            <m:t>=</m:t>
          </m:r>
          <m:sSub>
            <m:e>
              <m:r>
                <m:t>Q</m:t>
              </m:r>
            </m:e>
            <m:sub>
              <m:r>
                <m:t>0</m:t>
              </m:r>
            </m:sub>
          </m:sSub>
          <m:sSup>
            <m:e>
              <m:d>
                <m:dPr>
                  <m:begChr m:val="("/>
                  <m:sepChr m:val=""/>
                  <m:endChr m:val=")"/>
                  <m:grow/>
                </m:dPr>
                <m:e>
                  <m:f>
                    <m:fPr>
                      <m:type m:val="bar"/>
                    </m:fPr>
                    <m:num>
                      <m:sSub>
                        <m:e>
                          <m:r>
                            <m:t>P</m:t>
                          </m:r>
                        </m:e>
                        <m:sub>
                          <m:r>
                            <m:t>t</m:t>
                          </m:r>
                          <m:r>
                            <m:rPr>
                              <m:sty m:val="p"/>
                            </m:rPr>
                            <m:t>−</m:t>
                          </m:r>
                          <m:r>
                            <m:t>1</m:t>
                          </m:r>
                        </m:sub>
                      </m:sSub>
                    </m:num>
                    <m:den>
                      <m:sSub>
                        <m:e>
                          <m:r>
                            <m:t>P</m:t>
                          </m:r>
                        </m:e>
                        <m:sub>
                          <m:r>
                            <m:t>0</m:t>
                          </m:r>
                        </m:sub>
                      </m:sSub>
                    </m:den>
                  </m:f>
                </m:e>
              </m:d>
            </m:e>
            <m:sup>
              <m:sSub>
                <m:e>
                  <m:r>
                    <m:t>ε</m:t>
                  </m:r>
                </m:e>
                <m:sub>
                  <m:r>
                    <m:t>t</m:t>
                  </m:r>
                </m:sub>
              </m:sSub>
            </m:sup>
          </m:sSup>
          <m:r>
            <m:rPr>
              <m:sty m:val="p"/>
            </m:rPr>
            <m:t>−</m:t>
          </m:r>
          <m:sSub>
            <m:e>
              <m:r>
                <m:t>C</m:t>
              </m:r>
            </m:e>
            <m:sub>
              <m:r>
                <m:t>t</m:t>
              </m:r>
            </m:sub>
          </m:sSub>
          <m:r>
            <m:rPr>
              <m:sty m:val="p"/>
            </m:rPr>
            <m:t>,</m:t>
          </m:r>
        </m:oMath>
      </m:oMathPara>
    </w:p>
    <w:p>
      <w:pPr>
        <w:pStyle w:val="FirstParagraph"/>
      </w:pPr>
      <w:r>
        <w:rPr>
          <w:rFonts w:hint="eastAsia"/>
        </w:rPr>
        <w:t xml:space="preserve">其中</w:t>
      </w:r>
      <w:r>
        <w:t xml:space="preserve"> </w:t>
      </w:r>
      <m:oMath>
        <m:sSub>
          <m:e>
            <m:r>
              <m:t>ε</m:t>
            </m:r>
          </m:e>
          <m:sub>
            <m:r>
              <m:t>t</m:t>
            </m:r>
          </m:sub>
        </m:sSub>
      </m:oMath>
      <w:r>
        <w:t xml:space="preserve"> </w:t>
      </w:r>
      <w:r>
        <w:rPr>
          <w:rFonts w:hint="eastAsia"/>
        </w:rPr>
        <w:t xml:space="preserve">从短期低弹性逐步过渡到中长期弹性，</w:t>
      </w:r>
      <m:oMath>
        <m:sSub>
          <m:e>
            <m:r>
              <m:t>C</m:t>
            </m:r>
          </m:e>
          <m:sub>
            <m:r>
              <m:t>t</m:t>
            </m:r>
          </m:sub>
        </m:sSub>
      </m:oMath>
      <w:r>
        <w:t xml:space="preserve"> </w:t>
      </w:r>
      <w:r>
        <w:rPr>
          <w:rFonts w:hint="eastAsia"/>
        </w:rPr>
        <w:t xml:space="preserve">表示高油价和冲击持续下的需求收缩。</w:t>
      </w:r>
    </w:p>
    <w:p>
      <w:pPr>
        <w:pStyle w:val="BodyText"/>
      </w:pPr>
      <w:r>
        <w:rPr>
          <w:rFonts w:hint="eastAsia"/>
        </w:rPr>
        <w:t xml:space="preserve">剩余缺口为：</w:t>
      </w:r>
    </w:p>
    <w:p>
      <w:pPr>
        <w:pStyle w:val="BodyText"/>
      </w:pPr>
      <m:oMathPara>
        <m:oMathParaPr>
          <m:jc m:val="center"/>
        </m:oMathParaPr>
        <m:oMath>
          <m:sSub>
            <m:e>
              <m:r>
                <m:t>G</m:t>
              </m:r>
            </m:e>
            <m:sub>
              <m:r>
                <m:t>t</m:t>
              </m:r>
            </m:sub>
          </m:sSub>
          <m:r>
            <m:rPr>
              <m:sty m:val="p"/>
            </m:rPr>
            <m:t>=</m:t>
          </m:r>
          <m:r>
            <m:rPr>
              <m:sty m:val="p"/>
            </m:rPr>
            <m:t>max</m:t>
          </m:r>
          <m:r>
            <m:rPr>
              <m:sty m:val="p"/>
            </m:rPr>
            <m:t>(</m:t>
          </m:r>
          <m:sSub>
            <m:e>
              <m:r>
                <m:t>D</m:t>
              </m:r>
            </m:e>
            <m:sub>
              <m:r>
                <m:t>t</m:t>
              </m:r>
            </m:sub>
          </m:sSub>
          <m:r>
            <m:rPr>
              <m:sty m:val="p"/>
            </m:rPr>
            <m:t>−</m:t>
          </m:r>
          <m:sSub>
            <m:e>
              <m:r>
                <m:t>S</m:t>
              </m:r>
            </m:e>
            <m:sub>
              <m:r>
                <m:t>t</m:t>
              </m:r>
            </m:sub>
          </m:sSub>
          <m:r>
            <m:rPr>
              <m:sty m:val="p"/>
            </m:rPr>
            <m:t>,</m:t>
          </m:r>
          <m:r>
            <m:t>0</m:t>
          </m:r>
          <m:r>
            <m:rPr>
              <m:sty m:val="p"/>
            </m:rPr>
            <m:t>)</m:t>
          </m:r>
          <m:r>
            <m:rPr>
              <m:sty m:val="p"/>
            </m:rPr>
            <m:t>.</m:t>
          </m:r>
        </m:oMath>
      </m:oMathPara>
    </w:p>
    <w:bookmarkEnd w:id="21"/>
    <w:bookmarkStart w:id="22" w:name="价格递推方程"/>
    <w:p>
      <w:pPr>
        <w:pStyle w:val="Heading2"/>
      </w:pPr>
      <w:r>
        <w:rPr>
          <w:rFonts w:hint="eastAsia"/>
        </w:rPr>
        <w:t xml:space="preserve">价格递推方程</w:t>
      </w:r>
    </w:p>
    <w:p>
      <w:pPr>
        <w:pStyle w:val="FirstParagraph"/>
      </w:pPr>
      <w:r>
        <w:rPr>
          <w:rFonts w:hint="eastAsia"/>
        </w:rPr>
        <w:t xml:space="preserve">模型将第</w:t>
      </w:r>
      <w:r>
        <w:t xml:space="preserve"> </w:t>
      </w:r>
      <m:oMath>
        <m:r>
          <m:t>t</m:t>
        </m:r>
      </m:oMath>
      <w:r>
        <w:t xml:space="preserve"> </w:t>
      </w:r>
      <w:r>
        <w:rPr>
          <w:rFonts w:hint="eastAsia"/>
        </w:rPr>
        <w:t xml:space="preserve">日目标价格写为：</w:t>
      </w:r>
    </w:p>
    <w:p>
      <w:pPr>
        <w:pStyle w:val="BodyText"/>
      </w:pPr>
      <m:oMathPara>
        <m:oMathParaPr>
          <m:jc m:val="center"/>
        </m:oMathParaPr>
        <m:oMath>
          <m:sSubSup>
            <m:e>
              <m:r>
                <m:t>P</m:t>
              </m:r>
            </m:e>
            <m:sub>
              <m:r>
                <m:t>t</m:t>
              </m:r>
            </m:sub>
            <m:sup>
              <m:r>
                <m:rPr>
                  <m:sty m:val="p"/>
                </m:rPr>
                <m:t>*</m:t>
              </m:r>
            </m:sup>
          </m:sSubSup>
          <m:r>
            <m:rPr>
              <m:sty m:val="p"/>
            </m:rPr>
            <m:t>=</m:t>
          </m:r>
          <m:sSub>
            <m:e>
              <m:r>
                <m:t>P</m:t>
              </m:r>
            </m:e>
            <m:sub>
              <m:r>
                <m:t>0</m:t>
              </m:r>
            </m:sub>
          </m:sSub>
          <m:r>
            <m:rPr>
              <m:sty m:val="p"/>
            </m:rPr>
            <m:t>+</m:t>
          </m:r>
          <m:sSubSup>
            <m:e>
              <m:r>
                <m:rPr>
                  <m:sty m:val="p"/>
                </m:rPr>
                <m:t>Φ</m:t>
              </m:r>
            </m:e>
            <m:sub>
              <m:r>
                <m:t>t</m:t>
              </m:r>
            </m:sub>
            <m:sup>
              <m:r>
                <m:rPr>
                  <m:sty m:val="p"/>
                </m:rPr>
                <m:t>g</m:t>
              </m:r>
              <m:r>
                <m:rPr>
                  <m:sty m:val="p"/>
                </m:rPr>
                <m:t>a</m:t>
              </m:r>
              <m:r>
                <m:rPr>
                  <m:sty m:val="p"/>
                </m:rPr>
                <m:t>p</m:t>
              </m:r>
            </m:sup>
          </m:sSubSup>
          <m:r>
            <m:rPr>
              <m:sty m:val="p"/>
            </m:rPr>
            <m:t>+</m:t>
          </m:r>
          <m:sSubSup>
            <m:e>
              <m:r>
                <m:rPr>
                  <m:sty m:val="p"/>
                </m:rPr>
                <m:t>Φ</m:t>
              </m:r>
            </m:e>
            <m:sub>
              <m:r>
                <m:t>t</m:t>
              </m:r>
            </m:sub>
            <m:sup>
              <m:r>
                <m:rPr>
                  <m:sty m:val="p"/>
                </m:rPr>
                <m:t>r</m:t>
              </m:r>
              <m:r>
                <m:rPr>
                  <m:sty m:val="p"/>
                </m:rPr>
                <m:t>i</m:t>
              </m:r>
              <m:r>
                <m:rPr>
                  <m:sty m:val="p"/>
                </m:rPr>
                <m:t>s</m:t>
              </m:r>
              <m:r>
                <m:rPr>
                  <m:sty m:val="p"/>
                </m:rPr>
                <m:t>k</m:t>
              </m:r>
            </m:sup>
          </m:sSubSup>
          <m:r>
            <m:rPr>
              <m:sty m:val="p"/>
            </m:rPr>
            <m:t>+</m:t>
          </m:r>
          <m:sSubSup>
            <m:e>
              <m:r>
                <m:rPr>
                  <m:sty m:val="p"/>
                </m:rPr>
                <m:t>Φ</m:t>
              </m:r>
            </m:e>
            <m:sub>
              <m:r>
                <m:t>t</m:t>
              </m:r>
            </m:sub>
            <m:sup>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sup>
          </m:sSubSup>
          <m:r>
            <m:rPr>
              <m:sty m:val="p"/>
            </m:rPr>
            <m:t>+</m:t>
          </m:r>
          <m:sSubSup>
            <m:e>
              <m:r>
                <m:rPr>
                  <m:sty m:val="p"/>
                </m:rPr>
                <m:t>Φ</m:t>
              </m:r>
            </m:e>
            <m:sub>
              <m:r>
                <m:t>t</m:t>
              </m:r>
            </m:sub>
            <m:sup>
              <m:r>
                <m:rPr>
                  <m:sty m:val="p"/>
                </m:rPr>
                <m:t>p</m:t>
              </m:r>
              <m:r>
                <m:rPr>
                  <m:sty m:val="p"/>
                </m:rPr>
                <m:t>a</m:t>
              </m:r>
              <m:r>
                <m:rPr>
                  <m:sty m:val="p"/>
                </m:rPr>
                <m:t>n</m:t>
              </m:r>
              <m:r>
                <m:rPr>
                  <m:sty m:val="p"/>
                </m:rPr>
                <m:t>i</m:t>
              </m:r>
              <m:r>
                <m:rPr>
                  <m:sty m:val="p"/>
                </m:rPr>
                <m:t>c</m:t>
              </m:r>
            </m:sup>
          </m:sSubSup>
          <m:r>
            <m:rPr>
              <m:sty m:val="p"/>
            </m:rPr>
            <m:t>−</m:t>
          </m:r>
          <m:sSubSup>
            <m:e>
              <m:r>
                <m:rPr>
                  <m:sty m:val="p"/>
                </m:rPr>
                <m:t>Ψ</m:t>
              </m:r>
            </m:e>
            <m:sub>
              <m:r>
                <m:t>t</m:t>
              </m:r>
            </m:sub>
            <m:sup>
              <m:r>
                <m:rPr>
                  <m:sty m:val="p"/>
                </m:rPr>
                <m:t>b</m:t>
              </m:r>
              <m:r>
                <m:rPr>
                  <m:sty m:val="p"/>
                </m:rPr>
                <m:t>u</m:t>
              </m:r>
              <m:r>
                <m:rPr>
                  <m:sty m:val="p"/>
                </m:rPr>
                <m:t>f</m:t>
              </m:r>
              <m:r>
                <m:rPr>
                  <m:sty m:val="p"/>
                </m:rPr>
                <m:t>f</m:t>
              </m:r>
              <m:r>
                <m:rPr>
                  <m:sty m:val="p"/>
                </m:rPr>
                <m:t>e</m:t>
              </m:r>
              <m:r>
                <m:rPr>
                  <m:sty m:val="p"/>
                </m:rPr>
                <m:t>r</m:t>
              </m:r>
            </m:sup>
          </m:sSubSup>
          <m:r>
            <m:rPr>
              <m:sty m:val="p"/>
            </m:rPr>
            <m:t>−</m:t>
          </m:r>
          <m:sSubSup>
            <m:e>
              <m:r>
                <m:rPr>
                  <m:sty m:val="p"/>
                </m:rPr>
                <m:t>Ψ</m:t>
              </m:r>
            </m:e>
            <m:sub>
              <m:r>
                <m:t>t</m:t>
              </m:r>
            </m:sub>
            <m:sup>
              <m:r>
                <m:rPr>
                  <m:sty m:val="p"/>
                </m:rPr>
                <m:t>r</m:t>
              </m:r>
              <m:r>
                <m:rPr>
                  <m:sty m:val="p"/>
                </m:rPr>
                <m:t>e</m:t>
              </m:r>
              <m:r>
                <m:rPr>
                  <m:sty m:val="p"/>
                </m:rPr>
                <m:t>l</m:t>
              </m:r>
              <m:r>
                <m:rPr>
                  <m:sty m:val="p"/>
                </m:rPr>
                <m:t>i</m:t>
              </m:r>
              <m:r>
                <m:rPr>
                  <m:sty m:val="p"/>
                </m:rPr>
                <m:t>e</m:t>
              </m:r>
              <m:r>
                <m:rPr>
                  <m:sty m:val="p"/>
                </m:rPr>
                <m:t>f</m:t>
              </m:r>
            </m:sup>
          </m:sSubSup>
          <m:r>
            <m:rPr>
              <m:sty m:val="p"/>
            </m:rPr>
            <m:t>.</m:t>
          </m:r>
        </m:oMath>
      </m:oMathPara>
    </w:p>
    <w:p>
      <w:pPr>
        <w:pStyle w:val="FirstParagraph"/>
      </w:pPr>
      <w:r>
        <w:rPr>
          <w:rFonts w:hint="eastAsia"/>
        </w:rPr>
        <w:t xml:space="preserve">其中，供需缺口压力项为：</w:t>
      </w:r>
    </w:p>
    <w:p>
      <w:pPr>
        <w:pStyle w:val="BodyText"/>
      </w:pPr>
      <m:oMathPara>
        <m:oMathParaPr>
          <m:jc m:val="center"/>
        </m:oMathParaPr>
        <m:oMath>
          <m:sSubSup>
            <m:e>
              <m:r>
                <m:rPr>
                  <m:sty m:val="p"/>
                </m:rPr>
                <m:t>Φ</m:t>
              </m:r>
            </m:e>
            <m:sub>
              <m:r>
                <m:t>t</m:t>
              </m:r>
            </m:sub>
            <m:sup>
              <m:r>
                <m:rPr>
                  <m:sty m:val="p"/>
                </m:rPr>
                <m:t>g</m:t>
              </m:r>
              <m:r>
                <m:rPr>
                  <m:sty m:val="p"/>
                </m:rPr>
                <m:t>a</m:t>
              </m:r>
              <m:r>
                <m:rPr>
                  <m:sty m:val="p"/>
                </m:rPr>
                <m:t>p</m:t>
              </m:r>
            </m:sup>
          </m:sSubSup>
          <m:r>
            <m:rPr>
              <m:sty m:val="p"/>
            </m:rPr>
            <m:t>=</m:t>
          </m:r>
          <m:sSub>
            <m:e>
              <m:r>
                <m:t>P</m:t>
              </m:r>
            </m:e>
            <m:sub>
              <m:r>
                <m:t>0</m:t>
              </m:r>
            </m:sub>
          </m:sSub>
          <m:r>
            <m:t>α</m:t>
          </m:r>
          <m:f>
            <m:fPr>
              <m:type m:val="bar"/>
            </m:fPr>
            <m:num>
              <m:sSub>
                <m:e>
                  <m:r>
                    <m:t>G</m:t>
                  </m:r>
                </m:e>
                <m:sub>
                  <m:r>
                    <m:t>t</m:t>
                  </m:r>
                </m:sub>
              </m:sSub>
              <m:r>
                <m:rPr>
                  <m:sty m:val="p"/>
                </m:rPr>
                <m:t>/</m:t>
              </m:r>
              <m:sSub>
                <m:e>
                  <m:r>
                    <m:t>Q</m:t>
                  </m:r>
                </m:e>
                <m:sub>
                  <m:r>
                    <m:t>0</m:t>
                  </m:r>
                </m:sub>
              </m:sSub>
            </m:num>
            <m:den>
              <m:r>
                <m:rPr>
                  <m:sty m:val="p"/>
                </m:rPr>
                <m:t>|</m:t>
              </m:r>
              <m:sSub>
                <m:e>
                  <m:r>
                    <m:t>ε</m:t>
                  </m:r>
                </m:e>
                <m:sub>
                  <m:r>
                    <m:t>t</m:t>
                  </m:r>
                </m:sub>
              </m:sSub>
              <m:r>
                <m:rPr>
                  <m:sty m:val="p"/>
                </m:rPr>
                <m:t>|</m:t>
              </m:r>
            </m:den>
          </m:f>
          <m:r>
            <m:rPr>
              <m:sty m:val="p"/>
            </m:rPr>
            <m:t>,</m:t>
          </m:r>
        </m:oMath>
      </m:oMathPara>
    </w:p>
    <w:p>
      <w:pPr>
        <w:pStyle w:val="FirstParagraph"/>
      </w:pPr>
      <m:oMath>
        <m:r>
          <m:t>α</m:t>
        </m:r>
      </m:oMath>
      <w:r>
        <w:t xml:space="preserve"> </w:t>
      </w:r>
      <w:r>
        <w:rPr>
          <w:rFonts w:hint="eastAsia"/>
        </w:rPr>
        <w:t xml:space="preserve">为供需缺口压力系数。地缘风险溢价采用先上升后缓慢衰减的形式：</w:t>
      </w:r>
    </w:p>
    <w:p>
      <w:pPr>
        <w:pStyle w:val="BodyText"/>
      </w:pPr>
      <m:oMathPara>
        <m:oMathParaPr>
          <m:jc m:val="center"/>
        </m:oMathParaPr>
        <m:oMath>
          <m:sSubSup>
            <m:e>
              <m:r>
                <m:rPr>
                  <m:sty m:val="p"/>
                </m:rPr>
                <m:t>Φ</m:t>
              </m:r>
            </m:e>
            <m:sub>
              <m:r>
                <m:t>t</m:t>
              </m:r>
            </m:sub>
            <m:sup>
              <m:r>
                <m:rPr>
                  <m:sty m:val="p"/>
                </m:rPr>
                <m:t>r</m:t>
              </m:r>
              <m:r>
                <m:rPr>
                  <m:sty m:val="p"/>
                </m:rPr>
                <m:t>i</m:t>
              </m:r>
              <m:r>
                <m:rPr>
                  <m:sty m:val="p"/>
                </m:rPr>
                <m:t>s</m:t>
              </m:r>
              <m:r>
                <m:rPr>
                  <m:sty m:val="p"/>
                </m:rPr>
                <m:t>k</m:t>
              </m:r>
            </m:sup>
          </m:sSubSup>
          <m:r>
            <m:rPr>
              <m:sty m:val="p"/>
            </m:rPr>
            <m:t>=</m:t>
          </m:r>
          <m:sSub>
            <m:e>
              <m:r>
                <m:t>P</m:t>
              </m:r>
            </m:e>
            <m:sub>
              <m:r>
                <m:t>0</m:t>
              </m:r>
            </m:sub>
          </m:sSub>
          <m:r>
            <m:t>β</m:t>
          </m:r>
          <m:f>
            <m:fPr>
              <m:type m:val="bar"/>
            </m:fPr>
            <m:num>
              <m:r>
                <m:t>I</m:t>
              </m:r>
            </m:num>
            <m:den>
              <m:sSub>
                <m:e>
                  <m:r>
                    <m:t>Q</m:t>
                  </m:r>
                </m:e>
                <m:sub>
                  <m:r>
                    <m:t>0</m:t>
                  </m:r>
                </m:sub>
              </m:sSub>
            </m:den>
          </m:f>
          <m:d>
            <m:dPr>
              <m:begChr m:val="("/>
              <m:sepChr m:val=""/>
              <m:endChr m:val=")"/>
              <m:grow/>
            </m:dPr>
            <m:e>
              <m:r>
                <m:t>1</m:t>
              </m:r>
              <m:r>
                <m:rPr>
                  <m:sty m:val="p"/>
                </m:rPr>
                <m:t>−</m:t>
              </m:r>
              <m:sSup>
                <m:e>
                  <m:r>
                    <m:t>e</m:t>
                  </m:r>
                </m:e>
                <m:sup>
                  <m:r>
                    <m:rPr>
                      <m:sty m:val="p"/>
                    </m:rPr>
                    <m:t>−</m:t>
                  </m:r>
                  <m:r>
                    <m:t>t</m:t>
                  </m:r>
                  <m:r>
                    <m:rPr>
                      <m:sty m:val="p"/>
                    </m:rPr>
                    <m:t>/</m:t>
                  </m:r>
                  <m:r>
                    <m:t>7</m:t>
                  </m:r>
                </m:sup>
              </m:sSup>
            </m:e>
          </m:d>
          <m:sSup>
            <m:e>
              <m:r>
                <m:t>e</m:t>
              </m:r>
            </m:e>
            <m:sup>
              <m:r>
                <m:rPr>
                  <m:sty m:val="p"/>
                </m:rPr>
                <m:t>−</m:t>
              </m:r>
              <m:r>
                <m:t>λ</m:t>
              </m:r>
              <m:r>
                <m:t>t</m:t>
              </m:r>
            </m:sup>
          </m:sSup>
          <m:r>
            <m:rPr>
              <m:sty m:val="p"/>
            </m:rPr>
            <m:t>.</m:t>
          </m:r>
        </m:oMath>
      </m:oMathPara>
    </w:p>
    <w:p>
      <w:pPr>
        <w:pStyle w:val="FirstParagraph"/>
      </w:pPr>
      <w:r>
        <w:rPr>
          <w:rFonts w:hint="eastAsia"/>
        </w:rPr>
        <w:t xml:space="preserve">恐慌溢价由指数衰减的情绪因子表示：</w:t>
      </w:r>
    </w:p>
    <w:p>
      <w:pPr>
        <w:pStyle w:val="BodyText"/>
      </w:pPr>
      <m:oMathPara>
        <m:oMathParaPr>
          <m:jc m:val="center"/>
        </m:oMathParaPr>
        <m:oMath>
          <m:sSubSup>
            <m:e>
              <m:r>
                <m:rPr>
                  <m:sty m:val="p"/>
                </m:rPr>
                <m:t>Φ</m:t>
              </m:r>
            </m:e>
            <m:sub>
              <m:r>
                <m:t>t</m:t>
              </m:r>
            </m:sub>
            <m:sup>
              <m:r>
                <m:rPr>
                  <m:sty m:val="p"/>
                </m:rPr>
                <m:t>p</m:t>
              </m:r>
              <m:r>
                <m:rPr>
                  <m:sty m:val="p"/>
                </m:rPr>
                <m:t>a</m:t>
              </m:r>
              <m:r>
                <m:rPr>
                  <m:sty m:val="p"/>
                </m:rPr>
                <m:t>n</m:t>
              </m:r>
              <m:r>
                <m:rPr>
                  <m:sty m:val="p"/>
                </m:rPr>
                <m:t>i</m:t>
              </m:r>
              <m:r>
                <m:rPr>
                  <m:sty m:val="p"/>
                </m:rPr>
                <m:t>c</m:t>
              </m:r>
            </m:sup>
          </m:sSubSup>
          <m:r>
            <m:rPr>
              <m:sty m:val="p"/>
            </m:rPr>
            <m:t>=</m:t>
          </m:r>
          <m:r>
            <m:t>0.45</m:t>
          </m:r>
          <m:sSub>
            <m:e>
              <m:r>
                <m:t>P</m:t>
              </m:r>
            </m:e>
            <m:sub>
              <m:r>
                <m:t>0</m:t>
              </m:r>
            </m:sub>
          </m:sSub>
          <m:sSub>
            <m:e>
              <m:r>
                <m:t>f</m:t>
              </m:r>
            </m:e>
            <m:sub>
              <m:r>
                <m:t>0</m:t>
              </m:r>
            </m:sub>
          </m:sSub>
          <m:sSup>
            <m:e>
              <m:r>
                <m:t>e</m:t>
              </m:r>
            </m:e>
            <m:sup>
              <m:r>
                <m:rPr>
                  <m:sty m:val="p"/>
                </m:rPr>
                <m:t>−</m:t>
              </m:r>
              <m:r>
                <m:t>ρ</m:t>
              </m:r>
              <m:r>
                <m:t>t</m:t>
              </m:r>
            </m:sup>
          </m:sSup>
          <m:r>
            <m:rPr>
              <m:sty m:val="p"/>
            </m:rPr>
            <m:t>.</m:t>
          </m:r>
        </m:oMath>
      </m:oMathPara>
    </w:p>
    <w:p>
      <w:pPr>
        <w:pStyle w:val="FirstParagraph"/>
      </w:pPr>
      <w:r>
        <w:rPr>
          <w:rFonts w:hint="eastAsia"/>
        </w:rPr>
        <w:t xml:space="preserve">为了刻画市场看到缓冲机制生效后的再定价过程，本文加入两类折价项。第一类为缓冲确认折价：</w:t>
      </w:r>
    </w:p>
    <w:p>
      <w:pPr>
        <w:pStyle w:val="BodyText"/>
      </w:pPr>
      <m:oMathPara>
        <m:oMathParaPr>
          <m:jc m:val="center"/>
        </m:oMathParaPr>
        <m:oMath>
          <m:sSubSup>
            <m:e>
              <m:r>
                <m:rPr>
                  <m:sty m:val="p"/>
                </m:rPr>
                <m:t>Ψ</m:t>
              </m:r>
            </m:e>
            <m:sub>
              <m:r>
                <m:t>t</m:t>
              </m:r>
            </m:sub>
            <m:sup>
              <m:r>
                <m:rPr>
                  <m:sty m:val="p"/>
                </m:rPr>
                <m:t>b</m:t>
              </m:r>
              <m:r>
                <m:rPr>
                  <m:sty m:val="p"/>
                </m:rPr>
                <m:t>u</m:t>
              </m:r>
              <m:r>
                <m:rPr>
                  <m:sty m:val="p"/>
                </m:rPr>
                <m:t>f</m:t>
              </m:r>
              <m:r>
                <m:rPr>
                  <m:sty m:val="p"/>
                </m:rPr>
                <m:t>f</m:t>
              </m:r>
              <m:r>
                <m:rPr>
                  <m:sty m:val="p"/>
                </m:rPr>
                <m:t>e</m:t>
              </m:r>
              <m:r>
                <m:rPr>
                  <m:sty m:val="p"/>
                </m:rPr>
                <m:t>r</m:t>
              </m:r>
            </m:sup>
          </m:sSubSup>
          <m:r>
            <m:rPr>
              <m:sty m:val="p"/>
            </m:rPr>
            <m:t>=</m:t>
          </m:r>
          <m:sSub>
            <m:e>
              <m:r>
                <m:t>P</m:t>
              </m:r>
            </m:e>
            <m:sub>
              <m:r>
                <m:t>0</m:t>
              </m:r>
            </m:sub>
          </m:sSub>
          <m:r>
            <m:t>η</m:t>
          </m:r>
          <m:d>
            <m:dPr>
              <m:begChr m:val="("/>
              <m:sepChr m:val=""/>
              <m:endChr m:val=")"/>
              <m:grow/>
            </m:dPr>
            <m:e>
              <m:r>
                <m:t>1</m:t>
              </m:r>
              <m:r>
                <m:rPr>
                  <m:sty m:val="p"/>
                </m:rPr>
                <m:t>−</m:t>
              </m:r>
              <m:sSup>
                <m:e>
                  <m:r>
                    <m:t>e</m:t>
                  </m:r>
                </m:e>
                <m:sup>
                  <m:r>
                    <m:rPr>
                      <m:sty m:val="p"/>
                    </m:rPr>
                    <m:t>−</m:t>
                  </m:r>
                  <m:r>
                    <m:rPr>
                      <m:sty m:val="p"/>
                    </m:rPr>
                    <m:t>(</m:t>
                  </m:r>
                  <m:r>
                    <m:t>t</m:t>
                  </m:r>
                  <m:r>
                    <m:rPr>
                      <m:sty m:val="p"/>
                    </m:rPr>
                    <m:t>−</m:t>
                  </m:r>
                  <m:sSub>
                    <m:e>
                      <m:r>
                        <m:t>τ</m:t>
                      </m:r>
                    </m:e>
                    <m:sub>
                      <m:r>
                        <m:t>b</m:t>
                      </m:r>
                    </m:sub>
                  </m:sSub>
                  <m:r>
                    <m:rPr>
                      <m:sty m:val="p"/>
                    </m:rPr>
                    <m:t>)</m:t>
                  </m:r>
                  <m:r>
                    <m:rPr>
                      <m:sty m:val="p"/>
                    </m:rPr>
                    <m:t>/</m:t>
                  </m:r>
                  <m:r>
                    <m:t>3</m:t>
                  </m:r>
                </m:sup>
              </m:sSup>
            </m:e>
          </m:d>
          <m:sSup>
            <m:e>
              <m:r>
                <m:t>e</m:t>
              </m:r>
            </m:e>
            <m:sup>
              <m:r>
                <m:rPr>
                  <m:sty m:val="p"/>
                </m:rPr>
                <m:t>−</m:t>
              </m:r>
              <m:r>
                <m:rPr>
                  <m:sty m:val="p"/>
                </m:rPr>
                <m:t>(</m:t>
              </m:r>
              <m:r>
                <m:t>t</m:t>
              </m:r>
              <m:r>
                <m:rPr>
                  <m:sty m:val="p"/>
                </m:rPr>
                <m:t>−</m:t>
              </m:r>
              <m:sSub>
                <m:e>
                  <m:r>
                    <m:t>τ</m:t>
                  </m:r>
                </m:e>
                <m:sub>
                  <m:r>
                    <m:t>b</m:t>
                  </m:r>
                </m:sub>
              </m:sSub>
              <m:r>
                <m:rPr>
                  <m:sty m:val="p"/>
                </m:rPr>
                <m:t>)</m:t>
              </m:r>
              <m:r>
                <m:rPr>
                  <m:sty m:val="p"/>
                </m:rPr>
                <m:t>/</m:t>
              </m:r>
              <m:sSub>
                <m:e>
                  <m:r>
                    <m:t>d</m:t>
                  </m:r>
                </m:e>
                <m:sub>
                  <m:r>
                    <m:t>b</m:t>
                  </m:r>
                </m:sub>
              </m:sSub>
            </m:sup>
          </m:sSup>
          <m:r>
            <m:rPr>
              <m:sty m:val="p"/>
            </m:rPr>
            <m:t>,</m:t>
          </m:r>
          <m:r>
            <m:t> </m:t>
          </m:r>
          <m:r>
            <m:t>t</m:t>
          </m:r>
          <m:r>
            <m:rPr>
              <m:sty m:val="p"/>
            </m:rPr>
            <m:t>≥</m:t>
          </m:r>
          <m:sSub>
            <m:e>
              <m:r>
                <m:t>τ</m:t>
              </m:r>
            </m:e>
            <m:sub>
              <m:r>
                <m:t>b</m:t>
              </m:r>
            </m:sub>
          </m:sSub>
          <m:r>
            <m:rPr>
              <m:sty m:val="p"/>
            </m:rPr>
            <m:t>.</m:t>
          </m:r>
        </m:oMath>
      </m:oMathPara>
    </w:p>
    <w:p>
      <w:pPr>
        <w:pStyle w:val="FirstParagraph"/>
      </w:pPr>
      <w:r>
        <w:rPr>
          <w:rFonts w:hint="eastAsia"/>
        </w:rPr>
        <w:t xml:space="preserve">第二类为预期修复折价：</w:t>
      </w:r>
    </w:p>
    <w:p>
      <w:pPr>
        <w:pStyle w:val="BodyText"/>
      </w:pPr>
      <m:oMathPara>
        <m:oMathParaPr>
          <m:jc m:val="center"/>
        </m:oMathParaPr>
        <m:oMath>
          <m:sSubSup>
            <m:e>
              <m:r>
                <m:rPr>
                  <m:sty m:val="p"/>
                </m:rPr>
                <m:t>Ψ</m:t>
              </m:r>
            </m:e>
            <m:sub>
              <m:r>
                <m:t>t</m:t>
              </m:r>
            </m:sub>
            <m:sup>
              <m:r>
                <m:rPr>
                  <m:sty m:val="p"/>
                </m:rPr>
                <m:t>r</m:t>
              </m:r>
              <m:r>
                <m:rPr>
                  <m:sty m:val="p"/>
                </m:rPr>
                <m:t>e</m:t>
              </m:r>
              <m:r>
                <m:rPr>
                  <m:sty m:val="p"/>
                </m:rPr>
                <m:t>l</m:t>
              </m:r>
              <m:r>
                <m:rPr>
                  <m:sty m:val="p"/>
                </m:rPr>
                <m:t>i</m:t>
              </m:r>
              <m:r>
                <m:rPr>
                  <m:sty m:val="p"/>
                </m:rPr>
                <m:t>e</m:t>
              </m:r>
              <m:r>
                <m:rPr>
                  <m:sty m:val="p"/>
                </m:rPr>
                <m:t>f</m:t>
              </m:r>
            </m:sup>
          </m:sSubSup>
          <m:r>
            <m:rPr>
              <m:sty m:val="p"/>
            </m:rPr>
            <m:t>=</m:t>
          </m:r>
          <m:sSub>
            <m:e>
              <m:r>
                <m:t>P</m:t>
              </m:r>
            </m:e>
            <m:sub>
              <m:r>
                <m:t>0</m:t>
              </m:r>
            </m:sub>
          </m:sSub>
          <m:r>
            <m:t>θ</m:t>
          </m:r>
          <m:r>
            <m:rPr>
              <m:sty m:val="p"/>
            </m:rPr>
            <m:t>min</m:t>
          </m:r>
          <m:d>
            <m:dPr>
              <m:begChr m:val="("/>
              <m:sepChr m:val=""/>
              <m:endChr m:val=")"/>
              <m:grow/>
            </m:dPr>
            <m:e>
              <m:f>
                <m:fPr>
                  <m:type m:val="bar"/>
                </m:fPr>
                <m:num>
                  <m:r>
                    <m:t>t</m:t>
                  </m:r>
                  <m:r>
                    <m:rPr>
                      <m:sty m:val="p"/>
                    </m:rPr>
                    <m:t>−</m:t>
                  </m:r>
                  <m:sSub>
                    <m:e>
                      <m:r>
                        <m:t>τ</m:t>
                      </m:r>
                    </m:e>
                    <m:sub>
                      <m:r>
                        <m:t>s</m:t>
                      </m:r>
                    </m:sub>
                  </m:sSub>
                </m:num>
                <m:den>
                  <m:sSub>
                    <m:e>
                      <m:r>
                        <m:t>τ</m:t>
                      </m:r>
                    </m:e>
                    <m:sub>
                      <m:r>
                        <m:t>p</m:t>
                      </m:r>
                    </m:sub>
                  </m:sSub>
                  <m:r>
                    <m:rPr>
                      <m:sty m:val="p"/>
                    </m:rPr>
                    <m:t>−</m:t>
                  </m:r>
                  <m:sSub>
                    <m:e>
                      <m:r>
                        <m:t>τ</m:t>
                      </m:r>
                    </m:e>
                    <m:sub>
                      <m:r>
                        <m:t>s</m:t>
                      </m:r>
                    </m:sub>
                  </m:sSub>
                </m:den>
              </m:f>
              <m:r>
                <m:rPr>
                  <m:sty m:val="p"/>
                </m:rPr>
                <m:t>,</m:t>
              </m:r>
              <m:r>
                <m:t>1</m:t>
              </m:r>
            </m:e>
          </m:d>
          <m:sSup>
            <m:e>
              <m:r>
                <m:t>e</m:t>
              </m:r>
            </m:e>
            <m:sup>
              <m:r>
                <m:rPr>
                  <m:sty m:val="p"/>
                </m:rPr>
                <m:t>−</m:t>
              </m:r>
              <m:r>
                <m:rPr>
                  <m:sty m:val="p"/>
                </m:rPr>
                <m:t>max</m:t>
              </m:r>
              <m:r>
                <m:rPr>
                  <m:sty m:val="p"/>
                </m:rPr>
                <m:t>(</m:t>
              </m:r>
              <m:r>
                <m:t>t</m:t>
              </m:r>
              <m:r>
                <m:rPr>
                  <m:sty m:val="p"/>
                </m:rPr>
                <m:t>−</m:t>
              </m:r>
              <m:sSub>
                <m:e>
                  <m:r>
                    <m:t>τ</m:t>
                  </m:r>
                </m:e>
                <m:sub>
                  <m:r>
                    <m:t>p</m:t>
                  </m:r>
                </m:sub>
              </m:sSub>
              <m:r>
                <m:rPr>
                  <m:sty m:val="p"/>
                </m:rPr>
                <m:t>,</m:t>
              </m:r>
              <m:r>
                <m:t>0</m:t>
              </m:r>
              <m:r>
                <m:rPr>
                  <m:sty m:val="p"/>
                </m:rPr>
                <m:t>)</m:t>
              </m:r>
              <m:r>
                <m:rPr>
                  <m:sty m:val="p"/>
                </m:rPr>
                <m:t>/</m:t>
              </m:r>
              <m:sSub>
                <m:e>
                  <m:r>
                    <m:t>d</m:t>
                  </m:r>
                </m:e>
                <m:sub>
                  <m:r>
                    <m:t>r</m:t>
                  </m:r>
                </m:sub>
              </m:sSub>
            </m:sup>
          </m:sSup>
          <m:r>
            <m:rPr>
              <m:sty m:val="p"/>
            </m:rPr>
            <m:t>,</m:t>
          </m:r>
          <m:r>
            <m:t> </m:t>
          </m:r>
          <m:r>
            <m:t>t</m:t>
          </m:r>
          <m:r>
            <m:rPr>
              <m:sty m:val="p"/>
            </m:rPr>
            <m:t>≥</m:t>
          </m:r>
          <m:sSub>
            <m:e>
              <m:r>
                <m:t>τ</m:t>
              </m:r>
            </m:e>
            <m:sub>
              <m:r>
                <m:t>s</m:t>
              </m:r>
            </m:sub>
          </m:sSub>
          <m:r>
            <m:rPr>
              <m:sty m:val="p"/>
            </m:rPr>
            <m:t>.</m:t>
          </m:r>
        </m:oMath>
      </m:oMathPara>
    </w:p>
    <w:p>
      <w:pPr>
        <w:pStyle w:val="FirstParagraph"/>
      </w:pPr>
      <w:r>
        <w:rPr>
          <w:rFonts w:hint="eastAsia"/>
        </w:rPr>
        <w:t xml:space="preserve">最终模拟价格按照部分调整机制递推：</w:t>
      </w:r>
    </w:p>
    <w:p>
      <w:pPr>
        <w:pStyle w:val="BodyText"/>
      </w:pPr>
      <m:oMathPara>
        <m:oMathParaPr>
          <m:jc m:val="center"/>
        </m:oMathParaPr>
        <m:oMath>
          <m:sSub>
            <m:e>
              <m:r>
                <m:t>P</m:t>
              </m:r>
            </m:e>
            <m:sub>
              <m:r>
                <m:t>t</m:t>
              </m:r>
            </m:sub>
          </m:sSub>
          <m:r>
            <m:rPr>
              <m:sty m:val="p"/>
            </m:rPr>
            <m:t>=</m:t>
          </m:r>
          <m:sSub>
            <m:e>
              <m:r>
                <m:t>P</m:t>
              </m:r>
            </m:e>
            <m:sub>
              <m:r>
                <m:t>t</m:t>
              </m:r>
              <m:r>
                <m:rPr>
                  <m:sty m:val="p"/>
                </m:rPr>
                <m:t>−</m:t>
              </m:r>
              <m:r>
                <m:t>1</m:t>
              </m:r>
            </m:sub>
          </m:sSub>
          <m:r>
            <m:rPr>
              <m:sty m:val="p"/>
            </m:rPr>
            <m:t>+</m:t>
          </m:r>
          <m:r>
            <m:t>v</m:t>
          </m:r>
          <m:r>
            <m:rPr>
              <m:sty m:val="p"/>
            </m:rPr>
            <m:t>(</m:t>
          </m:r>
          <m:sSubSup>
            <m:e>
              <m:r>
                <m:t>P</m:t>
              </m:r>
            </m:e>
            <m:sub>
              <m:r>
                <m:t>t</m:t>
              </m:r>
            </m:sub>
            <m:sup>
              <m:r>
                <m:rPr>
                  <m:sty m:val="p"/>
                </m:rPr>
                <m:t>*</m:t>
              </m:r>
            </m:sup>
          </m:sSubSup>
          <m:r>
            <m:rPr>
              <m:sty m:val="p"/>
            </m:rPr>
            <m:t>−</m:t>
          </m:r>
          <m:sSub>
            <m:e>
              <m:r>
                <m:t>P</m:t>
              </m:r>
            </m:e>
            <m:sub>
              <m:r>
                <m:t>t</m:t>
              </m:r>
              <m:r>
                <m:rPr>
                  <m:sty m:val="p"/>
                </m:rPr>
                <m:t>−</m:t>
              </m:r>
              <m:r>
                <m:t>1</m:t>
              </m:r>
            </m:sub>
          </m:sSub>
          <m:r>
            <m:rPr>
              <m:sty m:val="p"/>
            </m:rPr>
            <m:t>)</m:t>
          </m:r>
          <m:r>
            <m:rPr>
              <m:sty m:val="p"/>
            </m:rPr>
            <m:t>,</m:t>
          </m:r>
        </m:oMath>
      </m:oMathPara>
    </w:p>
    <w:p>
      <w:pPr>
        <w:pStyle w:val="FirstParagraph"/>
      </w:pPr>
      <w:r>
        <w:rPr>
          <w:rFonts w:hint="eastAsia"/>
        </w:rPr>
        <w:t xml:space="preserve">其中</w:t>
      </w:r>
      <w:r>
        <w:t xml:space="preserve"> </w:t>
      </w:r>
      <m:oMath>
        <m:r>
          <m:t>v</m:t>
        </m:r>
      </m:oMath>
      <w:r>
        <w:t xml:space="preserve"> </w:t>
      </w:r>
      <w:r>
        <w:rPr>
          <w:rFonts w:hint="eastAsia"/>
        </w:rPr>
        <w:t xml:space="preserve">为价格向目标价格调整的速度。</w:t>
      </w:r>
    </w:p>
    <w:bookmarkEnd w:id="22"/>
    <w:bookmarkEnd w:id="23"/>
    <w:bookmarkStart w:id="26" w:name="参数校准与评价指标"/>
    <w:p>
      <w:pPr>
        <w:pStyle w:val="Heading1"/>
      </w:pPr>
      <w:r>
        <w:rPr>
          <w:rFonts w:hint="eastAsia"/>
        </w:rPr>
        <w:t xml:space="preserve">参数校准与评价指标</w:t>
      </w:r>
    </w:p>
    <w:bookmarkStart w:id="24" w:name="多目标校准"/>
    <w:p>
      <w:pPr>
        <w:pStyle w:val="Heading2"/>
      </w:pPr>
      <w:r>
        <w:rPr>
          <w:rFonts w:hint="eastAsia"/>
        </w:rPr>
        <w:t xml:space="preserve">多目标校准</w:t>
      </w:r>
    </w:p>
    <w:p>
      <w:pPr>
        <w:pStyle w:val="FirstParagraph"/>
      </w:pPr>
      <w:r>
        <w:rPr>
          <w:rFonts w:hint="eastAsia"/>
        </w:rPr>
        <w:t xml:space="preserve">为避免模型只追求整体</w:t>
      </w:r>
      <w:r>
        <w:t xml:space="preserve"> RMSE </w:t>
      </w:r>
      <w:r>
        <w:rPr>
          <w:rFonts w:hint="eastAsia"/>
        </w:rPr>
        <w:t xml:space="preserve">而牺牲峰值、末日价格或分段解释能力，本文采用多目标校准函数：</w:t>
      </w:r>
    </w:p>
    <w:p>
      <w:pPr>
        <w:pStyle w:val="BodyText"/>
      </w:pPr>
      <m:oMathPara>
        <m:oMathParaPr>
          <m:jc m:val="center"/>
        </m:oMathParaPr>
        <m:oMath>
          <m:m>
            <m:mPr>
              <m:baseJc m:val="center"/>
              <m:plcHide m:val="on"/>
              <m:mcs>
                <m:mc>
                  <m:mcPr>
                    <m:mcJc m:val="center"/>
                    <m:count m:val="1"/>
                  </m:mcPr>
                </m:mc>
              </m:mcs>
            </m:mPr>
            <m:mr>
              <m:e>
                <m:r>
                  <m:rPr>
                    <m:scr m:val="script"/>
                    <m:sty m:val="p"/>
                  </m:rPr>
                  <m:t>L</m:t>
                </m:r>
                <m:r>
                  <m:rPr>
                    <m:sty m:val="p"/>
                  </m:rPr>
                  <m:t>=</m:t>
                </m:r>
                <m:r>
                  <m:rPr>
                    <m:sty m:val="p"/>
                  </m:rPr>
                  <m:t>RMSE</m:t>
                </m:r>
                <m:r>
                  <m:rPr>
                    <m:sty m:val="p"/>
                  </m:rPr>
                  <m:t>+</m:t>
                </m:r>
                <m:r>
                  <m:t>0.20</m:t>
                </m:r>
                <m:r>
                  <m:rPr>
                    <m:sty m:val="p"/>
                  </m:rPr>
                  <m:t>|</m:t>
                </m:r>
                <m:r>
                  <m:rPr>
                    <m:sty m:val="p"/>
                  </m:rPr>
                  <m:t>Δ</m:t>
                </m:r>
                <m:sSub>
                  <m:e>
                    <m:r>
                      <m:t>P</m:t>
                    </m:r>
                  </m:e>
                  <m:sub>
                    <m:r>
                      <m:rPr>
                        <m:sty m:val="p"/>
                      </m:rPr>
                      <m:t>p</m:t>
                    </m:r>
                    <m:r>
                      <m:rPr>
                        <m:sty m:val="p"/>
                      </m:rPr>
                      <m:t>e</m:t>
                    </m:r>
                    <m:r>
                      <m:rPr>
                        <m:sty m:val="p"/>
                      </m:rPr>
                      <m:t>a</m:t>
                    </m:r>
                    <m:r>
                      <m:rPr>
                        <m:sty m:val="p"/>
                      </m:rPr>
                      <m:t>k</m:t>
                    </m:r>
                  </m:sub>
                </m:sSub>
                <m:r>
                  <m:rPr>
                    <m:sty m:val="p"/>
                  </m:rPr>
                  <m:t>|</m:t>
                </m:r>
                <m:r>
                  <m:rPr>
                    <m:sty m:val="p"/>
                  </m:rPr>
                  <m:t>+</m:t>
                </m:r>
                <m:r>
                  <m:t>0.25</m:t>
                </m:r>
                <m:r>
                  <m:rPr>
                    <m:sty m:val="p"/>
                  </m:rPr>
                  <m:t>|</m:t>
                </m:r>
                <m:r>
                  <m:rPr>
                    <m:sty m:val="p"/>
                  </m:rPr>
                  <m:t>Δ</m:t>
                </m:r>
                <m:sSub>
                  <m:e>
                    <m:r>
                      <m:t>P</m:t>
                    </m:r>
                  </m:e>
                  <m:sub>
                    <m:r>
                      <m:rPr>
                        <m:sty m:val="p"/>
                      </m:rPr>
                      <m:t>f</m:t>
                    </m:r>
                    <m:r>
                      <m:rPr>
                        <m:sty m:val="p"/>
                      </m:rPr>
                      <m:t>i</m:t>
                    </m:r>
                    <m:r>
                      <m:rPr>
                        <m:sty m:val="p"/>
                      </m:rPr>
                      <m:t>n</m:t>
                    </m:r>
                    <m:r>
                      <m:rPr>
                        <m:sty m:val="p"/>
                      </m:rPr>
                      <m:t>a</m:t>
                    </m:r>
                    <m:r>
                      <m:rPr>
                        <m:sty m:val="p"/>
                      </m:rPr>
                      <m:t>l</m:t>
                    </m:r>
                  </m:sub>
                </m:sSub>
                <m:r>
                  <m:rPr>
                    <m:sty m:val="p"/>
                  </m:rPr>
                  <m:t>|</m:t>
                </m:r>
              </m:e>
            </m:mr>
            <m:mr>
              <m:e>
                <m:r>
                  <m:rPr>
                    <m:sty m:val="p"/>
                  </m:rPr>
                  <m:t>+</m:t>
                </m:r>
                <m:r>
                  <m:t>0.15</m:t>
                </m:r>
                <m:sSub>
                  <m:e>
                    <m:r>
                      <m:rPr>
                        <m:sty m:val="p"/>
                      </m:rPr>
                      <m:t>RMSE</m:t>
                    </m:r>
                  </m:e>
                  <m:sub>
                    <m:r>
                      <m:rPr>
                        <m:sty m:val="p"/>
                      </m:rPr>
                      <m:t>h</m:t>
                    </m:r>
                    <m:r>
                      <m:rPr>
                        <m:sty m:val="p"/>
                      </m:rPr>
                      <m:t>i</m:t>
                    </m:r>
                    <m:r>
                      <m:rPr>
                        <m:sty m:val="p"/>
                      </m:rPr>
                      <m:t>g</m:t>
                    </m:r>
                    <m:r>
                      <m:rPr>
                        <m:sty m:val="p"/>
                      </m:rPr>
                      <m:t>h</m:t>
                    </m:r>
                  </m:sub>
                </m:sSub>
                <m:r>
                  <m:rPr>
                    <m:sty m:val="p"/>
                  </m:rPr>
                  <m:t>+</m:t>
                </m:r>
                <m:r>
                  <m:t>0.12</m:t>
                </m:r>
                <m:sSub>
                  <m:e>
                    <m:r>
                      <m:rPr>
                        <m:sty m:val="p"/>
                      </m:rPr>
                      <m:t>RMSE</m:t>
                    </m:r>
                  </m:e>
                  <m:sub>
                    <m:r>
                      <m:rPr>
                        <m:sty m:val="p"/>
                      </m:rPr>
                      <m:t>e</m:t>
                    </m:r>
                    <m:r>
                      <m:rPr>
                        <m:sty m:val="p"/>
                      </m:rPr>
                      <m:t>a</m:t>
                    </m:r>
                    <m:r>
                      <m:rPr>
                        <m:sty m:val="p"/>
                      </m:rPr>
                      <m:t>r</m:t>
                    </m:r>
                    <m:r>
                      <m:rPr>
                        <m:sty m:val="p"/>
                      </m:rPr>
                      <m:t>l</m:t>
                    </m:r>
                    <m:r>
                      <m:rPr>
                        <m:sty m:val="p"/>
                      </m:rPr>
                      <m:t>y</m:t>
                    </m:r>
                  </m:sub>
                </m:sSub>
                <m:r>
                  <m:rPr>
                    <m:sty m:val="p"/>
                  </m:rPr>
                  <m:t>+</m:t>
                </m:r>
                <m:r>
                  <m:t>0.12</m:t>
                </m:r>
                <m:sSub>
                  <m:e>
                    <m:r>
                      <m:rPr>
                        <m:sty m:val="p"/>
                      </m:rPr>
                      <m:t>RMSE</m:t>
                    </m:r>
                  </m:e>
                  <m:sub>
                    <m:r>
                      <m:rPr>
                        <m:sty m:val="p"/>
                      </m:rPr>
                      <m:t>m</m:t>
                    </m:r>
                    <m:r>
                      <m:rPr>
                        <m:sty m:val="p"/>
                      </m:rPr>
                      <m:t>i</m:t>
                    </m:r>
                    <m:r>
                      <m:rPr>
                        <m:sty m:val="p"/>
                      </m:rPr>
                      <m:t>d</m:t>
                    </m:r>
                  </m:sub>
                </m:sSub>
              </m:e>
            </m:mr>
            <m:mr>
              <m:e>
                <m:r>
                  <m:rPr>
                    <m:sty m:val="p"/>
                  </m:rPr>
                  <m:t>+</m:t>
                </m:r>
                <m:r>
                  <m:t>0.18</m:t>
                </m:r>
                <m:sSub>
                  <m:e>
                    <m:r>
                      <m:rPr>
                        <m:sty m:val="p"/>
                      </m:rPr>
                      <m:t>RMSE</m:t>
                    </m:r>
                  </m:e>
                  <m:sub>
                    <m:r>
                      <m:rPr>
                        <m:sty m:val="p"/>
                      </m:rPr>
                      <m:t>l</m:t>
                    </m:r>
                    <m:r>
                      <m:rPr>
                        <m:sty m:val="p"/>
                      </m:rPr>
                      <m:t>a</m:t>
                    </m:r>
                    <m:r>
                      <m:rPr>
                        <m:sty m:val="p"/>
                      </m:rPr>
                      <m:t>t</m:t>
                    </m:r>
                    <m:r>
                      <m:rPr>
                        <m:sty m:val="p"/>
                      </m:rPr>
                      <m:t>e</m:t>
                    </m:r>
                  </m:sub>
                </m:sSub>
                <m:r>
                  <m:rPr>
                    <m:sty m:val="p"/>
                  </m:rPr>
                  <m:t>+</m:t>
                </m:r>
                <m:r>
                  <m:t>0.18</m:t>
                </m:r>
                <m:sSub>
                  <m:e>
                    <m:r>
                      <m:rPr>
                        <m:sty m:val="p"/>
                      </m:rPr>
                      <m:t>RMSE</m:t>
                    </m:r>
                  </m:e>
                  <m:sub>
                    <m:r>
                      <m:rPr>
                        <m:sty m:val="p"/>
                      </m:rPr>
                      <m:t>l</m:t>
                    </m:r>
                    <m:r>
                      <m:rPr>
                        <m:sty m:val="p"/>
                      </m:rPr>
                      <m:t>o</m:t>
                    </m:r>
                    <m:r>
                      <m:rPr>
                        <m:sty m:val="p"/>
                      </m:rPr>
                      <m:t>w</m:t>
                    </m:r>
                  </m:sub>
                </m:sSub>
                <m:r>
                  <m:rPr>
                    <m:sty m:val="p"/>
                  </m:rPr>
                  <m:t>.</m:t>
                </m:r>
              </m:e>
            </m:mr>
          </m:m>
        </m:oMath>
      </m:oMathPara>
    </w:p>
    <w:p>
      <w:pPr>
        <w:pStyle w:val="FirstParagraph"/>
      </w:pPr>
      <w:r>
        <w:rPr>
          <w:rFonts w:hint="eastAsia"/>
        </w:rPr>
        <w:t xml:space="preserve">其中</w:t>
      </w:r>
      <w:r>
        <w:t xml:space="preserve"> RMSE </w:t>
      </w:r>
      <w:r>
        <w:rPr>
          <w:rFonts w:hint="eastAsia"/>
        </w:rPr>
        <w:t xml:space="preserve">和</w:t>
      </w:r>
      <w:r>
        <w:t xml:space="preserve"> MAE </w:t>
      </w:r>
      <w:r>
        <w:rPr>
          <w:rFonts w:hint="eastAsia"/>
        </w:rPr>
        <w:t xml:space="preserve">定义为：</w:t>
      </w:r>
    </w:p>
    <w:p>
      <w:pPr>
        <w:pStyle w:val="BodyText"/>
      </w:pPr>
      <m:oMathPara>
        <m:oMathParaPr>
          <m:jc m:val="center"/>
        </m:oMathParaPr>
        <m:oMath>
          <m:r>
            <m:rPr>
              <m:sty m:val="p"/>
            </m:rPr>
            <m:t>RMSE</m:t>
          </m:r>
          <m:r>
            <m:rPr>
              <m:sty m:val="p"/>
            </m:rPr>
            <m:t>=</m:t>
          </m:r>
          <m:rad>
            <m:radPr>
              <m:degHide m:val="on"/>
            </m:radPr>
            <m:deg/>
            <m:e>
              <m:f>
                <m:fPr>
                  <m:type m:val="bar"/>
                </m:fPr>
                <m:num>
                  <m:r>
                    <m:t>1</m:t>
                  </m:r>
                </m:num>
                <m:den>
                  <m:r>
                    <m:t>n</m:t>
                  </m:r>
                </m:den>
              </m:f>
              <m:nary>
                <m:naryPr>
                  <m:chr m:val="∑"/>
                  <m:limLoc m:val="undOvr"/>
                  <m:subHide m:val="off"/>
                  <m:supHide m:val="off"/>
                </m:naryPr>
                <m:sub>
                  <m:r>
                    <m:t>t</m:t>
                  </m:r>
                  <m:r>
                    <m:rPr>
                      <m:sty m:val="p"/>
                    </m:rPr>
                    <m:t>=</m:t>
                  </m:r>
                  <m:r>
                    <m:t>1</m:t>
                  </m:r>
                </m:sub>
                <m:sup>
                  <m:r>
                    <m:t>n</m:t>
                  </m:r>
                </m:sup>
                <m:e>
                  <m:r>
                    <m:rPr>
                      <m:sty m:val="p"/>
                    </m:rPr>
                    <m:t>(</m:t>
                  </m:r>
                </m:e>
              </m:nary>
              <m:sSub>
                <m:e>
                  <m:r>
                    <m:t>P</m:t>
                  </m:r>
                </m:e>
                <m:sub>
                  <m:r>
                    <m:t>t</m:t>
                  </m:r>
                </m:sub>
              </m:sSub>
              <m:r>
                <m:rPr>
                  <m:sty m:val="p"/>
                </m:rPr>
                <m:t>−</m:t>
              </m:r>
              <m:sSub>
                <m:e>
                  <m:acc>
                    <m:accPr>
                      <m:chr m:val="̂"/>
                    </m:accPr>
                    <m:e>
                      <m:r>
                        <m:t>P</m:t>
                      </m:r>
                    </m:e>
                  </m:acc>
                </m:e>
                <m:sub>
                  <m:r>
                    <m:t>t</m:t>
                  </m:r>
                </m:sub>
              </m:sSub>
              <m:sSup>
                <m:e>
                  <m:r>
                    <m:rPr>
                      <m:sty m:val="p"/>
                    </m:rPr>
                    <m:t>)</m:t>
                  </m:r>
                </m:e>
                <m:sup>
                  <m:r>
                    <m:t>2</m:t>
                  </m:r>
                </m:sup>
              </m:sSup>
            </m:e>
          </m:rad>
          <m:r>
            <m:rPr>
              <m:sty m:val="p"/>
            </m:rPr>
            <m:t>,</m:t>
          </m:r>
          <m:r>
            <m:t>  </m:t>
          </m:r>
          <m:r>
            <m:rPr>
              <m:sty m:val="p"/>
            </m:rPr>
            <m:t>MAE</m:t>
          </m:r>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r>
                <m:rPr>
                  <m:sty m:val="p"/>
                </m:rPr>
                <m:t>|</m:t>
              </m:r>
            </m:e>
          </m:nary>
          <m:sSub>
            <m:e>
              <m:r>
                <m:t>P</m:t>
              </m:r>
            </m:e>
            <m:sub>
              <m:r>
                <m:t>t</m:t>
              </m:r>
            </m:sub>
          </m:sSub>
          <m:r>
            <m:rPr>
              <m:sty m:val="p"/>
            </m:rPr>
            <m:t>−</m:t>
          </m:r>
          <m:sSub>
            <m:e>
              <m:acc>
                <m:accPr>
                  <m:chr m:val="̂"/>
                </m:accPr>
                <m:e>
                  <m:r>
                    <m:t>P</m:t>
                  </m:r>
                </m:e>
              </m:acc>
            </m:e>
            <m:sub>
              <m:r>
                <m:t>t</m:t>
              </m:r>
            </m:sub>
          </m:sSub>
          <m:r>
            <m:rPr>
              <m:sty m:val="p"/>
            </m:rPr>
            <m:t>|</m:t>
          </m:r>
          <m:r>
            <m:rPr>
              <m:sty m:val="p"/>
            </m:rPr>
            <m:t>.</m:t>
          </m:r>
        </m:oMath>
      </m:oMathPara>
    </w:p>
    <w:p>
      <w:pPr>
        <w:pStyle w:val="FirstParagraph"/>
      </w:pPr>
      <w:r>
        <w:rPr>
          <w:rFonts w:hint="eastAsia"/>
        </w:rPr>
        <w:t xml:space="preserve">参数校准分三步进行：第一步使用固定随机种子进行</w:t>
      </w:r>
      <w:r>
        <w:t xml:space="preserve"> 36000 </w:t>
      </w:r>
      <w:r>
        <w:rPr>
          <w:rFonts w:hint="eastAsia"/>
        </w:rPr>
        <w:t xml:space="preserve">组多目标参数搜索，覆盖物理参数和行为参数的合理范围；第二步使用</w:t>
      </w:r>
      <w:r>
        <w:t xml:space="preserve"> SciPy </w:t>
      </w:r>
      <w:r>
        <w:rPr>
          <w:rFonts w:hint="eastAsia"/>
        </w:rPr>
        <w:t xml:space="preserve">差分进化算法进行连续局部精修，使模型同时满足整体误差和分段误差要求；第三步围绕连续精修解进行</w:t>
      </w:r>
      <w:r>
        <w:t xml:space="preserve"> 800 </w:t>
      </w:r>
      <w:r>
        <w:rPr>
          <w:rFonts w:hint="eastAsia"/>
        </w:rPr>
        <w:t xml:space="preserve">组局部扰动复核，从优秀邻域中选择综合得分更优且仍满足分段误差约束的参数组合。</w:t>
      </w:r>
    </w:p>
    <w:bookmarkEnd w:id="24"/>
    <w:bookmarkStart w:id="25" w:name="校准参数"/>
    <w:p>
      <w:pPr>
        <w:pStyle w:val="Heading2"/>
      </w:pPr>
      <w:r>
        <w:rPr>
          <w:rFonts w:hint="eastAsia"/>
        </w:rPr>
        <w:t xml:space="preserve">校准参数</w:t>
      </w:r>
    </w:p>
    <w:p>
      <w:pPr>
        <w:pStyle w:val="TableCaption"/>
      </w:pPr>
      <w:r>
        <w:rPr>
          <w:rFonts w:hint="eastAsia"/>
        </w:rPr>
        <w:t xml:space="preserve">综合最优短期模型参数</w:t>
      </w:r>
    </w:p>
    <w:tbl>
      <w:tblPr>
        <w:tblStyle w:val="Table"/>
        <w:tblW w:type="auto" w:w="0"/>
        <w:tblLook w:firstRow="1" w:lastRow="0" w:firstColumn="0" w:lastColumn="0" w:noHBand="0" w:noVBand="0" w:val="0020"/>
        <w:tblCaption w:val="综合最优短期模型参数"/>
      </w:tblPr>
      <w:tblGrid>
        <w:gridCol w:w="1980"/>
        <w:gridCol w:w="1980"/>
        <w:gridCol w:w="1980"/>
        <w:gridCol w:w="1980"/>
      </w:tblGrid>
      <w:tr>
        <w:trPr>
          <w:tblHeader w:val="on"/>
        </w:trPr>
        <w:tc>
          <w:tcPr/>
          <w:p>
            <w:pPr>
              <w:pStyle w:val="Compact"/>
              <w:jc w:val="left"/>
            </w:pPr>
            <w:r>
              <w:rPr>
                <w:rFonts w:hint="eastAsia"/>
              </w:rPr>
              <w:t xml:space="preserve">参数</w:t>
            </w:r>
          </w:p>
        </w:tc>
        <w:tc>
          <w:tcPr/>
          <w:p>
            <w:pPr>
              <w:pStyle w:val="Compact"/>
              <w:jc w:val="right"/>
            </w:pPr>
            <w:r>
              <w:rPr>
                <w:rFonts w:hint="eastAsia"/>
              </w:rPr>
              <w:t xml:space="preserve">数值</w:t>
            </w:r>
          </w:p>
        </w:tc>
        <w:tc>
          <w:tcPr/>
          <w:p>
            <w:pPr>
              <w:pStyle w:val="Compact"/>
              <w:jc w:val="left"/>
            </w:pPr>
            <w:r>
              <w:rPr>
                <w:rFonts w:hint="eastAsia"/>
              </w:rPr>
              <w:t xml:space="preserve">参数</w:t>
            </w:r>
          </w:p>
        </w:tc>
        <w:tc>
          <w:tcPr/>
          <w:p>
            <w:pPr>
              <w:pStyle w:val="Compact"/>
              <w:jc w:val="right"/>
            </w:pPr>
            <w:r>
              <w:rPr>
                <w:rFonts w:hint="eastAsia"/>
              </w:rPr>
              <w:t xml:space="preserve">数值</w:t>
            </w:r>
          </w:p>
        </w:tc>
      </w:tr>
      <w:tr>
        <w:tc>
          <w:tcPr/>
          <w:p>
            <w:pPr>
              <w:pStyle w:val="Compact"/>
              <w:jc w:val="left"/>
            </w:pPr>
            <w:r>
              <w:rPr>
                <w:rFonts w:hint="eastAsia"/>
              </w:rPr>
              <w:t xml:space="preserve">供应中断量</w:t>
            </w:r>
          </w:p>
        </w:tc>
        <w:tc>
          <w:tcPr/>
          <w:p>
            <w:pPr>
              <w:pStyle w:val="Compact"/>
              <w:jc w:val="right"/>
            </w:pPr>
            <w:r>
              <w:t xml:space="preserve">1488</w:t>
            </w:r>
          </w:p>
        </w:tc>
        <w:tc>
          <w:tcPr/>
          <w:p>
            <w:pPr>
              <w:pStyle w:val="Compact"/>
              <w:jc w:val="left"/>
            </w:pPr>
            <w:r>
              <w:t xml:space="preserve">SPR </w:t>
            </w:r>
            <w:r>
              <w:rPr>
                <w:rFonts w:hint="eastAsia"/>
              </w:rPr>
              <w:t xml:space="preserve">释放上限</w:t>
            </w:r>
          </w:p>
        </w:tc>
        <w:tc>
          <w:tcPr/>
          <w:p>
            <w:pPr>
              <w:pStyle w:val="Compact"/>
              <w:jc w:val="right"/>
            </w:pPr>
            <w:r>
              <w:t xml:space="preserve">673</w:t>
            </w:r>
          </w:p>
        </w:tc>
      </w:tr>
      <w:tr>
        <w:tc>
          <w:tcPr/>
          <w:p>
            <w:pPr>
              <w:pStyle w:val="Compact"/>
              <w:jc w:val="left"/>
            </w:pPr>
            <w:r>
              <w:t xml:space="preserve">SPR </w:t>
            </w:r>
            <w:r>
              <w:rPr>
                <w:rFonts w:hint="eastAsia"/>
              </w:rPr>
              <w:t xml:space="preserve">启动延迟</w:t>
            </w:r>
          </w:p>
        </w:tc>
        <w:tc>
          <w:tcPr/>
          <w:p>
            <w:pPr>
              <w:pStyle w:val="Compact"/>
              <w:jc w:val="right"/>
            </w:pPr>
            <w:r>
              <w:t xml:space="preserve">4</w:t>
            </w:r>
          </w:p>
        </w:tc>
        <w:tc>
          <w:tcPr/>
          <w:p>
            <w:pPr>
              <w:pStyle w:val="Compact"/>
              <w:jc w:val="left"/>
            </w:pPr>
            <w:r>
              <w:rPr>
                <w:rFonts w:hint="eastAsia"/>
              </w:rPr>
              <w:t xml:space="preserve">绕道启动日</w:t>
            </w:r>
          </w:p>
        </w:tc>
        <w:tc>
          <w:tcPr/>
          <w:p>
            <w:pPr>
              <w:pStyle w:val="Compact"/>
              <w:jc w:val="right"/>
            </w:pPr>
            <w:r>
              <w:t xml:space="preserve">10</w:t>
            </w:r>
          </w:p>
        </w:tc>
      </w:tr>
      <w:tr>
        <w:tc>
          <w:tcPr/>
          <w:p>
            <w:pPr>
              <w:pStyle w:val="Compact"/>
              <w:jc w:val="left"/>
            </w:pPr>
            <w:r>
              <w:rPr>
                <w:rFonts w:hint="eastAsia"/>
              </w:rPr>
              <w:t xml:space="preserve">绕道能力上限</w:t>
            </w:r>
          </w:p>
        </w:tc>
        <w:tc>
          <w:tcPr/>
          <w:p>
            <w:pPr>
              <w:pStyle w:val="Compact"/>
              <w:jc w:val="right"/>
            </w:pPr>
            <w:r>
              <w:t xml:space="preserve">254</w:t>
            </w:r>
          </w:p>
        </w:tc>
        <w:tc>
          <w:tcPr/>
          <w:p>
            <w:pPr>
              <w:pStyle w:val="Compact"/>
              <w:jc w:val="left"/>
            </w:pPr>
            <w:r>
              <w:rPr>
                <w:rFonts w:hint="eastAsia"/>
              </w:rPr>
              <w:t xml:space="preserve">长期需求弹性</w:t>
            </w:r>
          </w:p>
        </w:tc>
        <w:tc>
          <w:tcPr/>
          <w:p>
            <w:pPr>
              <w:pStyle w:val="Compact"/>
              <w:jc w:val="right"/>
            </w:pPr>
            <w:r>
              <w:t xml:space="preserve">-0.25</w:t>
            </w:r>
          </w:p>
        </w:tc>
      </w:tr>
      <w:tr>
        <w:tc>
          <w:tcPr/>
          <w:p>
            <w:pPr>
              <w:pStyle w:val="Compact"/>
              <w:jc w:val="left"/>
            </w:pPr>
            <w:r>
              <w:rPr>
                <w:rFonts w:hint="eastAsia"/>
              </w:rPr>
              <w:t xml:space="preserve">恐慌初始强度</w:t>
            </w:r>
          </w:p>
        </w:tc>
        <w:tc>
          <w:tcPr/>
          <w:p>
            <w:pPr>
              <w:pStyle w:val="Compact"/>
              <w:jc w:val="right"/>
            </w:pPr>
            <w:r>
              <w:t xml:space="preserve">0.13</w:t>
            </w:r>
          </w:p>
        </w:tc>
        <w:tc>
          <w:tcPr/>
          <w:p>
            <w:pPr>
              <w:pStyle w:val="Compact"/>
              <w:jc w:val="left"/>
            </w:pPr>
            <w:r>
              <w:rPr>
                <w:rFonts w:hint="eastAsia"/>
              </w:rPr>
              <w:t xml:space="preserve">恐慌衰减速度</w:t>
            </w:r>
          </w:p>
        </w:tc>
        <w:tc>
          <w:tcPr/>
          <w:p>
            <w:pPr>
              <w:pStyle w:val="Compact"/>
              <w:jc w:val="right"/>
            </w:pPr>
            <w:r>
              <w:t xml:space="preserve">0.11</w:t>
            </w:r>
          </w:p>
        </w:tc>
      </w:tr>
      <w:tr>
        <w:tc>
          <w:tcPr/>
          <w:p>
            <w:pPr>
              <w:pStyle w:val="Compact"/>
              <w:jc w:val="left"/>
            </w:pPr>
            <w:r>
              <w:rPr>
                <w:rFonts w:hint="eastAsia"/>
              </w:rPr>
              <w:t xml:space="preserve">库存日缓冲上限</w:t>
            </w:r>
          </w:p>
        </w:tc>
        <w:tc>
          <w:tcPr/>
          <w:p>
            <w:pPr>
              <w:pStyle w:val="Compact"/>
              <w:jc w:val="right"/>
            </w:pPr>
            <w:r>
              <w:t xml:space="preserve">271</w:t>
            </w:r>
          </w:p>
        </w:tc>
        <w:tc>
          <w:tcPr/>
          <w:p>
            <w:pPr>
              <w:pStyle w:val="Compact"/>
              <w:jc w:val="left"/>
            </w:pPr>
            <w:r>
              <w:rPr>
                <w:rFonts w:hint="eastAsia"/>
              </w:rPr>
              <w:t xml:space="preserve">调整速度</w:t>
            </w:r>
            <w:r>
              <w:t xml:space="preserve"> </w:t>
            </w:r>
            <m:oMath>
              <m:r>
                <m:t>v</m:t>
              </m:r>
            </m:oMath>
          </w:p>
        </w:tc>
        <w:tc>
          <w:tcPr/>
          <w:p>
            <w:pPr>
              <w:pStyle w:val="Compact"/>
              <w:jc w:val="right"/>
            </w:pPr>
            <w:r>
              <w:t xml:space="preserve">0.349</w:t>
            </w:r>
          </w:p>
        </w:tc>
      </w:tr>
      <w:tr>
        <w:tc>
          <w:tcPr/>
          <w:p>
            <w:pPr>
              <w:pStyle w:val="Compact"/>
              <w:jc w:val="left"/>
            </w:pPr>
            <w:r>
              <w:rPr>
                <w:rFonts w:hint="eastAsia"/>
              </w:rPr>
              <w:t xml:space="preserve">风险权重</w:t>
            </w:r>
            <w:r>
              <w:t xml:space="preserve"> </w:t>
            </w:r>
            <m:oMath>
              <m:r>
                <m:t>β</m:t>
              </m:r>
            </m:oMath>
          </w:p>
        </w:tc>
        <w:tc>
          <w:tcPr/>
          <w:p>
            <w:pPr>
              <w:pStyle w:val="Compact"/>
              <w:jc w:val="right"/>
            </w:pPr>
            <w:r>
              <w:t xml:space="preserve">2.429</w:t>
            </w:r>
          </w:p>
        </w:tc>
        <w:tc>
          <w:tcPr/>
          <w:p>
            <w:pPr>
              <w:pStyle w:val="Compact"/>
              <w:jc w:val="left"/>
            </w:pPr>
            <w:r>
              <w:rPr>
                <w:rFonts w:hint="eastAsia"/>
              </w:rPr>
              <w:t xml:space="preserve">不确定性平台</w:t>
            </w:r>
          </w:p>
        </w:tc>
        <w:tc>
          <w:tcPr/>
          <w:p>
            <w:pPr>
              <w:pStyle w:val="Compact"/>
              <w:jc w:val="right"/>
            </w:pPr>
            <w:r>
              <w:t xml:space="preserve">0.247</w:t>
            </w:r>
          </w:p>
        </w:tc>
      </w:tr>
      <w:tr>
        <w:tc>
          <w:tcPr/>
          <w:p>
            <w:pPr>
              <w:pStyle w:val="Compact"/>
              <w:jc w:val="left"/>
            </w:pPr>
            <w:r>
              <w:rPr>
                <w:rFonts w:hint="eastAsia"/>
              </w:rPr>
              <w:t xml:space="preserve">缓冲确认强度</w:t>
            </w:r>
            <w:r>
              <w:t xml:space="preserve"> </w:t>
            </w:r>
            <m:oMath>
              <m:r>
                <m:t>η</m:t>
              </m:r>
            </m:oMath>
          </w:p>
        </w:tc>
        <w:tc>
          <w:tcPr/>
          <w:p>
            <w:pPr>
              <w:pStyle w:val="Compact"/>
              <w:jc w:val="right"/>
            </w:pPr>
            <w:r>
              <w:t xml:space="preserve">0.213</w:t>
            </w:r>
          </w:p>
        </w:tc>
        <w:tc>
          <w:tcPr/>
          <w:p>
            <w:pPr>
              <w:pStyle w:val="Compact"/>
              <w:jc w:val="left"/>
            </w:pPr>
            <w:r>
              <w:rPr>
                <w:rFonts w:hint="eastAsia"/>
              </w:rPr>
              <w:t xml:space="preserve">预期修复强度</w:t>
            </w:r>
            <w:r>
              <w:t xml:space="preserve"> </w:t>
            </w:r>
            <m:oMath>
              <m:r>
                <m:t>θ</m:t>
              </m:r>
            </m:oMath>
          </w:p>
        </w:tc>
        <w:tc>
          <w:tcPr/>
          <w:p>
            <w:pPr>
              <w:pStyle w:val="Compact"/>
              <w:jc w:val="right"/>
            </w:pPr>
            <w:r>
              <w:t xml:space="preserve">0.240</w:t>
            </w:r>
          </w:p>
        </w:tc>
      </w:tr>
    </w:tbl>
    <w:bookmarkEnd w:id="25"/>
    <w:bookmarkEnd w:id="26"/>
    <w:bookmarkStart w:id="50" w:name="结果分析"/>
    <w:p>
      <w:pPr>
        <w:pStyle w:val="Heading1"/>
      </w:pPr>
      <w:r>
        <w:rPr>
          <w:rFonts w:hint="eastAsia"/>
        </w:rPr>
        <w:t xml:space="preserve">结果分析</w:t>
      </w:r>
    </w:p>
    <w:bookmarkStart w:id="30" w:name="总体拟合效果"/>
    <w:p>
      <w:pPr>
        <w:pStyle w:val="Heading2"/>
      </w:pPr>
      <w:r>
        <w:rPr>
          <w:rFonts w:hint="eastAsia"/>
        </w:rPr>
        <w:t xml:space="preserve">总体拟合效果</w:t>
      </w:r>
    </w:p>
    <w:p>
      <w:pPr>
        <w:pStyle w:val="FirstParagraph"/>
      </w:pPr>
      <w:r>
        <w:rPr>
          <w:rFonts w:hint="eastAsia"/>
        </w:rPr>
        <w:t xml:space="preserve">综合最优模型在冲突窗口中取得</w:t>
      </w:r>
      <w:r>
        <w:t xml:space="preserve"> RMSE </w:t>
      </w:r>
      <w:r>
        <w:rPr>
          <w:rFonts w:hint="eastAsia"/>
        </w:rPr>
        <w:t xml:space="preserve">为</w:t>
      </w:r>
      <w:r>
        <w:t xml:space="preserve"> 3.47 </w:t>
      </w:r>
      <w:r>
        <w:rPr>
          <w:rFonts w:hint="eastAsia"/>
        </w:rPr>
        <w:t xml:space="preserve">美元/桶、MAE</w:t>
      </w:r>
      <w:r>
        <w:t xml:space="preserve"> </w:t>
      </w:r>
      <w:r>
        <w:rPr>
          <w:rFonts w:hint="eastAsia"/>
        </w:rPr>
        <w:t xml:space="preserve">为</w:t>
      </w:r>
      <w:r>
        <w:t xml:space="preserve"> 2.89 </w:t>
      </w:r>
      <w:r>
        <w:rPr>
          <w:rFonts w:hint="eastAsia"/>
        </w:rPr>
        <w:t xml:space="preserve">美元/桶的拟合结果。模拟峰值为</w:t>
      </w:r>
      <w:r>
        <w:t xml:space="preserve"> 110.36 </w:t>
      </w:r>
      <w:r>
        <w:rPr>
          <w:rFonts w:hint="eastAsia"/>
        </w:rPr>
        <w:t xml:space="preserve">美元/桶，实际最高收盘价为</w:t>
      </w:r>
      <w:r>
        <w:t xml:space="preserve"> 114.06 </w:t>
      </w:r>
      <w:r>
        <w:rPr>
          <w:rFonts w:hint="eastAsia"/>
        </w:rPr>
        <w:t xml:space="preserve">美元/桶，峰值略低估</w:t>
      </w:r>
      <w:r>
        <w:t xml:space="preserve"> 3.70 </w:t>
      </w:r>
      <w:r>
        <w:rPr>
          <w:rFonts w:hint="eastAsia"/>
        </w:rPr>
        <w:t xml:space="preserve">美元/桶；末日模拟价格为</w:t>
      </w:r>
      <w:r>
        <w:t xml:space="preserve"> 110.36 </w:t>
      </w:r>
      <w:r>
        <w:rPr>
          <w:rFonts w:hint="eastAsia"/>
        </w:rPr>
        <w:t xml:space="preserve">美元/桶，实际末日价格为</w:t>
      </w:r>
      <w:r>
        <w:t xml:space="preserve"> 110.31 </w:t>
      </w:r>
      <w:r>
        <w:rPr>
          <w:rFonts w:hint="eastAsia"/>
        </w:rPr>
        <w:t xml:space="preserve">美元/桶，末日误差仅为</w:t>
      </w:r>
      <w:r>
        <w:t xml:space="preserve"> 0.05 </w:t>
      </w:r>
      <w:r>
        <w:rPr>
          <w:rFonts w:hint="eastAsia"/>
        </w:rPr>
        <w:t xml:space="preserve">美元/桶，说明模型在末端平台位置上具有较好稳定性。</w:t>
      </w:r>
    </w:p>
    <w:p>
      <w:pPr>
        <w:pStyle w:val="CaptionedFigure"/>
      </w:pPr>
      <w:r>
        <w:drawing>
          <wp:inline>
            <wp:extent cx="5067300" cy="2671849"/>
            <wp:effectExtent b="0" l="0" r="0" t="0"/>
            <wp:docPr descr="" title="" id="28" name="Picture"/>
            <a:graphic>
              <a:graphicData uri="http://schemas.openxmlformats.org/drawingml/2006/picture">
                <pic:pic>
                  <pic:nvPicPr>
                    <pic:cNvPr descr="短期模型拟合效果.png" id="29" name="Picture"/>
                    <pic:cNvPicPr>
                      <a:picLocks noChangeArrowheads="1" noChangeAspect="1"/>
                    </pic:cNvPicPr>
                  </pic:nvPicPr>
                  <pic:blipFill>
                    <a:blip r:embed="rId27"/>
                    <a:stretch>
                      <a:fillRect/>
                    </a:stretch>
                  </pic:blipFill>
                  <pic:spPr bwMode="auto">
                    <a:xfrm>
                      <a:off x="0" y="0"/>
                      <a:ext cx="5067300" cy="2671849"/>
                    </a:xfrm>
                    <a:prstGeom prst="rect">
                      <a:avLst/>
                    </a:prstGeom>
                    <a:noFill/>
                    <a:ln w="9525">
                      <a:noFill/>
                      <a:headEnd/>
                      <a:tailEnd/>
                    </a:ln>
                  </pic:spPr>
                </pic:pic>
              </a:graphicData>
            </a:graphic>
          </wp:inline>
        </w:drawing>
      </w:r>
    </w:p>
    <w:p>
      <w:pPr>
        <w:pStyle w:val="ImageCaption"/>
      </w:pPr>
      <w:r>
        <w:rPr>
          <w:rFonts w:hint="eastAsia"/>
        </w:rPr>
        <w:t xml:space="preserve">短期动态模型拟合效果。模型较好刻画了前期冲击、中期平台和后期再定价三个阶段。</w:t>
      </w:r>
    </w:p>
    <w:bookmarkEnd w:id="30"/>
    <w:bookmarkStart w:id="34" w:name="分段误差诊断"/>
    <w:p>
      <w:pPr>
        <w:pStyle w:val="Heading2"/>
      </w:pPr>
      <w:r>
        <w:rPr>
          <w:rFonts w:hint="eastAsia"/>
        </w:rPr>
        <w:t xml:space="preserve">分段误差诊断</w:t>
      </w:r>
    </w:p>
    <w:p>
      <w:pPr>
        <w:pStyle w:val="TableCaption"/>
      </w:pPr>
      <w:r>
        <w:rPr>
          <w:rFonts w:hint="eastAsia"/>
        </w:rPr>
        <w:t xml:space="preserve">短期动态模型分段误差</w:t>
      </w:r>
    </w:p>
    <w:tbl>
      <w:tblPr>
        <w:tblStyle w:val="Table"/>
        <w:tblW w:type="auto" w:w="0"/>
        <w:tblLook w:firstRow="1" w:lastRow="0" w:firstColumn="0" w:lastColumn="0" w:noHBand="0" w:noVBand="0" w:val="0020"/>
        <w:tblCaption w:val="短期动态模型分段误差"/>
      </w:tblPr>
      <w:tblGrid>
        <w:gridCol w:w="1584"/>
        <w:gridCol w:w="1584"/>
        <w:gridCol w:w="1584"/>
        <w:gridCol w:w="1584"/>
        <w:gridCol w:w="1584"/>
      </w:tblGrid>
      <w:tr>
        <w:trPr>
          <w:tblHeader w:val="on"/>
        </w:trPr>
        <w:tc>
          <w:tcPr/>
          <w:p>
            <w:pPr>
              <w:pStyle w:val="Compact"/>
              <w:jc w:val="left"/>
            </w:pPr>
            <w:r>
              <w:rPr>
                <w:rFonts w:hint="eastAsia"/>
              </w:rPr>
              <w:t xml:space="preserve">分段</w:t>
            </w:r>
          </w:p>
        </w:tc>
        <w:tc>
          <w:tcPr/>
          <w:p>
            <w:pPr>
              <w:pStyle w:val="Compact"/>
              <w:jc w:val="right"/>
            </w:pPr>
            <w:r>
              <w:rPr>
                <w:rFonts w:hint="eastAsia"/>
              </w:rPr>
              <w:t xml:space="preserve">样本数</w:t>
            </w:r>
          </w:p>
        </w:tc>
        <w:tc>
          <w:tcPr/>
          <w:p>
            <w:pPr>
              <w:pStyle w:val="Compact"/>
              <w:jc w:val="right"/>
            </w:pPr>
            <w:r>
              <w:t xml:space="preserve">RMSE</w:t>
            </w:r>
          </w:p>
        </w:tc>
        <w:tc>
          <w:tcPr/>
          <w:p>
            <w:pPr>
              <w:pStyle w:val="Compact"/>
              <w:jc w:val="right"/>
            </w:pPr>
            <w:r>
              <w:t xml:space="preserve">MAE</w:t>
            </w:r>
          </w:p>
        </w:tc>
        <w:tc>
          <w:tcPr/>
          <w:p>
            <w:pPr>
              <w:pStyle w:val="Compact"/>
              <w:jc w:val="right"/>
            </w:pPr>
            <w:r>
              <w:rPr>
                <w:rFonts w:hint="eastAsia"/>
              </w:rPr>
              <w:t xml:space="preserve">最大绝对误差</w:t>
            </w:r>
          </w:p>
        </w:tc>
      </w:tr>
      <w:tr>
        <w:tc>
          <w:tcPr/>
          <w:p>
            <w:pPr>
              <w:pStyle w:val="Compact"/>
              <w:jc w:val="left"/>
            </w:pPr>
            <w:r>
              <w:rPr>
                <w:rFonts w:hint="eastAsia"/>
              </w:rPr>
              <w:t xml:space="preserve">全窗口</w:t>
            </w:r>
          </w:p>
        </w:tc>
        <w:tc>
          <w:tcPr/>
          <w:p>
            <w:pPr>
              <w:pStyle w:val="Compact"/>
              <w:jc w:val="right"/>
            </w:pPr>
            <w:r>
              <w:t xml:space="preserve">46</w:t>
            </w:r>
          </w:p>
        </w:tc>
        <w:tc>
          <w:tcPr/>
          <w:p>
            <w:pPr>
              <w:pStyle w:val="Compact"/>
              <w:jc w:val="right"/>
            </w:pPr>
            <w:r>
              <w:t xml:space="preserve">3.47</w:t>
            </w:r>
          </w:p>
        </w:tc>
        <w:tc>
          <w:tcPr/>
          <w:p>
            <w:pPr>
              <w:pStyle w:val="Compact"/>
              <w:jc w:val="right"/>
            </w:pPr>
            <w:r>
              <w:t xml:space="preserve">2.89</w:t>
            </w:r>
          </w:p>
        </w:tc>
        <w:tc>
          <w:tcPr/>
          <w:p>
            <w:pPr>
              <w:pStyle w:val="Compact"/>
              <w:jc w:val="right"/>
            </w:pPr>
            <w:r>
              <w:t xml:space="preserve">7.39</w:t>
            </w:r>
          </w:p>
        </w:tc>
      </w:tr>
      <w:tr>
        <w:tc>
          <w:tcPr/>
          <w:p>
            <w:pPr>
              <w:pStyle w:val="Compact"/>
              <w:jc w:val="left"/>
            </w:pPr>
            <w:r>
              <w:rPr>
                <w:rFonts w:hint="eastAsia"/>
              </w:rPr>
              <w:t xml:space="preserve">前期冲击</w:t>
            </w:r>
          </w:p>
        </w:tc>
        <w:tc>
          <w:tcPr/>
          <w:p>
            <w:pPr>
              <w:pStyle w:val="Compact"/>
              <w:jc w:val="right"/>
            </w:pPr>
            <w:r>
              <w:t xml:space="preserve">11</w:t>
            </w:r>
          </w:p>
        </w:tc>
        <w:tc>
          <w:tcPr/>
          <w:p>
            <w:pPr>
              <w:pStyle w:val="Compact"/>
              <w:jc w:val="right"/>
            </w:pPr>
            <w:r>
              <w:t xml:space="preserve">3.16</w:t>
            </w:r>
          </w:p>
        </w:tc>
        <w:tc>
          <w:tcPr/>
          <w:p>
            <w:pPr>
              <w:pStyle w:val="Compact"/>
              <w:jc w:val="right"/>
            </w:pPr>
            <w:r>
              <w:t xml:space="preserve">2.76</w:t>
            </w:r>
          </w:p>
        </w:tc>
        <w:tc>
          <w:tcPr/>
          <w:p>
            <w:pPr>
              <w:pStyle w:val="Compact"/>
              <w:jc w:val="right"/>
            </w:pPr>
            <w:r>
              <w:t xml:space="preserve">6.10</w:t>
            </w:r>
          </w:p>
        </w:tc>
      </w:tr>
      <w:tr>
        <w:tc>
          <w:tcPr/>
          <w:p>
            <w:pPr>
              <w:pStyle w:val="Compact"/>
              <w:jc w:val="left"/>
            </w:pPr>
            <w:r>
              <w:rPr>
                <w:rFonts w:hint="eastAsia"/>
              </w:rPr>
              <w:t xml:space="preserve">中期平台</w:t>
            </w:r>
          </w:p>
        </w:tc>
        <w:tc>
          <w:tcPr/>
          <w:p>
            <w:pPr>
              <w:pStyle w:val="Compact"/>
              <w:jc w:val="right"/>
            </w:pPr>
            <w:r>
              <w:t xml:space="preserve">14</w:t>
            </w:r>
          </w:p>
        </w:tc>
        <w:tc>
          <w:tcPr/>
          <w:p>
            <w:pPr>
              <w:pStyle w:val="Compact"/>
              <w:jc w:val="right"/>
            </w:pPr>
            <w:r>
              <w:t xml:space="preserve">4.42</w:t>
            </w:r>
          </w:p>
        </w:tc>
        <w:tc>
          <w:tcPr/>
          <w:p>
            <w:pPr>
              <w:pStyle w:val="Compact"/>
              <w:jc w:val="right"/>
            </w:pPr>
            <w:r>
              <w:t xml:space="preserve">3.75</w:t>
            </w:r>
          </w:p>
        </w:tc>
        <w:tc>
          <w:tcPr/>
          <w:p>
            <w:pPr>
              <w:pStyle w:val="Compact"/>
              <w:jc w:val="right"/>
            </w:pPr>
            <w:r>
              <w:t xml:space="preserve">7.39</w:t>
            </w:r>
          </w:p>
        </w:tc>
      </w:tr>
      <w:tr>
        <w:tc>
          <w:tcPr/>
          <w:p>
            <w:pPr>
              <w:pStyle w:val="Compact"/>
              <w:jc w:val="left"/>
            </w:pPr>
            <w:r>
              <w:rPr>
                <w:rFonts w:hint="eastAsia"/>
              </w:rPr>
              <w:t xml:space="preserve">后期再定价</w:t>
            </w:r>
          </w:p>
        </w:tc>
        <w:tc>
          <w:tcPr/>
          <w:p>
            <w:pPr>
              <w:pStyle w:val="Compact"/>
              <w:jc w:val="right"/>
            </w:pPr>
            <w:r>
              <w:t xml:space="preserve">21</w:t>
            </w:r>
          </w:p>
        </w:tc>
        <w:tc>
          <w:tcPr/>
          <w:p>
            <w:pPr>
              <w:pStyle w:val="Compact"/>
              <w:jc w:val="right"/>
            </w:pPr>
            <w:r>
              <w:t xml:space="preserve">2.84</w:t>
            </w:r>
          </w:p>
        </w:tc>
        <w:tc>
          <w:tcPr/>
          <w:p>
            <w:pPr>
              <w:pStyle w:val="Compact"/>
              <w:jc w:val="right"/>
            </w:pPr>
            <w:r>
              <w:t xml:space="preserve">2.38</w:t>
            </w:r>
          </w:p>
        </w:tc>
        <w:tc>
          <w:tcPr/>
          <w:p>
            <w:pPr>
              <w:pStyle w:val="Compact"/>
              <w:jc w:val="right"/>
            </w:pPr>
            <w:r>
              <w:t xml:space="preserve">5.29</w:t>
            </w:r>
          </w:p>
        </w:tc>
      </w:tr>
      <w:tr>
        <w:tc>
          <w:tcPr/>
          <w:p>
            <w:pPr>
              <w:pStyle w:val="Compact"/>
              <w:jc w:val="left"/>
            </w:pPr>
            <w:r>
              <w:rPr>
                <w:rFonts w:hint="eastAsia"/>
              </w:rPr>
              <w:t xml:space="preserve">高价平台</w:t>
            </w:r>
          </w:p>
        </w:tc>
        <w:tc>
          <w:tcPr/>
          <w:p>
            <w:pPr>
              <w:pStyle w:val="Compact"/>
              <w:jc w:val="right"/>
            </w:pPr>
            <w:r>
              <w:t xml:space="preserve">4</w:t>
            </w:r>
          </w:p>
        </w:tc>
        <w:tc>
          <w:tcPr/>
          <w:p>
            <w:pPr>
              <w:pStyle w:val="Compact"/>
              <w:jc w:val="right"/>
            </w:pPr>
            <w:r>
              <w:t xml:space="preserve">2.83</w:t>
            </w:r>
          </w:p>
        </w:tc>
        <w:tc>
          <w:tcPr/>
          <w:p>
            <w:pPr>
              <w:pStyle w:val="Compact"/>
              <w:jc w:val="right"/>
            </w:pPr>
            <w:r>
              <w:t xml:space="preserve">2.32</w:t>
            </w:r>
          </w:p>
        </w:tc>
        <w:tc>
          <w:tcPr/>
          <w:p>
            <w:pPr>
              <w:pStyle w:val="Compact"/>
              <w:jc w:val="right"/>
            </w:pPr>
            <w:r>
              <w:t xml:space="preserve">3.94</w:t>
            </w:r>
          </w:p>
        </w:tc>
      </w:tr>
      <w:tr>
        <w:tc>
          <w:tcPr/>
          <w:p>
            <w:pPr>
              <w:pStyle w:val="Compact"/>
              <w:jc w:val="left"/>
            </w:pPr>
            <w:r>
              <w:rPr>
                <w:rFonts w:hint="eastAsia"/>
              </w:rPr>
              <w:t xml:space="preserve">低价回落</w:t>
            </w:r>
          </w:p>
        </w:tc>
        <w:tc>
          <w:tcPr/>
          <w:p>
            <w:pPr>
              <w:pStyle w:val="Compact"/>
              <w:jc w:val="right"/>
            </w:pPr>
            <w:r>
              <w:t xml:space="preserve">21</w:t>
            </w:r>
          </w:p>
        </w:tc>
        <w:tc>
          <w:tcPr/>
          <w:p>
            <w:pPr>
              <w:pStyle w:val="Compact"/>
              <w:jc w:val="right"/>
            </w:pPr>
            <w:r>
              <w:t xml:space="preserve">3.48</w:t>
            </w:r>
          </w:p>
        </w:tc>
        <w:tc>
          <w:tcPr/>
          <w:p>
            <w:pPr>
              <w:pStyle w:val="Compact"/>
              <w:jc w:val="right"/>
            </w:pPr>
            <w:r>
              <w:t xml:space="preserve">3.05</w:t>
            </w:r>
          </w:p>
        </w:tc>
        <w:tc>
          <w:tcPr/>
          <w:p>
            <w:pPr>
              <w:pStyle w:val="Compact"/>
              <w:jc w:val="right"/>
            </w:pPr>
            <w:r>
              <w:t xml:space="preserve">6.10</w:t>
            </w:r>
          </w:p>
        </w:tc>
      </w:tr>
    </w:tbl>
    <w:p>
      <w:pPr>
        <w:pStyle w:val="BodyText"/>
      </w:pPr>
      <w:r>
        <w:rPr>
          <w:rFonts w:hint="eastAsia"/>
        </w:rPr>
        <w:t xml:space="preserve">分段误差表明，模型并非只在总体</w:t>
      </w:r>
      <w:r>
        <w:t xml:space="preserve"> RMSE </w:t>
      </w:r>
      <w:r>
        <w:rPr>
          <w:rFonts w:hint="eastAsia"/>
        </w:rPr>
        <w:t xml:space="preserve">上表现较好。前期冲击、中期平台和后期再定价三个阶段的</w:t>
      </w:r>
      <w:r>
        <w:t xml:space="preserve"> RMSE </w:t>
      </w:r>
      <w:r>
        <w:rPr>
          <w:rFonts w:hint="eastAsia"/>
        </w:rPr>
        <w:t xml:space="preserve">均保持在较低水平，尤其后期再定价</w:t>
      </w:r>
      <w:r>
        <w:t xml:space="preserve"> RMSE </w:t>
      </w:r>
      <w:r>
        <w:rPr>
          <w:rFonts w:hint="eastAsia"/>
        </w:rPr>
        <w:t xml:space="preserve">降至</w:t>
      </w:r>
      <w:r>
        <w:t xml:space="preserve"> 2.84 </w:t>
      </w:r>
      <w:r>
        <w:rPr>
          <w:rFonts w:hint="eastAsia"/>
        </w:rPr>
        <w:t xml:space="preserve">美元/桶，说明缓冲确认折价和预期修复折价有效改善了原先后期回落解释不足的问题。中期平台仍是误差相对较高的阶段，这与市场对封锁持续时间、绕道运输恢复速度和库存释放可持续性的反复定价有关。</w:t>
      </w:r>
    </w:p>
    <w:p>
      <w:pPr>
        <w:pStyle w:val="CaptionedFigure"/>
      </w:pPr>
      <w:r>
        <w:drawing>
          <wp:inline>
            <wp:extent cx="5067300" cy="3777441"/>
            <wp:effectExtent b="0" l="0" r="0" t="0"/>
            <wp:docPr descr="" title="" id="32" name="Picture"/>
            <a:graphic>
              <a:graphicData uri="http://schemas.openxmlformats.org/drawingml/2006/picture">
                <pic:pic>
                  <pic:nvPicPr>
                    <pic:cNvPr descr="短期模型误差诊断.png" id="33" name="Picture"/>
                    <pic:cNvPicPr>
                      <a:picLocks noChangeArrowheads="1" noChangeAspect="1"/>
                    </pic:cNvPicPr>
                  </pic:nvPicPr>
                  <pic:blipFill>
                    <a:blip r:embed="rId31"/>
                    <a:stretch>
                      <a:fillRect/>
                    </a:stretch>
                  </pic:blipFill>
                  <pic:spPr bwMode="auto">
                    <a:xfrm>
                      <a:off x="0" y="0"/>
                      <a:ext cx="5067300" cy="3777441"/>
                    </a:xfrm>
                    <a:prstGeom prst="rect">
                      <a:avLst/>
                    </a:prstGeom>
                    <a:noFill/>
                    <a:ln w="9525">
                      <a:noFill/>
                      <a:headEnd/>
                      <a:tailEnd/>
                    </a:ln>
                  </pic:spPr>
                </pic:pic>
              </a:graphicData>
            </a:graphic>
          </wp:inline>
        </w:drawing>
      </w:r>
    </w:p>
    <w:p>
      <w:pPr>
        <w:pStyle w:val="ImageCaption"/>
      </w:pPr>
      <w:r>
        <w:rPr>
          <w:rFonts w:hint="eastAsia"/>
        </w:rPr>
        <w:t xml:space="preserve">逐日误差与分段误差诊断。误差没有集中失控于某一阶段，说明模型具备较好的阶段稳健性。</w:t>
      </w:r>
    </w:p>
    <w:bookmarkEnd w:id="34"/>
    <w:bookmarkStart w:id="38" w:name="机制贡献解释"/>
    <w:p>
      <w:pPr>
        <w:pStyle w:val="Heading2"/>
      </w:pPr>
      <w:r>
        <w:rPr>
          <w:rFonts w:hint="eastAsia"/>
        </w:rPr>
        <w:t xml:space="preserve">机制贡献解释</w:t>
      </w:r>
    </w:p>
    <w:p>
      <w:pPr>
        <w:pStyle w:val="FirstParagraph"/>
      </w:pPr>
      <w:r>
        <w:rPr>
          <w:rFonts w:hint="eastAsia"/>
        </w:rPr>
        <w:t xml:space="preserve">机制贡献图显示，封锁风险溢价和不确定性溢价是价格维持高位的主要推升力量；恐慌溢价在前期较明显，但随时间快速衰减。中期以后，缓冲确认折价和预期修复折价逐步压低目标价格，解释了实际油价没有持续维持在极端高位的现象。</w:t>
      </w:r>
    </w:p>
    <w:p>
      <w:pPr>
        <w:pStyle w:val="CaptionedFigure"/>
      </w:pPr>
      <w:r>
        <w:drawing>
          <wp:inline>
            <wp:extent cx="5067300" cy="2856114"/>
            <wp:effectExtent b="0" l="0" r="0" t="0"/>
            <wp:docPr descr="" title="" id="36" name="Picture"/>
            <a:graphic>
              <a:graphicData uri="http://schemas.openxmlformats.org/drawingml/2006/picture">
                <pic:pic>
                  <pic:nvPicPr>
                    <pic:cNvPr descr="短期模型机制贡献.png" id="37" name="Picture"/>
                    <pic:cNvPicPr>
                      <a:picLocks noChangeArrowheads="1" noChangeAspect="1"/>
                    </pic:cNvPicPr>
                  </pic:nvPicPr>
                  <pic:blipFill>
                    <a:blip r:embed="rId35"/>
                    <a:stretch>
                      <a:fillRect/>
                    </a:stretch>
                  </pic:blipFill>
                  <pic:spPr bwMode="auto">
                    <a:xfrm>
                      <a:off x="0" y="0"/>
                      <a:ext cx="5067300" cy="2856114"/>
                    </a:xfrm>
                    <a:prstGeom prst="rect">
                      <a:avLst/>
                    </a:prstGeom>
                    <a:noFill/>
                    <a:ln w="9525">
                      <a:noFill/>
                      <a:headEnd/>
                      <a:tailEnd/>
                    </a:ln>
                  </pic:spPr>
                </pic:pic>
              </a:graphicData>
            </a:graphic>
          </wp:inline>
        </w:drawing>
      </w:r>
    </w:p>
    <w:p>
      <w:pPr>
        <w:pStyle w:val="ImageCaption"/>
      </w:pPr>
      <w:r>
        <w:rPr>
          <w:rFonts w:hint="eastAsia"/>
        </w:rPr>
        <w:t xml:space="preserve">短期模型机制贡献分解。正值表示推升价格，负值表示压低价格。</w:t>
      </w:r>
    </w:p>
    <w:bookmarkEnd w:id="38"/>
    <w:bookmarkStart w:id="42" w:name="候选模型比较"/>
    <w:p>
      <w:pPr>
        <w:pStyle w:val="Heading2"/>
      </w:pPr>
      <w:r>
        <w:rPr>
          <w:rFonts w:hint="eastAsia"/>
        </w:rPr>
        <w:t xml:space="preserve">候选模型比较</w:t>
      </w:r>
    </w:p>
    <w:p>
      <w:pPr>
        <w:pStyle w:val="FirstParagraph"/>
      </w:pPr>
      <w:r>
        <w:rPr>
          <w:rFonts w:hint="eastAsia"/>
        </w:rPr>
        <w:t xml:space="preserve">为了避免结论依赖单一参数组合，阶段</w:t>
      </w:r>
      <w:r>
        <w:t xml:space="preserve"> 4 </w:t>
      </w:r>
      <w:r>
        <w:rPr>
          <w:rFonts w:hint="eastAsia"/>
        </w:rPr>
        <w:t xml:space="preserve">保留了综合最优、RMSE</w:t>
      </w:r>
      <w:r>
        <w:t xml:space="preserve"> </w:t>
      </w:r>
      <w:r>
        <w:rPr>
          <w:rFonts w:hint="eastAsia"/>
        </w:rPr>
        <w:t xml:space="preserve">最优、平台解释最优等候选模型。局部稳健性复核模型同时成为综合最优与</w:t>
      </w:r>
      <w:r>
        <w:t xml:space="preserve"> RMSE </w:t>
      </w:r>
      <w:r>
        <w:rPr>
          <w:rFonts w:hint="eastAsia"/>
        </w:rPr>
        <w:t xml:space="preserve">最优；平台解释最优模型虽然对高价平台刻画更强，但整体误差和低价回落误差较高，因此不作为主模型。</w:t>
      </w:r>
    </w:p>
    <w:p>
      <w:pPr>
        <w:pStyle w:val="CaptionedFigure"/>
      </w:pPr>
      <w:r>
        <w:drawing>
          <wp:inline>
            <wp:extent cx="4907280" cy="2587474"/>
            <wp:effectExtent b="0" l="0" r="0" t="0"/>
            <wp:docPr descr="" title="" id="40" name="Picture"/>
            <a:graphic>
              <a:graphicData uri="http://schemas.openxmlformats.org/drawingml/2006/picture">
                <pic:pic>
                  <pic:nvPicPr>
                    <pic:cNvPr descr="候选模型误差对比.png" id="41" name="Picture"/>
                    <pic:cNvPicPr>
                      <a:picLocks noChangeArrowheads="1" noChangeAspect="1"/>
                    </pic:cNvPicPr>
                  </pic:nvPicPr>
                  <pic:blipFill>
                    <a:blip r:embed="rId39"/>
                    <a:stretch>
                      <a:fillRect/>
                    </a:stretch>
                  </pic:blipFill>
                  <pic:spPr bwMode="auto">
                    <a:xfrm>
                      <a:off x="0" y="0"/>
                      <a:ext cx="4907280" cy="2587474"/>
                    </a:xfrm>
                    <a:prstGeom prst="rect">
                      <a:avLst/>
                    </a:prstGeom>
                    <a:noFill/>
                    <a:ln w="9525">
                      <a:noFill/>
                      <a:headEnd/>
                      <a:tailEnd/>
                    </a:ln>
                  </pic:spPr>
                </pic:pic>
              </a:graphicData>
            </a:graphic>
          </wp:inline>
        </w:drawing>
      </w:r>
    </w:p>
    <w:p>
      <w:pPr>
        <w:pStyle w:val="ImageCaption"/>
      </w:pPr>
      <w:r>
        <w:rPr>
          <w:rFonts w:hint="eastAsia"/>
        </w:rPr>
        <w:t xml:space="preserve">代表候选模型误差结构对比。综合最优模型在整体误差、后期误差和低价回落误差之间取得更均衡的表现。</w:t>
      </w:r>
    </w:p>
    <w:bookmarkEnd w:id="42"/>
    <w:bookmarkStart w:id="49" w:name="质量检验与稳健性分析"/>
    <w:p>
      <w:pPr>
        <w:pStyle w:val="Heading2"/>
      </w:pPr>
      <w:r>
        <w:rPr>
          <w:rFonts w:hint="eastAsia"/>
        </w:rPr>
        <w:t xml:space="preserve">质量检验与稳健性分析</w:t>
      </w:r>
    </w:p>
    <w:p>
      <w:pPr>
        <w:pStyle w:val="FirstParagraph"/>
      </w:pPr>
      <w:r>
        <w:rPr>
          <w:rFonts w:hint="eastAsia"/>
        </w:rPr>
        <w:t xml:space="preserve">仅报告</w:t>
      </w:r>
      <w:r>
        <w:t xml:space="preserve"> RMSE </w:t>
      </w:r>
      <w:r>
        <w:rPr>
          <w:rFonts w:hint="eastAsia"/>
        </w:rPr>
        <w:t xml:space="preserve">容易让模型评价停留在单一拟合指标上。为了判断短期动态模型是否真正具有解释力，本文进一步设置朴素上一日价格基准、相对误差指标、方向命中率、残差自相关和局部扰动稳健性检验。朴素基准定义为使用上一交易日真实收盘价预测当日价格，它代表</w:t>
      </w:r>
      <w:r>
        <w:rPr>
          <w:rFonts w:hint="eastAsia"/>
        </w:rPr>
        <w:t xml:space="preserve">“只依赖价格惯性”</w:t>
      </w:r>
      <w:r>
        <w:rPr>
          <w:rFonts w:hint="eastAsia"/>
        </w:rPr>
        <w:t xml:space="preserve">的最低可比模型。</w:t>
      </w:r>
    </w:p>
    <w:p>
      <w:pPr>
        <w:pStyle w:val="TableCaption"/>
      </w:pPr>
      <w:r>
        <w:rPr>
          <w:rFonts w:hint="eastAsia"/>
        </w:rPr>
        <w:t xml:space="preserve">短期模型增强质量指标</w:t>
      </w:r>
    </w:p>
    <w:tbl>
      <w:tblPr>
        <w:tblStyle w:val="Table"/>
        <w:tblW w:type="auto" w:w="0"/>
        <w:tblLook w:firstRow="1" w:lastRow="0" w:firstColumn="0" w:lastColumn="0" w:noHBand="0" w:noVBand="0" w:val="0020"/>
        <w:tblCaption w:val="短期模型增强质量指标"/>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c>
          <w:tcPr/>
          <w:p>
            <w:pPr>
              <w:pStyle w:val="Compact"/>
              <w:jc w:val="left"/>
            </w:pPr>
            <w:r>
              <w:rPr>
                <w:rFonts w:hint="eastAsia"/>
              </w:rPr>
              <w:t xml:space="preserve">含义</w:t>
            </w:r>
          </w:p>
        </w:tc>
      </w:tr>
      <w:tr>
        <w:tc>
          <w:tcPr/>
          <w:p>
            <w:pPr>
              <w:pStyle w:val="Compact"/>
              <w:jc w:val="left"/>
            </w:pPr>
            <w:r>
              <w:t xml:space="preserve">RMSE</w:t>
            </w:r>
          </w:p>
        </w:tc>
        <w:tc>
          <w:tcPr/>
          <w:p>
            <w:pPr>
              <w:pStyle w:val="Compact"/>
              <w:jc w:val="right"/>
            </w:pPr>
            <w:r>
              <w:t xml:space="preserve">3.47</w:t>
            </w:r>
          </w:p>
        </w:tc>
        <w:tc>
          <w:tcPr/>
          <w:p>
            <w:pPr>
              <w:pStyle w:val="Compact"/>
              <w:jc w:val="left"/>
            </w:pPr>
            <w:r>
              <w:rPr>
                <w:rFonts w:hint="eastAsia"/>
              </w:rPr>
              <w:t xml:space="preserve">全窗口均方根误差，单位为美元/桶</w:t>
            </w:r>
          </w:p>
        </w:tc>
      </w:tr>
      <w:tr>
        <w:tc>
          <w:tcPr/>
          <w:p>
            <w:pPr>
              <w:pStyle w:val="Compact"/>
              <w:jc w:val="left"/>
            </w:pPr>
            <w:r>
              <w:t xml:space="preserve">MAE</w:t>
            </w:r>
          </w:p>
        </w:tc>
        <w:tc>
          <w:tcPr/>
          <w:p>
            <w:pPr>
              <w:pStyle w:val="Compact"/>
              <w:jc w:val="right"/>
            </w:pPr>
            <w:r>
              <w:t xml:space="preserve">2.89</w:t>
            </w:r>
          </w:p>
        </w:tc>
        <w:tc>
          <w:tcPr/>
          <w:p>
            <w:pPr>
              <w:pStyle w:val="Compact"/>
              <w:jc w:val="left"/>
            </w:pPr>
            <w:r>
              <w:rPr>
                <w:rFonts w:hint="eastAsia"/>
              </w:rPr>
              <w:t xml:space="preserve">全窗口平均绝对误差，单位为美元/桶</w:t>
            </w:r>
          </w:p>
        </w:tc>
      </w:tr>
      <w:tr>
        <w:tc>
          <w:tcPr/>
          <w:p>
            <w:pPr>
              <w:pStyle w:val="Compact"/>
              <w:jc w:val="left"/>
            </w:pPr>
            <w:r>
              <w:t xml:space="preserve">MAPE</w:t>
            </w:r>
          </w:p>
        </w:tc>
        <w:tc>
          <w:tcPr/>
          <w:p>
            <w:pPr>
              <w:pStyle w:val="Compact"/>
              <w:jc w:val="right"/>
            </w:pPr>
            <w:r>
              <w:t xml:space="preserve">2.90%</w:t>
            </w:r>
          </w:p>
        </w:tc>
        <w:tc>
          <w:tcPr/>
          <w:p>
            <w:pPr>
              <w:pStyle w:val="Compact"/>
              <w:jc w:val="left"/>
            </w:pPr>
            <w:r>
              <w:rPr>
                <w:rFonts w:hint="eastAsia"/>
              </w:rPr>
              <w:t xml:space="preserve">相对价格水平的平均误差</w:t>
            </w:r>
          </w:p>
        </w:tc>
      </w:tr>
      <w:tr>
        <w:tc>
          <w:tcPr/>
          <w:p>
            <w:pPr>
              <w:pStyle w:val="Compact"/>
              <w:jc w:val="left"/>
            </w:pPr>
            <m:oMath>
              <m:sSup>
                <m:e>
                  <m:r>
                    <m:t>R</m:t>
                  </m:r>
                </m:e>
                <m:sup>
                  <m:r>
                    <m:t>2</m:t>
                  </m:r>
                </m:sup>
              </m:sSup>
            </m:oMath>
          </w:p>
        </w:tc>
        <w:tc>
          <w:tcPr/>
          <w:p>
            <w:pPr>
              <w:pStyle w:val="Compact"/>
              <w:jc w:val="right"/>
            </w:pPr>
            <w:r>
              <w:t xml:space="preserve">0.824</w:t>
            </w:r>
          </w:p>
        </w:tc>
        <w:tc>
          <w:tcPr/>
          <w:p>
            <w:pPr>
              <w:pStyle w:val="Compact"/>
              <w:jc w:val="left"/>
            </w:pPr>
            <w:r>
              <w:rPr>
                <w:rFonts w:hint="eastAsia"/>
              </w:rPr>
              <w:t xml:space="preserve">对真实价格变动的解释比例</w:t>
            </w:r>
          </w:p>
        </w:tc>
      </w:tr>
      <w:tr>
        <w:tc>
          <w:tcPr/>
          <w:p>
            <w:pPr>
              <w:pStyle w:val="Compact"/>
              <w:jc w:val="left"/>
            </w:pPr>
            <w:r>
              <w:t xml:space="preserve">Theil U</w:t>
            </w:r>
          </w:p>
        </w:tc>
        <w:tc>
          <w:tcPr/>
          <w:p>
            <w:pPr>
              <w:pStyle w:val="Compact"/>
              <w:jc w:val="right"/>
            </w:pPr>
            <w:r>
              <w:t xml:space="preserve">0.776</w:t>
            </w:r>
          </w:p>
        </w:tc>
        <w:tc>
          <w:tcPr/>
          <w:p>
            <w:pPr>
              <w:pStyle w:val="Compact"/>
              <w:jc w:val="left"/>
            </w:pPr>
            <w:r>
              <w:rPr>
                <w:rFonts w:hint="eastAsia"/>
              </w:rPr>
              <w:t xml:space="preserve">相对朴素上一日基准的误差比，小于</w:t>
            </w:r>
            <w:r>
              <w:t xml:space="preserve"> 1 </w:t>
            </w:r>
            <w:r>
              <w:rPr>
                <w:rFonts w:hint="eastAsia"/>
              </w:rPr>
              <w:t xml:space="preserve">表示优于基准</w:t>
            </w:r>
          </w:p>
        </w:tc>
      </w:tr>
      <w:tr>
        <w:tc>
          <w:tcPr/>
          <w:p>
            <w:pPr>
              <w:pStyle w:val="Compact"/>
              <w:jc w:val="left"/>
            </w:pPr>
            <w:r>
              <w:t xml:space="preserve">RMSE </w:t>
            </w:r>
            <w:r>
              <w:rPr>
                <w:rFonts w:hint="eastAsia"/>
              </w:rPr>
              <w:t xml:space="preserve">改善率</w:t>
            </w:r>
          </w:p>
        </w:tc>
        <w:tc>
          <w:tcPr/>
          <w:p>
            <w:pPr>
              <w:pStyle w:val="Compact"/>
              <w:jc w:val="right"/>
            </w:pPr>
            <w:r>
              <w:t xml:space="preserve">22.4%</w:t>
            </w:r>
          </w:p>
        </w:tc>
        <w:tc>
          <w:tcPr/>
          <w:p>
            <w:pPr>
              <w:pStyle w:val="Compact"/>
              <w:jc w:val="left"/>
            </w:pPr>
            <w:r>
              <w:rPr>
                <w:rFonts w:hint="eastAsia"/>
              </w:rPr>
              <w:t xml:space="preserve">相对朴素上一日基准的误差下降幅度</w:t>
            </w:r>
          </w:p>
        </w:tc>
      </w:tr>
      <w:tr>
        <w:tc>
          <w:tcPr/>
          <w:p>
            <w:pPr>
              <w:pStyle w:val="Compact"/>
              <w:jc w:val="left"/>
            </w:pPr>
            <w:r>
              <w:rPr>
                <w:rFonts w:hint="eastAsia"/>
              </w:rPr>
              <w:t xml:space="preserve">方向命中率</w:t>
            </w:r>
          </w:p>
        </w:tc>
        <w:tc>
          <w:tcPr/>
          <w:p>
            <w:pPr>
              <w:pStyle w:val="Compact"/>
              <w:jc w:val="right"/>
            </w:pPr>
            <w:r>
              <w:t xml:space="preserve">64.4%</w:t>
            </w:r>
          </w:p>
        </w:tc>
        <w:tc>
          <w:tcPr/>
          <w:p>
            <w:pPr>
              <w:pStyle w:val="Compact"/>
              <w:jc w:val="left"/>
            </w:pPr>
            <w:r>
              <w:rPr>
                <w:rFonts w:hint="eastAsia"/>
              </w:rPr>
              <w:t xml:space="preserve">模型涨跌方向与真实涨跌方向一致的比例</w:t>
            </w:r>
          </w:p>
        </w:tc>
      </w:tr>
      <w:tr>
        <w:tc>
          <w:tcPr/>
          <w:p>
            <w:pPr>
              <w:pStyle w:val="Compact"/>
              <w:jc w:val="left"/>
            </w:pPr>
            <w:r>
              <w:rPr>
                <w:rFonts w:hint="eastAsia"/>
              </w:rPr>
              <w:t xml:space="preserve">残差一阶自相关</w:t>
            </w:r>
          </w:p>
        </w:tc>
        <w:tc>
          <w:tcPr/>
          <w:p>
            <w:pPr>
              <w:pStyle w:val="Compact"/>
              <w:jc w:val="right"/>
            </w:pPr>
            <w:r>
              <w:t xml:space="preserve">0.263</w:t>
            </w:r>
          </w:p>
        </w:tc>
        <w:tc>
          <w:tcPr/>
          <w:p>
            <w:pPr>
              <w:pStyle w:val="Compact"/>
              <w:jc w:val="left"/>
            </w:pPr>
            <w:r>
              <w:rPr>
                <w:rFonts w:hint="eastAsia"/>
              </w:rPr>
              <w:t xml:space="preserve">残差持续偏向程度，当前未出现强自相关</w:t>
            </w:r>
          </w:p>
        </w:tc>
      </w:tr>
    </w:tbl>
    <w:p>
      <w:pPr>
        <w:pStyle w:val="BodyText"/>
      </w:pPr>
      <w:r>
        <w:rPr>
          <w:rFonts w:hint="eastAsia"/>
        </w:rPr>
        <w:t xml:space="preserve">质量指标显示，动态模型不仅绝对误差较低，而且明显优于朴素上一日价格基准。这一点很重要：若模型只是平滑跟随历史价格，则</w:t>
      </w:r>
      <w:r>
        <w:t xml:space="preserve"> Theil U </w:t>
      </w:r>
      <w:r>
        <w:rPr>
          <w:rFonts w:hint="eastAsia"/>
        </w:rPr>
        <w:t xml:space="preserve">通常接近或高于</w:t>
      </w:r>
      <w:r>
        <w:t xml:space="preserve"> </w:t>
      </w:r>
      <w:r>
        <w:rPr>
          <w:rFonts w:hint="eastAsia"/>
        </w:rPr>
        <w:t xml:space="preserve">1；当前</w:t>
      </w:r>
      <w:r>
        <w:t xml:space="preserve"> Theil U </w:t>
      </w:r>
      <w:r>
        <w:rPr>
          <w:rFonts w:hint="eastAsia"/>
        </w:rPr>
        <w:t xml:space="preserve">为</w:t>
      </w:r>
      <w:r>
        <w:t xml:space="preserve"> </w:t>
      </w:r>
      <w:r>
        <w:rPr>
          <w:rFonts w:hint="eastAsia"/>
        </w:rPr>
        <w:t xml:space="preserve">0.776，说明模型中的供需、风险和缓冲机制提供了价格惯性之外的解释力。</w:t>
      </w:r>
    </w:p>
    <w:p>
      <w:pPr>
        <w:pStyle w:val="CaptionedFigure"/>
      </w:pPr>
      <w:r>
        <w:drawing>
          <wp:inline>
            <wp:extent cx="5067300" cy="3774882"/>
            <wp:effectExtent b="0" l="0" r="0" t="0"/>
            <wp:docPr descr="" title="" id="44" name="Picture"/>
            <a:graphic>
              <a:graphicData uri="http://schemas.openxmlformats.org/drawingml/2006/picture">
                <pic:pic>
                  <pic:nvPicPr>
                    <pic:cNvPr descr="短期模型残差诊断增强.png" id="45" name="Picture"/>
                    <pic:cNvPicPr>
                      <a:picLocks noChangeArrowheads="1" noChangeAspect="1"/>
                    </pic:cNvPicPr>
                  </pic:nvPicPr>
                  <pic:blipFill>
                    <a:blip r:embed="rId43"/>
                    <a:stretch>
                      <a:fillRect/>
                    </a:stretch>
                  </pic:blipFill>
                  <pic:spPr bwMode="auto">
                    <a:xfrm>
                      <a:off x="0" y="0"/>
                      <a:ext cx="5067300" cy="3774882"/>
                    </a:xfrm>
                    <a:prstGeom prst="rect">
                      <a:avLst/>
                    </a:prstGeom>
                    <a:noFill/>
                    <a:ln w="9525">
                      <a:noFill/>
                      <a:headEnd/>
                      <a:tailEnd/>
                    </a:ln>
                  </pic:spPr>
                </pic:pic>
              </a:graphicData>
            </a:graphic>
          </wp:inline>
        </w:drawing>
      </w:r>
    </w:p>
    <w:p>
      <w:pPr>
        <w:pStyle w:val="ImageCaption"/>
      </w:pPr>
      <w:r>
        <w:rPr>
          <w:rFonts w:hint="eastAsia"/>
        </w:rPr>
        <w:t xml:space="preserve">短期模型增强残差诊断。图中展示实际值与模拟值一致性、残差分布、滚动误差和残差自相关。</w:t>
      </w:r>
    </w:p>
    <w:p>
      <w:pPr>
        <w:pStyle w:val="BodyText"/>
      </w:pPr>
      <w:r>
        <w:rPr>
          <w:rFonts w:hint="eastAsia"/>
        </w:rPr>
        <w:t xml:space="preserve">为了进一步检验结论是否依赖单一参数组合，本文围绕综合最优参数进行</w:t>
      </w:r>
      <w:r>
        <w:t xml:space="preserve"> 800 </w:t>
      </w:r>
      <w:r>
        <w:rPr>
          <w:rFonts w:hint="eastAsia"/>
        </w:rPr>
        <w:t xml:space="preserve">组局部扰动。扰动样本同时改变供应中断、SPR</w:t>
      </w:r>
      <w:r>
        <w:t xml:space="preserve"> </w:t>
      </w:r>
      <w:r>
        <w:rPr>
          <w:rFonts w:hint="eastAsia"/>
        </w:rPr>
        <w:t xml:space="preserve">释放、绕道恢复、需求弹性、风险权重、缓冲折价和预期修复折价等参数，并重新计算完整价格路径。结果显示，在</w:t>
      </w:r>
      <w:r>
        <w:t xml:space="preserve"> 801 </w:t>
      </w:r>
      <w:r>
        <w:rPr>
          <w:rFonts w:hint="eastAsia"/>
        </w:rPr>
        <w:t xml:space="preserve">组样本中，99.4%</w:t>
      </w:r>
      <w:r>
        <w:t xml:space="preserve"> </w:t>
      </w:r>
      <w:r>
        <w:rPr>
          <w:rFonts w:hint="eastAsia"/>
        </w:rPr>
        <w:t xml:space="preserve">的样本同时满足</w:t>
      </w:r>
      <w:r>
        <w:t xml:space="preserve"> RMSE </w:t>
      </w:r>
      <w:r>
        <w:rPr>
          <w:rFonts w:hint="eastAsia"/>
        </w:rPr>
        <w:t xml:space="preserve">不高于</w:t>
      </w:r>
      <w:r>
        <w:t xml:space="preserve"> </w:t>
      </w:r>
      <w:r>
        <w:rPr>
          <w:rFonts w:hint="eastAsia"/>
        </w:rPr>
        <w:t xml:space="preserve">5、高价平台</w:t>
      </w:r>
      <w:r>
        <w:t xml:space="preserve"> RMSE </w:t>
      </w:r>
      <w:r>
        <w:rPr>
          <w:rFonts w:hint="eastAsia"/>
        </w:rPr>
        <w:t xml:space="preserve">不高于</w:t>
      </w:r>
      <w:r>
        <w:t xml:space="preserve"> </w:t>
      </w:r>
      <w:r>
        <w:rPr>
          <w:rFonts w:hint="eastAsia"/>
        </w:rPr>
        <w:t xml:space="preserve">5、低价回落</w:t>
      </w:r>
      <w:r>
        <w:t xml:space="preserve"> RMSE </w:t>
      </w:r>
      <w:r>
        <w:rPr>
          <w:rFonts w:hint="eastAsia"/>
        </w:rPr>
        <w:t xml:space="preserve">不高于</w:t>
      </w:r>
      <w:r>
        <w:t xml:space="preserve"> </w:t>
      </w:r>
      <w:r>
        <w:rPr>
          <w:rFonts w:hint="eastAsia"/>
        </w:rPr>
        <w:t xml:space="preserve">6、后期</w:t>
      </w:r>
      <w:r>
        <w:t xml:space="preserve"> RMSE </w:t>
      </w:r>
      <w:r>
        <w:rPr>
          <w:rFonts w:hint="eastAsia"/>
        </w:rPr>
        <w:t xml:space="preserve">不高于</w:t>
      </w:r>
      <w:r>
        <w:t xml:space="preserve"> 5 </w:t>
      </w:r>
      <w:r>
        <w:rPr>
          <w:rFonts w:hint="eastAsia"/>
        </w:rPr>
        <w:t xml:space="preserve">的优秀阈值。优秀扰动样本的</w:t>
      </w:r>
      <w:r>
        <w:t xml:space="preserve"> 10%–90% </w:t>
      </w:r>
      <w:r>
        <w:rPr>
          <w:rFonts w:hint="eastAsia"/>
        </w:rPr>
        <w:t xml:space="preserve">价格带平均宽度为</w:t>
      </w:r>
      <w:r>
        <w:t xml:space="preserve"> 2.18 </w:t>
      </w:r>
      <w:r>
        <w:rPr>
          <w:rFonts w:hint="eastAsia"/>
        </w:rPr>
        <w:t xml:space="preserve">美元/桶，最大宽度为</w:t>
      </w:r>
      <w:r>
        <w:t xml:space="preserve"> 3.01 </w:t>
      </w:r>
      <w:r>
        <w:rPr>
          <w:rFonts w:hint="eastAsia"/>
        </w:rPr>
        <w:t xml:space="preserve">美元/桶。</w:t>
      </w:r>
    </w:p>
    <w:p>
      <w:pPr>
        <w:pStyle w:val="CaptionedFigure"/>
      </w:pPr>
      <w:r>
        <w:drawing>
          <wp:inline>
            <wp:extent cx="5067300" cy="2671849"/>
            <wp:effectExtent b="0" l="0" r="0" t="0"/>
            <wp:docPr descr="" title="" id="47" name="Picture"/>
            <a:graphic>
              <a:graphicData uri="http://schemas.openxmlformats.org/drawingml/2006/picture">
                <pic:pic>
                  <pic:nvPicPr>
                    <pic:cNvPr descr="短期模型稳健性带.png" id="48" name="Picture"/>
                    <pic:cNvPicPr>
                      <a:picLocks noChangeArrowheads="1" noChangeAspect="1"/>
                    </pic:cNvPicPr>
                  </pic:nvPicPr>
                  <pic:blipFill>
                    <a:blip r:embed="rId46"/>
                    <a:stretch>
                      <a:fillRect/>
                    </a:stretch>
                  </pic:blipFill>
                  <pic:spPr bwMode="auto">
                    <a:xfrm>
                      <a:off x="0" y="0"/>
                      <a:ext cx="5067300" cy="2671849"/>
                    </a:xfrm>
                    <a:prstGeom prst="rect">
                      <a:avLst/>
                    </a:prstGeom>
                    <a:noFill/>
                    <a:ln w="9525">
                      <a:noFill/>
                      <a:headEnd/>
                      <a:tailEnd/>
                    </a:ln>
                  </pic:spPr>
                </pic:pic>
              </a:graphicData>
            </a:graphic>
          </wp:inline>
        </w:drawing>
      </w:r>
    </w:p>
    <w:p>
      <w:pPr>
        <w:pStyle w:val="ImageCaption"/>
      </w:pPr>
      <w:r>
        <w:rPr>
          <w:rFonts w:hint="eastAsia"/>
        </w:rPr>
        <w:t xml:space="preserve">短期模型局部扰动稳健性区间。蓝色区间表示优秀扰动样本的价格分布，红线为综合最优模型，黑线为实际收盘价。</w:t>
      </w:r>
    </w:p>
    <w:p>
      <w:pPr>
        <w:pStyle w:val="BodyText"/>
      </w:pPr>
      <w:r>
        <w:rPr>
          <w:rFonts w:hint="eastAsia"/>
        </w:rPr>
        <w:t xml:space="preserve">上述结果说明，当前短期模型不是由某一个偶然参数点支撑，而是在最优参数附近存在稳定的优秀参数邻域。这增强了后续情景预测使用该模型作为中性基准的可信度。</w:t>
      </w:r>
    </w:p>
    <w:bookmarkEnd w:id="49"/>
    <w:bookmarkEnd w:id="50"/>
    <w:bookmarkStart w:id="51" w:name="模型评价与后续扩展"/>
    <w:p>
      <w:pPr>
        <w:pStyle w:val="Heading1"/>
      </w:pPr>
      <w:r>
        <w:rPr>
          <w:rFonts w:hint="eastAsia"/>
        </w:rPr>
        <w:t xml:space="preserve">模型评价与后续扩展</w:t>
      </w:r>
    </w:p>
    <w:p>
      <w:pPr>
        <w:pStyle w:val="FirstParagraph"/>
      </w:pPr>
      <w:r>
        <w:rPr>
          <w:rFonts w:hint="eastAsia"/>
        </w:rPr>
        <w:t xml:space="preserve">本文短期动态模型具有三个优点。第一，模型结构与赛题机制对应明确，不是简单黑箱拟合；第二，模型通过多目标函数同时约束峰值、末日价格、平台误差和回落误差；第三，模型输出可以直接支撑后续三情景预测和敏感性分析。</w:t>
      </w:r>
    </w:p>
    <w:p>
      <w:pPr>
        <w:pStyle w:val="BodyText"/>
      </w:pPr>
      <w:r>
        <w:rPr>
          <w:rFonts w:hint="eastAsia"/>
        </w:rPr>
        <w:t xml:space="preserve">模型也存在限制。首先，当前校准窗口只有</w:t>
      </w:r>
      <w:r>
        <w:t xml:space="preserve"> 46 </w:t>
      </w:r>
      <w:r>
        <w:rPr>
          <w:rFonts w:hint="eastAsia"/>
        </w:rPr>
        <w:t xml:space="preserve">个交易日，样本规模较小；其次，地缘政治风险和市场预期以参数化方式进入模型，并未使用新闻文本或期权隐含波动率等外部变量；再次，本文聚焦短期窗口，尚未展开</w:t>
      </w:r>
      <w:r>
        <w:t xml:space="preserve"> 60–180 </w:t>
      </w:r>
      <w:r>
        <w:rPr>
          <w:rFonts w:hint="eastAsia"/>
        </w:rPr>
        <w:t xml:space="preserve">天长期情景预测。</w:t>
      </w:r>
    </w:p>
    <w:p>
      <w:pPr>
        <w:pStyle w:val="BodyText"/>
      </w:pPr>
      <w:r>
        <w:rPr>
          <w:rFonts w:hint="eastAsia"/>
        </w:rPr>
        <w:t xml:space="preserve">后续研究可在三个方向继续扩展：</w:t>
      </w:r>
    </w:p>
    <w:p>
      <w:pPr>
        <w:numPr>
          <w:ilvl w:val="0"/>
          <w:numId w:val="1001"/>
        </w:numPr>
      </w:pPr>
      <w:r>
        <w:rPr>
          <w:rFonts w:hint="eastAsia"/>
        </w:rPr>
        <w:t xml:space="preserve">基于当前综合最优参数，构建乐观、中性、悲观三类封锁持续情景；</w:t>
      </w:r>
    </w:p>
    <w:p>
      <w:pPr>
        <w:numPr>
          <w:ilvl w:val="0"/>
          <w:numId w:val="1001"/>
        </w:numPr>
      </w:pPr>
      <w:r>
        <w:rPr>
          <w:rFonts w:hint="eastAsia"/>
        </w:rPr>
        <w:t xml:space="preserve">对供应中断、SPR</w:t>
      </w:r>
      <w:r>
        <w:t xml:space="preserve"> </w:t>
      </w:r>
      <w:r>
        <w:rPr>
          <w:rFonts w:hint="eastAsia"/>
        </w:rPr>
        <w:t xml:space="preserve">释放、需求弹性和预期修复强度进行敏感性分析；</w:t>
      </w:r>
    </w:p>
    <w:p>
      <w:pPr>
        <w:numPr>
          <w:ilvl w:val="0"/>
          <w:numId w:val="1001"/>
        </w:numPr>
      </w:pPr>
      <w:r>
        <w:rPr>
          <w:rFonts w:hint="eastAsia"/>
        </w:rPr>
        <w:t xml:space="preserve">将阶段</w:t>
      </w:r>
      <w:r>
        <w:t xml:space="preserve"> 4 </w:t>
      </w:r>
      <w:r>
        <w:rPr>
          <w:rFonts w:hint="eastAsia"/>
        </w:rPr>
        <w:t xml:space="preserve">的短期模型嵌入交互式展示系统，用于答辩演示和参数解释。</w:t>
      </w:r>
    </w:p>
    <w:bookmarkEnd w:id="51"/>
    <w:bookmarkStart w:id="53" w:name="结论"/>
    <w:p>
      <w:pPr>
        <w:pStyle w:val="Heading1"/>
      </w:pPr>
      <w:r>
        <w:rPr>
          <w:rFonts w:hint="eastAsia"/>
        </w:rPr>
        <w:t xml:space="preserve">结论</w:t>
      </w:r>
    </w:p>
    <w:p>
      <w:pPr>
        <w:pStyle w:val="FirstParagraph"/>
      </w:pPr>
      <w:r>
        <w:rPr>
          <w:rFonts w:hint="eastAsia"/>
        </w:rPr>
        <w:t xml:space="preserve">本文围绕霍尔木兹海峡封锁对国际原油价格的短期影响，建立了从静态供需上界到动态缓冲解释的模型链条。结果表明，传统供需模型能够说明供应缺口带来的理论价格压力，但会显著高估现实油价；加入战略储备、库存缓冲、绕道运输、需求弹性、地缘风险、恐慌衰减和预期修复后，短期动态模型能够较好解释冲突窗口内油价的上行、平台和回落。</w:t>
      </w:r>
    </w:p>
    <w:p>
      <w:pPr>
        <w:pStyle w:val="BodyText"/>
      </w:pPr>
      <w:r>
        <w:rPr>
          <w:rFonts w:hint="eastAsia"/>
        </w:rPr>
        <w:t xml:space="preserve">校准结果显示，综合最优模型的全窗口</w:t>
      </w:r>
      <w:r>
        <w:t xml:space="preserve"> RMSE </w:t>
      </w:r>
      <w:r>
        <w:rPr>
          <w:rFonts w:hint="eastAsia"/>
        </w:rPr>
        <w:t xml:space="preserve">为</w:t>
      </w:r>
      <w:r>
        <w:t xml:space="preserve"> 3.47 </w:t>
      </w:r>
      <w:r>
        <w:rPr>
          <w:rFonts w:hint="eastAsia"/>
        </w:rPr>
        <w:t xml:space="preserve">美元/桶，MAE</w:t>
      </w:r>
      <w:r>
        <w:t xml:space="preserve"> </w:t>
      </w:r>
      <w:r>
        <w:rPr>
          <w:rFonts w:hint="eastAsia"/>
        </w:rPr>
        <w:t xml:space="preserve">为</w:t>
      </w:r>
      <w:r>
        <w:t xml:space="preserve"> 2.89 </w:t>
      </w:r>
      <w:r>
        <w:rPr>
          <w:rFonts w:hint="eastAsia"/>
        </w:rPr>
        <w:t xml:space="preserve">美元/桶，后期再定价</w:t>
      </w:r>
      <w:r>
        <w:t xml:space="preserve"> RMSE </w:t>
      </w:r>
      <w:r>
        <w:rPr>
          <w:rFonts w:hint="eastAsia"/>
        </w:rPr>
        <w:t xml:space="preserve">为</w:t>
      </w:r>
      <w:r>
        <w:t xml:space="preserve"> 2.84 </w:t>
      </w:r>
      <w:r>
        <w:rPr>
          <w:rFonts w:hint="eastAsia"/>
        </w:rPr>
        <w:t xml:space="preserve">美元/桶，低价回落</w:t>
      </w:r>
      <w:r>
        <w:t xml:space="preserve"> RMSE </w:t>
      </w:r>
      <w:r>
        <w:rPr>
          <w:rFonts w:hint="eastAsia"/>
        </w:rPr>
        <w:t xml:space="preserve">为</w:t>
      </w:r>
      <w:r>
        <w:t xml:space="preserve"> 3.48 </w:t>
      </w:r>
      <w:r>
        <w:rPr>
          <w:rFonts w:hint="eastAsia"/>
        </w:rPr>
        <w:t xml:space="preserve">美元/桶。相对于朴素上一日价格基准，模型</w:t>
      </w:r>
      <w:r>
        <w:t xml:space="preserve"> RMSE </w:t>
      </w:r>
      <w:r>
        <w:rPr>
          <w:rFonts w:hint="eastAsia"/>
        </w:rPr>
        <w:t xml:space="preserve">改善</w:t>
      </w:r>
      <w:r>
        <w:t xml:space="preserve"> </w:t>
      </w:r>
      <w:r>
        <w:rPr>
          <w:rFonts w:hint="eastAsia"/>
        </w:rPr>
        <w:t xml:space="preserve">22.4%，并在局部参数扰动下保持较窄的优秀价格带。模型质量足以作为后续情景预测的中性基准，也可作为最终论文中短期机制解释部分的核心模型。</w:t>
      </w:r>
    </w:p>
    <w:p>
      <w:pPr>
        <w:pStyle w:val="BodyText"/>
      </w:pPr>
      <w:r>
        <w:t xml:space="preserve">99</w:t>
      </w:r>
      <w:r>
        <w:t xml:space="preserve"> </w:t>
      </w:r>
      <w:r>
        <w:t xml:space="preserve">Kilian, L. (2009). Not All Oil Price Shocks Are Alike: Disentangling Demand and Supply Shocks in the Crude Oil Market.</w:t>
      </w:r>
      <w:r>
        <w:t xml:space="preserve"> </w:t>
      </w:r>
      <w:r>
        <w:rPr>
          <w:i/>
          <w:iCs/>
        </w:rPr>
        <w:t xml:space="preserve">American Economic Review</w:t>
      </w:r>
      <w:r>
        <w:t xml:space="preserve">, 99(3), 1053–1069.</w:t>
      </w:r>
    </w:p>
    <w:p>
      <w:pPr>
        <w:pStyle w:val="BodyText"/>
      </w:pPr>
      <w:r>
        <w:t xml:space="preserve">Hamilton, J. D. (2009). Causes and Consequences of the Oil Shock of 2007–08.</w:t>
      </w:r>
      <w:r>
        <w:t xml:space="preserve"> </w:t>
      </w:r>
      <w:r>
        <w:rPr>
          <w:i/>
          <w:iCs/>
        </w:rPr>
        <w:t xml:space="preserve">Brookings Papers on Economic Activity</w:t>
      </w:r>
      <w:r>
        <w:t xml:space="preserve">, Spring 2009, 215–261.</w:t>
      </w:r>
    </w:p>
    <w:p>
      <w:pPr>
        <w:pStyle w:val="BodyText"/>
      </w:pPr>
      <w:r>
        <w:t xml:space="preserve">Kilian, L., &amp; Murphy, D. P. (2014). The Role of Inventories and Speculative Trading in the Global Market for Crude Oil.</w:t>
      </w:r>
      <w:r>
        <w:t xml:space="preserve"> </w:t>
      </w:r>
      <w:r>
        <w:rPr>
          <w:i/>
          <w:iCs/>
        </w:rPr>
        <w:t xml:space="preserve">Journal of Applied Econometrics</w:t>
      </w:r>
      <w:r>
        <w:t xml:space="preserve">, 29(3), 454–478.</w:t>
      </w:r>
    </w:p>
    <w:p>
      <w:pPr>
        <w:pStyle w:val="BodyText"/>
      </w:pPr>
      <w:r>
        <w:t xml:space="preserve">Baumeister, C., &amp; Kilian, L. (2016). Understanding the Decline in the Price of Oil since June 2014.</w:t>
      </w:r>
      <w:r>
        <w:t xml:space="preserve"> </w:t>
      </w:r>
      <w:r>
        <w:rPr>
          <w:i/>
          <w:iCs/>
        </w:rPr>
        <w:t xml:space="preserve">Journal of the Association of Environmental and Resource Economists</w:t>
      </w:r>
      <w:r>
        <w:t xml:space="preserve">, 3(1), 131–158.</w:t>
      </w:r>
    </w:p>
    <w:p>
      <w:pPr>
        <w:pStyle w:val="BodyText"/>
      </w:pPr>
      <w:r>
        <w:t xml:space="preserve">Caldara, D., &amp; Iacoviello, M. (2022). Measuring Geopolitical Risk.</w:t>
      </w:r>
      <w:r>
        <w:t xml:space="preserve"> </w:t>
      </w:r>
      <w:r>
        <w:rPr>
          <w:i/>
          <w:iCs/>
        </w:rPr>
        <w:t xml:space="preserve">American Economic Review</w:t>
      </w:r>
      <w:r>
        <w:t xml:space="preserve">, 112(4), 1194–1225.</w:t>
      </w:r>
    </w:p>
    <w:p>
      <w:pPr>
        <w:pStyle w:val="BodyText"/>
      </w:pPr>
      <w:r>
        <w:t xml:space="preserve">Cooper, J. C. B. (2003). Price elasticity of demand for crude oil: estimates for 23 countries.</w:t>
      </w:r>
      <w:r>
        <w:t xml:space="preserve"> </w:t>
      </w:r>
      <w:r>
        <w:rPr>
          <w:i/>
          <w:iCs/>
        </w:rPr>
        <w:t xml:space="preserve">OPEC Review</w:t>
      </w:r>
      <w:r>
        <w:t xml:space="preserve">, 27(1), 1–8.</w:t>
      </w:r>
    </w:p>
    <w:p>
      <w:pPr>
        <w:pStyle w:val="BodyText"/>
      </w:pPr>
      <w:r>
        <w:t xml:space="preserve">Stevens, P., &amp; Zhang, D. (2021). The asymmetric impact of strategic petroleum reserve releases on crude oil prices.</w:t>
      </w:r>
      <w:r>
        <w:t xml:space="preserve"> </w:t>
      </w:r>
      <w:r>
        <w:rPr>
          <w:i/>
          <w:iCs/>
        </w:rPr>
        <w:t xml:space="preserve">Energy Economics</w:t>
      </w:r>
      <w:r>
        <w:t xml:space="preserve">, 102, 105474.</w:t>
      </w:r>
    </w:p>
    <w:p>
      <w:pPr>
        <w:pStyle w:val="BodyText"/>
      </w:pPr>
      <w:r>
        <w:t xml:space="preserve">U.S. Energy Information Administration. World Oil Transit Chokepoints.</w:t>
      </w:r>
      <w:r>
        <w:t xml:space="preserve"> </w:t>
      </w:r>
      <w:hyperlink r:id="rId52">
        <w:r>
          <w:rPr>
            <w:rStyle w:val="Hyperlink"/>
          </w:rPr>
          <w:t xml:space="preserve">https://www.eia.gov/international/analysis/special-topics/World_Oil_Transit_Chokepoints</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3" Target="media/rId13.png" /><Relationship Type="http://schemas.openxmlformats.org/officeDocument/2006/relationships/image" Id="rId10" Target="media/rId10.png"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31" Target="media/rId31.png" /><Relationship Type="http://schemas.openxmlformats.org/officeDocument/2006/relationships/hyperlink" Id="rId52" Target="https://www.eia.gov/international/analysis/special-topics/World_Oil_Transit_Chokepoints" TargetMode="External" /></Relationships>
</file>

<file path=word/_rels/footnotes.xml.rels><?xml version="1.0" encoding="UTF-8"?><Relationships xmlns="http://schemas.openxmlformats.org/package/2006/relationships"><Relationship Type="http://schemas.openxmlformats.org/officeDocument/2006/relationships/hyperlink" Id="rId52" Target="https://www.eia.gov/international/analysis/special-topics/World_Oil_Transit_Chokepoi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霍尔木兹海峡封锁对国际原油价格影响的短期动态模型研究</dc:title>
  <dc:creator>数学建模 A 题项目组</dc:creator>
  <cp:keywords/>
  <dcterms:created xsi:type="dcterms:W3CDTF">2026-05-09T15:26:22Z</dcterms:created>
  <dcterms:modified xsi:type="dcterms:W3CDTF">2026-05-09T15:26:22Z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5 月</vt:lpwstr>
  </property>
</Properties>
</file>