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145.png" ContentType="image/png"/>
  <Override PartName="/word/media/rId32.png" ContentType="image/png"/>
  <Override PartName="/word/media/rId130.png" ContentType="image/png"/>
  <Override PartName="/word/media/rId23.png" ContentType="image/png"/>
  <Override PartName="/word/media/rId127.png" ContentType="image/png"/>
  <Override PartName="/word/media/rId142.png" ContentType="image/png"/>
  <Override PartName="/word/media/rId67.png" ContentType="image/png"/>
  <Override PartName="/word/media/rId133.png" ContentType="image/png"/>
  <Override PartName="/word/media/rId20.png" ContentType="image/png"/>
  <Override PartName="/word/media/rId27.png" ContentType="image/png"/>
  <Override PartName="/word/media/rId148.png" ContentType="image/png"/>
  <Override PartName="/word/media/rId136.png" ContentType="image/png"/>
  <Override PartName="/word/media/rId55.png" ContentType="image/png"/>
  <Override PartName="/word/media/rId114.png" ContentType="image/png"/>
  <Override PartName="/word/media/rId111.png" ContentType="image/png"/>
  <Override PartName="/word/media/rId42.png" ContentType="image/png"/>
  <Override PartName="/word/media/rId108.png" ContentType="image/png"/>
  <Override PartName="/word/media/rId117.png" ContentType="image/png"/>
  <Override PartName="/word/media/rId123.png" ContentType="image/png"/>
  <Override PartName="/word/media/rId120.png" ContentType="image/png"/>
  <Override PartName="/word/media/rId76.png" ContentType="image/png"/>
  <Override PartName="/word/media/rId51.png" ContentType="image/png"/>
  <Override PartName="/word/media/rId71.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pPr>
        <w:pStyle w:val="BodyText"/>
      </w:pPr>
      <w:r>
        <w:t xml:space="preserve"> </w:t>
      </w:r>
      <w:r>
        <w:rPr>
          <w:rFonts w:hint="eastAsia"/>
          <w:b/>
          <w:bCs/>
        </w:rPr>
        <w:t xml:space="preserve">摘要</w:t>
      </w:r>
    </w:p>
    <w:p>
      <w:pPr>
        <w:pStyle w:val="BodyText"/>
      </w:pPr>
      <w:r>
        <w:rPr>
          <w:rFonts w:hint="eastAsia"/>
        </w:rPr>
        <w:t xml:space="preserve">霍尔木兹海峡为全球原油运输核心通道，其封锁将通过供应中断、地缘风险、战略储备释放、商业库存缓冲、绕道运输及预期修复共同影响国际油价。本文以布伦特原油期货主力合约价格为数据基础，构建传统供需基准–短期冲击模型–中长期调节模型–敏感性分析的完整模型框架。</w:t>
      </w:r>
    </w:p>
    <w:p>
      <w:pPr>
        <w:pStyle w:val="BodyText"/>
      </w:pPr>
      <w:r>
        <w:rPr>
          <w:rFonts w:hint="eastAsia"/>
        </w:rPr>
        <w:t xml:space="preserve">本文选取</w:t>
      </w:r>
      <w:r>
        <w:t xml:space="preserve"> 2017 </w:t>
      </w:r>
      <w:r>
        <w:rPr>
          <w:rFonts w:hint="eastAsia"/>
        </w:rPr>
        <w:t xml:space="preserve">年</w:t>
      </w:r>
      <w:r>
        <w:t xml:space="preserve"> 9 </w:t>
      </w:r>
      <w:r>
        <w:rPr>
          <w:rFonts w:hint="eastAsia"/>
        </w:rPr>
        <w:t xml:space="preserve">月–2026</w:t>
      </w:r>
      <w:r>
        <w:t xml:space="preserve"> </w:t>
      </w:r>
      <w:r>
        <w:rPr>
          <w:rFonts w:hint="eastAsia"/>
        </w:rPr>
        <w:t xml:space="preserve">年</w:t>
      </w:r>
      <w:r>
        <w:t xml:space="preserve"> 5 </w:t>
      </w:r>
      <w:r>
        <w:rPr>
          <w:rFonts w:hint="eastAsia"/>
        </w:rPr>
        <w:t xml:space="preserve">月油价数据，以</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日–5</w:t>
      </w:r>
      <w:r>
        <w:t xml:space="preserve"> </w:t>
      </w:r>
      <w:r>
        <w:rPr>
          <w:rFonts w:hint="eastAsia"/>
        </w:rPr>
        <w:t xml:space="preserve">月</w:t>
      </w:r>
      <w:r>
        <w:t xml:space="preserve"> 5 </w:t>
      </w:r>
      <w:r>
        <w:rPr>
          <w:rFonts w:hint="eastAsia"/>
        </w:rPr>
        <w:t xml:space="preserve">日为冲突窗口；该区间内最高收盘价为</w:t>
      </w:r>
      <w:r>
        <w:t xml:space="preserve"> 114.06 </w:t>
      </w:r>
      <w:r>
        <w:rPr>
          <w:rFonts w:hint="eastAsia"/>
        </w:rPr>
        <w:t xml:space="preserve">美元/桶，最高盘中价为</w:t>
      </w:r>
      <w:r>
        <w:t xml:space="preserve"> 119.50 </w:t>
      </w:r>
      <w:r>
        <w:rPr>
          <w:rFonts w:hint="eastAsia"/>
        </w:rPr>
        <w:t xml:space="preserve">美元/桶。基于线性与常弹性需求的反事实基准测算，理论油价压力区间为</w:t>
      </w:r>
      <w:r>
        <w:t xml:space="preserve"> 278–337 </w:t>
      </w:r>
      <w:r>
        <w:rPr>
          <w:rFonts w:hint="eastAsia"/>
        </w:rPr>
        <w:t xml:space="preserve">美元/桶，显著高于实际价格，表明政策缓冲、需求收缩、价格传导与预期修复对油价形成关键约束。</w:t>
      </w:r>
    </w:p>
    <w:p>
      <w:pPr>
        <w:pStyle w:val="BodyText"/>
      </w:pPr>
      <w:r>
        <w:rPr>
          <w:rFonts w:hint="eastAsia"/>
        </w:rPr>
        <w:t xml:space="preserve">短期冲击模型从物理供需与市场定价双维度建模：纳入供应中断、战略储备（SPR）、商业库存、绕道运输、需求收缩与恐慌衰减；同时引入地缘风险溢价、不确定性、制度风险、缓冲确认与预期修复折价，并规避弹性与需求下降双重计值。模型在</w:t>
      </w:r>
      <w:r>
        <w:t xml:space="preserve"> 46 </w:t>
      </w:r>
      <w:r>
        <w:rPr>
          <w:rFonts w:hint="eastAsia"/>
        </w:rPr>
        <w:t xml:space="preserve">个交易日内拟合精度为</w:t>
      </w:r>
      <w:r>
        <w:t xml:space="preserve"> RMSE=3.37 </w:t>
      </w:r>
      <w:r>
        <w:rPr>
          <w:rFonts w:hint="eastAsia"/>
        </w:rPr>
        <w:t xml:space="preserve">美元/桶，MAE=2.74</w:t>
      </w:r>
      <w:r>
        <w:t xml:space="preserve"> </w:t>
      </w:r>
      <w:r>
        <w:rPr>
          <w:rFonts w:hint="eastAsia"/>
        </w:rPr>
        <w:t xml:space="preserve">美元/桶，MAPE=2.73%；加入</w:t>
      </w:r>
      <w:r>
        <w:t xml:space="preserve"> Ridge </w:t>
      </w:r>
      <w:r>
        <w:rPr>
          <w:rFonts w:hint="eastAsia"/>
        </w:rPr>
        <w:t xml:space="preserve">收益率辅助层后，RMSE</w:t>
      </w:r>
      <w:r>
        <w:t xml:space="preserve"> </w:t>
      </w:r>
      <w:r>
        <w:rPr>
          <w:rFonts w:hint="eastAsia"/>
        </w:rPr>
        <w:t xml:space="preserve">降至</w:t>
      </w:r>
      <w:r>
        <w:t xml:space="preserve"> 3.16 </w:t>
      </w:r>
      <w:r>
        <w:rPr>
          <w:rFonts w:hint="eastAsia"/>
        </w:rPr>
        <w:t xml:space="preserve">美元/桶，方向命中率为</w:t>
      </w:r>
      <w:r>
        <w:t xml:space="preserve"> </w:t>
      </w:r>
      <w:r>
        <w:rPr>
          <w:rFonts w:hint="eastAsia"/>
        </w:rPr>
        <w:t xml:space="preserve">71.1%。稳健性检验表明模型具备结构稳定性。</w:t>
      </w:r>
    </w:p>
    <w:p>
      <w:pPr>
        <w:pStyle w:val="BodyText"/>
      </w:pPr>
      <w:r>
        <w:rPr>
          <w:rFonts w:hint="eastAsia"/>
        </w:rPr>
        <w:t xml:space="preserve">中长期调节模型结合</w:t>
      </w:r>
      <w:r>
        <w:t xml:space="preserve"> EIA、JODI、OPEC </w:t>
      </w:r>
      <w:r>
        <w:rPr>
          <w:rFonts w:hint="eastAsia"/>
        </w:rPr>
        <w:t xml:space="preserve">外生数据与</w:t>
      </w:r>
      <w:r>
        <w:t xml:space="preserve"> OVX </w:t>
      </w:r>
      <w:r>
        <w:rPr>
          <w:rFonts w:hint="eastAsia"/>
        </w:rPr>
        <w:t xml:space="preserve">隐含波动率，给出</w:t>
      </w:r>
      <w:r>
        <w:t xml:space="preserve"> 60–180 </w:t>
      </w:r>
      <w:r>
        <w:rPr>
          <w:rFonts w:hint="eastAsia"/>
        </w:rPr>
        <w:t xml:space="preserve">天乐观、中性、悲观情景。中性情景第</w:t>
      </w:r>
      <w:r>
        <w:t xml:space="preserve"> 180 </w:t>
      </w:r>
      <w:r>
        <w:rPr>
          <w:rFonts w:hint="eastAsia"/>
        </w:rPr>
        <w:t xml:space="preserve">天油价约</w:t>
      </w:r>
      <w:r>
        <w:t xml:space="preserve"> 94.47 </w:t>
      </w:r>
      <w:r>
        <w:rPr>
          <w:rFonts w:hint="eastAsia"/>
        </w:rPr>
        <w:t xml:space="preserve">美元/桶，悲观情景约</w:t>
      </w:r>
      <w:r>
        <w:t xml:space="preserve"> 115.90 </w:t>
      </w:r>
      <w:r>
        <w:rPr>
          <w:rFonts w:hint="eastAsia"/>
        </w:rPr>
        <w:t xml:space="preserve">美元/桶，且存在二次跳涨风险。敏感性分析显示，封锁风险衰减速度、地缘风险权重、制度风险强度为核心影响因子。</w:t>
      </w:r>
    </w:p>
    <w:p>
      <w:pPr>
        <w:pStyle w:val="BodyText"/>
      </w:pPr>
      <w:r>
        <w:rPr>
          <w:rFonts w:hint="eastAsia"/>
        </w:rPr>
        <w:t xml:space="preserve">引入历史价格状态转移与多约束条件的</w:t>
      </w:r>
      <w:r>
        <w:t xml:space="preserve"> Logit–Softmax </w:t>
      </w:r>
      <w:r>
        <w:rPr>
          <w:rFonts w:hint="eastAsia"/>
        </w:rPr>
        <w:t xml:space="preserve">模型后，第</w:t>
      </w:r>
      <w:r>
        <w:t xml:space="preserve"> 180 </w:t>
      </w:r>
      <w:r>
        <w:rPr>
          <w:rFonts w:hint="eastAsia"/>
        </w:rPr>
        <w:t xml:space="preserve">天油价中位数为</w:t>
      </w:r>
      <w:r>
        <w:t xml:space="preserve"> 97.54 </w:t>
      </w:r>
      <w:r>
        <w:rPr>
          <w:rFonts w:hint="eastAsia"/>
        </w:rPr>
        <w:t xml:space="preserve">美元/桶，5%–95%</w:t>
      </w:r>
      <w:r>
        <w:t xml:space="preserve"> </w:t>
      </w:r>
      <w:r>
        <w:rPr>
          <w:rFonts w:hint="eastAsia"/>
        </w:rPr>
        <w:t xml:space="preserve">区间为</w:t>
      </w:r>
      <w:r>
        <w:t xml:space="preserve"> 91.27–112.76 </w:t>
      </w:r>
      <w:r>
        <w:rPr>
          <w:rFonts w:hint="eastAsia"/>
        </w:rPr>
        <w:t xml:space="preserve">美元/桶，突破</w:t>
      </w:r>
      <w:r>
        <w:t xml:space="preserve"> 120 </w:t>
      </w:r>
      <w:r>
        <w:rPr>
          <w:rFonts w:hint="eastAsia"/>
        </w:rPr>
        <w:t xml:space="preserve">美元/桶概率为</w:t>
      </w:r>
      <w:r>
        <w:t xml:space="preserve"> </w:t>
      </w:r>
      <w:r>
        <w:rPr>
          <w:rFonts w:hint="eastAsia"/>
        </w:rPr>
        <w:t xml:space="preserve">76.3%。检验表明，2026</w:t>
      </w:r>
      <w:r>
        <w:t xml:space="preserve"> </w:t>
      </w:r>
      <w:r>
        <w:rPr>
          <w:rFonts w:hint="eastAsia"/>
        </w:rPr>
        <w:t xml:space="preserve">年冲突窗口具备高风险与高波动特征，外部指标仅用于中长期约束与校验，不参与短期拟合。</w:t>
      </w:r>
    </w:p>
    <w:p>
      <w:pPr>
        <w:pStyle w:val="BodyText"/>
      </w:pPr>
      <w:r>
        <w:rPr>
          <w:rFonts w:hint="eastAsia"/>
        </w:rPr>
        <w:t xml:space="preserve">霍尔木兹海峡；原油价格；短期冲击模型；中长期油价调节模型；战略石油储备；敏感性分析</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承担全球原油海运的重要份额，是中东原油进入国际市场的关键通道。若该通道因地缘冲突、航运安全或军事风险发生封锁，国际原油市场将同时面对实际供应缺口、运输成本上升、市场恐慌放大和政策缓冲响应，价格可能在短期内剧烈波动，并在封锁延长后进入新的风险定价区间。</w:t>
      </w:r>
    </w:p>
    <w:p>
      <w:pPr>
        <w:pStyle w:val="BodyText"/>
      </w:pPr>
      <w:r>
        <w:rPr>
          <w:rFonts w:hint="eastAsia"/>
        </w:rPr>
        <w:t xml:space="preserve">赛题要求基于布伦特原油期货价格数据和国际原油供需规律，建立数学模型分析霍尔木兹海峡封锁对国际原油价格的影响。结合题意，本文需要回答四个问题：</w:t>
      </w:r>
    </w:p>
    <w:p>
      <w:pPr>
        <w:numPr>
          <w:ilvl w:val="0"/>
          <w:numId w:val="1001"/>
        </w:numPr>
      </w:pPr>
      <w:r>
        <w:rPr>
          <w:rFonts w:hint="eastAsia"/>
        </w:rPr>
        <w:t xml:space="preserve">构建短期冲击模型，量化</w:t>
      </w:r>
      <w:r>
        <w:t xml:space="preserve"> 0–60 </w:t>
      </w:r>
      <w:r>
        <w:rPr>
          <w:rFonts w:hint="eastAsia"/>
        </w:rPr>
        <w:t xml:space="preserve">天内封锁对油价的即时影响，解释供应缺口、政策缓冲和风险溢价的共同作用。</w:t>
      </w:r>
    </w:p>
    <w:p>
      <w:pPr>
        <w:numPr>
          <w:ilvl w:val="0"/>
          <w:numId w:val="1001"/>
        </w:numPr>
      </w:pPr>
      <w:r>
        <w:rPr>
          <w:rFonts w:hint="eastAsia"/>
        </w:rPr>
        <w:t xml:space="preserve">构建中长期油价调节模型，预测封锁持续</w:t>
      </w:r>
      <w:r>
        <w:t xml:space="preserve"> 60–180 </w:t>
      </w:r>
      <w:r>
        <w:rPr>
          <w:rFonts w:hint="eastAsia"/>
        </w:rPr>
        <w:t xml:space="preserve">天时的价格演化路径和可能的价格平衡区间。</w:t>
      </w:r>
    </w:p>
    <w:p>
      <w:pPr>
        <w:numPr>
          <w:ilvl w:val="0"/>
          <w:numId w:val="1001"/>
        </w:numPr>
      </w:pPr>
      <w:r>
        <w:rPr>
          <w:rFonts w:hint="eastAsia"/>
        </w:rPr>
        <w:t xml:space="preserve">识别影响油价的关键参数，分析供应中断、SPR</w:t>
      </w:r>
      <w:r>
        <w:t xml:space="preserve"> </w:t>
      </w:r>
      <w:r>
        <w:rPr>
          <w:rFonts w:hint="eastAsia"/>
        </w:rPr>
        <w:t xml:space="preserve">释放、商业库存、绕道运输、需求弹性和地缘风险变量的敏感性。</w:t>
      </w:r>
    </w:p>
    <w:p>
      <w:pPr>
        <w:numPr>
          <w:ilvl w:val="0"/>
          <w:numId w:val="1001"/>
        </w:numPr>
      </w:pPr>
      <w:r>
        <w:rPr>
          <w:rFonts w:hint="eastAsia"/>
        </w:rPr>
        <w:t xml:space="preserve">检验模型稳定性，给出可用于风险预警和政策评估的量化结论。</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w:t>
            </w:r>
            <w:r>
              <w:rPr>
                <w:rFonts w:hint="eastAsia"/>
              </w:rPr>
              <w:t xml:space="preserve">1：短期冲击模型（0–60</w:t>
            </w:r>
            <w:r>
              <w:t xml:space="preserve"> </w:t>
            </w:r>
            <w:r>
              <w:rPr>
                <w:rFonts w:hint="eastAsia"/>
              </w:rPr>
              <w:t xml:space="preserve">天）</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完成附件数据清洗、传统供需基准、短期冲击模型、参数校准和鲁棒性检验，给出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w:t>
            </w:r>
            <w:r>
              <w:rPr>
                <w:rFonts w:hint="eastAsia"/>
              </w:rPr>
              <w:t xml:space="preserve">2：中长期油价调节模型（60–180</w:t>
            </w:r>
            <w:r>
              <w:t xml:space="preserve"> </w:t>
            </w:r>
            <w:r>
              <w:rPr>
                <w:rFonts w:hint="eastAsia"/>
              </w:rPr>
              <w:t xml:space="preserve">天）</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3" w:name="问题分析"/>
    <w:p>
      <w:pPr>
        <w:pStyle w:val="Heading1"/>
      </w:pPr>
      <w:r>
        <w:rPr>
          <w:rFonts w:hint="eastAsia"/>
        </w:rPr>
        <w:t xml:space="preserve">问题分析</w:t>
      </w:r>
    </w:p>
    <w:p>
      <w:pPr>
        <w:pStyle w:val="FirstParagraph"/>
      </w:pPr>
      <w:r>
        <w:rPr>
          <w:rFonts w:hint="eastAsia"/>
        </w:rPr>
        <w:t xml:space="preserve">本题的核心是解释封锁冲击如何经过供需缺口、政策缓冲、运输替代、库存消耗和风险预期传导到布伦特原油价格。题面给定的短期低弹性会放大无缓冲反事实价格，但附件真实价格只在约</w:t>
      </w:r>
      <w:r>
        <w:t xml:space="preserve"> 110–120 </w:t>
      </w:r>
      <w:r>
        <w:rPr>
          <w:rFonts w:hint="eastAsia"/>
        </w:rPr>
        <w:t xml:space="preserve">美元/桶附近形成平台，说明市场中存在多重缓冲和再定价过程。因此，本文采用</w:t>
      </w:r>
      <w:r>
        <w:rPr>
          <w:rFonts w:hint="eastAsia"/>
        </w:rPr>
        <w:t xml:space="preserve">“反事实基准–短期递推–中长期情景–敏感性检验”</w:t>
      </w:r>
      <w:r>
        <w:rPr>
          <w:rFonts w:hint="eastAsia"/>
        </w:rPr>
        <w:t xml:space="preserve">的建模路线。</w:t>
      </w:r>
    </w:p>
    <w:p>
      <w:pPr>
        <w:numPr>
          <w:ilvl w:val="0"/>
          <w:numId w:val="1002"/>
        </w:numPr>
      </w:pPr>
      <w:r>
        <w:rPr>
          <w:rFonts w:hint="eastAsia"/>
        </w:rPr>
        <w:t xml:space="preserve">传统供需基准用于估计无缓冲条件下的理论压力上界，为后续模型提供反事实参照。</w:t>
      </w:r>
    </w:p>
    <w:p>
      <w:pPr>
        <w:numPr>
          <w:ilvl w:val="0"/>
          <w:numId w:val="1002"/>
        </w:numPr>
      </w:pPr>
      <w:r>
        <w:rPr>
          <w:rFonts w:hint="eastAsia"/>
        </w:rPr>
        <w:t xml:space="preserve">短期冲击模型在日度递推中纳入供应中断、SPR、商业库存、绕道运输、需求收缩、恐慌衰减和预期修复，用于解释附件冲突窗口内的真实价格路径。</w:t>
      </w:r>
    </w:p>
    <w:p>
      <w:pPr>
        <w:numPr>
          <w:ilvl w:val="0"/>
          <w:numId w:val="1002"/>
        </w:numPr>
      </w:pPr>
      <w:r>
        <w:rPr>
          <w:rFonts w:hint="eastAsia"/>
        </w:rPr>
        <w:t xml:space="preserve">中长期油价调节模型在</w:t>
      </w:r>
      <w:r>
        <w:t xml:space="preserve"> 60–180 </w:t>
      </w:r>
      <w:r>
        <w:rPr>
          <w:rFonts w:hint="eastAsia"/>
        </w:rPr>
        <w:t xml:space="preserve">天范围内设置乐观、中性和悲观三类情景，并用蒙特卡洛情景树和状态转移模型刻画尾部风险。</w:t>
      </w:r>
    </w:p>
    <w:p>
      <w:pPr>
        <w:numPr>
          <w:ilvl w:val="0"/>
          <w:numId w:val="1002"/>
        </w:numPr>
      </w:pPr>
      <w:r>
        <w:rPr>
          <w:rFonts w:hint="eastAsia"/>
        </w:rPr>
        <w:t xml:space="preserve">敏感性分析和外部风险校验用于识别关键驱动因素，避免把单一路径误读为确定性预测。</w:t>
      </w:r>
    </w:p>
    <w:bookmarkStart w:id="10" w:name="fig:paper-roadmap"/>
    <w:tbl>
      <w:tblPr>
        <w:tblStyle w:val="FigureTable"/>
        <w:tblW w:type="auto" w:w="0"/>
        <w:jc w:val="center"/>
        <w:tblLook w:firstRow="0" w:lastRow="0" w:firstColumn="0" w:lastColumn="0"/>
      </w:tblPr>
      <w:tblGrid/>
    </w:tbl>
    <w:p>
      <w:pPr>
        <w:pStyle w:val="ImageCaption"/>
      </w:pPr>
      <w:r>
        <w:rPr>
          <w:rFonts w:hint="eastAsia"/>
        </w:rPr>
        <w:t xml:space="preserve">本文总体技术路线</w:t>
      </w:r>
    </w:p>
    <w:bookmarkEnd w:id="10"/>
    <w:p>
      <w:pPr>
        <w:pStyle w:val="BodyText"/>
      </w:pPr>
      <w:r>
        <w:rPr>
          <w:rFonts w:hint="eastAsia"/>
        </w:rPr>
        <w:t xml:space="preserve">这一技术路线的核心原则是：真实价格只来自附件数据；长期部分采用情景预测和区间表达；模型检验覆盖朴素基准、滞后复制、参数过拟合和结构稳定性等关键边界。</w:t>
      </w:r>
    </w:p>
    <w:p>
      <w:pPr>
        <w:pStyle w:val="BodyText"/>
      </w:pPr>
      <w:r>
        <w:rPr>
          <w:rFonts w:hint="eastAsia"/>
        </w:rPr>
        <w:t xml:space="preserve">最终论文使用赛题给定的两个模型名称组织主线：任务</w:t>
      </w:r>
      <w:r>
        <w:t xml:space="preserve"> 1 </w:t>
      </w:r>
      <w:r>
        <w:rPr>
          <w:rFonts w:hint="eastAsia"/>
        </w:rPr>
        <w:t xml:space="preserve">为短期冲击模型，任务</w:t>
      </w:r>
      <w:r>
        <w:t xml:space="preserve"> 2 </w:t>
      </w:r>
      <w:r>
        <w:rPr>
          <w:rFonts w:hint="eastAsia"/>
        </w:rPr>
        <w:t xml:space="preserve">为中长期油价调节模型。传统供需模型用于提供反事实基准；三情景、蒙特卡洛和状态转移情景树是中长期油价调节模型内部的条件外推方法；消融实验、敏感性分析和蒙特卡洛情景树用于证明因素是否值得保留，并刻画多因素同时恶化时的尾部风险。因素纳入原则见</w:t>
      </w:r>
      <w:hyperlink w:anchor="tab:factor-inclusion">
        <w:r>
          <w:rPr>
            <w:rStyle w:val="Hyperlink"/>
          </w:rPr>
          <w:t xml:space="preserve">1</w:t>
        </w:r>
      </w:hyperlink>
      <w:r>
        <w:t xml:space="preserve">。</w:t>
      </w:r>
    </w:p>
    <w:bookmarkStart w:id="11"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短期冲击模型物理层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进入短期冲击模型，参与</w:t>
            </w:r>
            <w:r>
              <w:t xml:space="preserve"> 0–60 </w:t>
            </w:r>
            <w:r>
              <w:rPr>
                <w:rFonts w:hint="eastAsia"/>
              </w:rPr>
              <w:t xml:space="preserve">天路径拟合与机制解释</w:t>
            </w:r>
          </w:p>
        </w:tc>
      </w:tr>
      <w:tr>
        <w:tc>
          <w:tcPr/>
          <w:p>
            <w:pPr>
              <w:pStyle w:val="Compact"/>
              <w:jc w:val="left"/>
            </w:pPr>
            <w:r>
              <w:rPr>
                <w:rFonts w:hint="eastAsia"/>
              </w:rPr>
              <w:t xml:space="preserve">短期冲击模型价格形成层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进入短期冲击模型，但必须通过基准对比、消融实验和稳健性检验证明必要性</w:t>
            </w:r>
          </w:p>
        </w:tc>
      </w:tr>
      <w:tr>
        <w:tc>
          <w:tcPr/>
          <w:p>
            <w:pPr>
              <w:pStyle w:val="Compact"/>
              <w:jc w:val="left"/>
            </w:pPr>
            <w:r>
              <w:rPr>
                <w:rFonts w:hint="eastAsia"/>
              </w:rPr>
              <w:t xml:space="preserve">中长期调节层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不强行用于短期拟合，进入中长期油价调节模型和尾部风险解释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1"/>
    <w:p>
      <w:pPr>
        <w:pStyle w:val="BodyText"/>
      </w:pPr>
      <w:r>
        <w:rPr>
          <w:rFonts w:hint="eastAsia"/>
          <w:b/>
          <w:bCs/>
        </w:rPr>
        <w:t xml:space="preserve">结论</w:t>
      </w:r>
      <w:r>
        <w:rPr>
          <w:rFonts w:hint="eastAsia"/>
        </w:rPr>
        <w:t xml:space="preserve">本文围绕三个问题展开：传统供需模型为什么给出高理论压力；哪些缓冲机制能把价格压回现实平台；封锁延长至</w:t>
      </w:r>
      <w:r>
        <w:t xml:space="preserve"> 60–180 </w:t>
      </w:r>
      <w:r>
        <w:rPr>
          <w:rFonts w:hint="eastAsia"/>
        </w:rPr>
        <w:t xml:space="preserve">天时，哪些因素决定价格中枢和尾部跳涨风险。</w:t>
      </w:r>
    </w:p>
    <w:bookmarkStart w:id="12" w:name="文献依据与建模约束"/>
    <w:p>
      <w:pPr>
        <w:pStyle w:val="Heading4"/>
      </w:pPr>
      <w:r>
        <w:rPr>
          <w:rFonts w:hint="eastAsia"/>
        </w:rPr>
        <w:t xml:space="preserve">文献依据与建模约束</w:t>
      </w:r>
    </w:p>
    <w:p>
      <w:pPr>
        <w:pStyle w:val="FirstParagraph"/>
      </w:pPr>
      <w:r>
        <w:rPr>
          <w:rFonts w:hint="eastAsia"/>
        </w:rPr>
        <w:t xml:space="preserve">相关研究表明，油价冲击不能只由当期供应缺口解释，还需要考虑库存、预期、地缘风险和宏观需求环境。Kilian（2009）、Hamilton（2009）和</w:t>
      </w:r>
      <w:r>
        <w:t xml:space="preserve"> Kilian </w:t>
      </w:r>
      <w:r>
        <w:rPr>
          <w:rFonts w:hint="eastAsia"/>
        </w:rPr>
        <w:t xml:space="preserve">与</w:t>
      </w:r>
      <w:r>
        <w:t xml:space="preserve"> </w:t>
      </w:r>
      <w:r>
        <w:rPr>
          <w:rFonts w:hint="eastAsia"/>
        </w:rPr>
        <w:t xml:space="preserve">Murphy（2014）的研究说明，库存与预防性需求会改变冲击传导路径。因此，本文将传统供需模型定位为低弹性反事实上界，而不是最终预测模型。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Vigfusson（2013）指出，原油价格预测需要与无变化预测、随机游走等基准比较，并明确预测期限和不确定性边界。因此，本文在短期部分设置上一日价格朴素基准、漂移随机游走和滚动</w:t>
      </w:r>
      <w:r>
        <w:t xml:space="preserve"> </w:t>
      </w:r>
      <w:r>
        <w:rPr>
          <w:rFonts w:hint="eastAsia"/>
        </w:rPr>
        <w:t xml:space="preserve">ARIMA；在长期部分同时给出三情景中心路径、蒙特卡洛扇形区间和状态转移尾部风险。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释放能够影响油价，但其作用更接近削峰和稳定预期，而不是完全抵消供应中断。因此，本文把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等（2019）说明地缘风险更适合解释油价波动和尾部风险。本文将</w:t>
      </w:r>
      <w:r>
        <w:t xml:space="preserve"> GPR </w:t>
      </w:r>
      <w:r>
        <w:rPr>
          <w:rFonts w:hint="eastAsia"/>
        </w:rPr>
        <w:t xml:space="preserve">用于外部风险校验和滞后检验，将</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隐含波动率用于长期风险权重和不确定性强度约束，而不把二者作为短期同步拟合因子。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传统基准与短期冲击模型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中长期结果应报告情景、区间和尾部概率，不夸大单点预测</w:t>
            </w:r>
          </w:p>
        </w:tc>
        <w:tc>
          <w:tcPr/>
          <w:p>
            <w:pPr>
              <w:pStyle w:val="Compact"/>
              <w:jc w:val="left"/>
            </w:pPr>
            <w:r>
              <w:rPr>
                <w:rFonts w:hint="eastAsia"/>
              </w:rPr>
              <w:t xml:space="preserve">中长期油价调节模型、蒙特卡洛和状态转移情景树</w:t>
            </w:r>
          </w:p>
        </w:tc>
      </w:tr>
    </w:tbl>
    <w:bookmarkEnd w:id="12"/>
    <w:bookmarkEnd w:id="13"/>
    <w:bookmarkStart w:id="16" w:name="模型假设"/>
    <w:p>
      <w:pPr>
        <w:pStyle w:val="Heading1"/>
      </w:pPr>
      <w:r>
        <w:rPr>
          <w:rFonts w:hint="eastAsia"/>
        </w:rPr>
        <w:t xml:space="preserve">模型假设</w:t>
      </w:r>
    </w:p>
    <w:bookmarkStart w:id="14"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rPr>
          <w:rFonts w:hint="eastAsia"/>
        </w:rPr>
        <w:t xml:space="preserve">中长期油价调节模型的</w:t>
      </w:r>
      <w:r>
        <w:t xml:space="preserve"> 60–180 </w:t>
      </w:r>
      <w:r>
        <w:rPr>
          <w:rFonts w:hint="eastAsia"/>
        </w:rPr>
        <w:t xml:space="preserve">天预测为条件情景外推，不代表真实未来观测，也不编造任何未来真实价格。</w:t>
      </w:r>
    </w:p>
    <w:bookmarkEnd w:id="14"/>
    <w:bookmarkStart w:id="15"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中长期情景参数只用于</w:t>
      </w:r>
      <w:r>
        <w:t xml:space="preserve"> 60–180 </w:t>
      </w:r>
      <w:r>
        <w:rPr>
          <w:rFonts w:hint="eastAsia"/>
        </w:rPr>
        <w:t xml:space="preserve">天条件外推，不参与短期窗口的误差拟合；中长期机制强度参数则必须显式命名，并进入敏感性分析。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中长期情景参数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中长期外推中的若干机制系数也需要单独说明。例如冲击不确定性占比、制度风险占比、过剩供给回归强度和封锁风险衰减速度并非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中长期判断主要来自机制组合，而不是某一个隐藏常数。</w:t>
      </w:r>
    </w:p>
    <w:bookmarkEnd w:id="15"/>
    <w:bookmarkEnd w:id="16"/>
    <w:bookmarkStart w:id="18" w:name="符号说明"/>
    <w:p>
      <w:pPr>
        <w:pStyle w:val="Heading1"/>
      </w:pPr>
      <w:r>
        <w:rPr>
          <w:rFonts w:hint="eastAsia"/>
        </w:rPr>
        <w:t xml:space="preserve">符号说明</w:t>
      </w:r>
    </w:p>
    <w:bookmarkStart w:id="17" w:name="符号说明-1"/>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η</m:t>
                  </m:r>
                </m:e>
                <m:sub>
                  <m:r>
                    <m:t>t</m:t>
                  </m:r>
                </m:sub>
              </m:sSub>
            </m:oMath>
          </w:p>
        </w:tc>
        <w:tc>
          <w:tcPr/>
          <w:p>
            <w:pPr>
              <w:pStyle w:val="Compact"/>
              <w:jc w:val="left"/>
            </w:pPr>
            <w:r>
              <w:rPr>
                <w:rFonts w:hint="eastAsia"/>
              </w:rPr>
              <w:t xml:space="preserve">SPR、库存和绕道对总短缺压力的缓冲覆盖率</w:t>
            </w:r>
          </w:p>
        </w:tc>
        <w:tc>
          <w:tcPr/>
          <w:p>
            <w:pPr>
              <w:pStyle w:val="Compact"/>
              <w:jc w:val="left"/>
            </w:pPr>
            <w:r>
              <w:rPr>
                <w:rFonts w:hint="eastAsia"/>
              </w:rPr>
              <w:t xml:space="preserve">无量纲</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17"/>
    <w:bookmarkEnd w:id="18"/>
    <w:bookmarkStart w:id="82" w:name="模型的建立与求解"/>
    <w:p>
      <w:pPr>
        <w:pStyle w:val="Heading1"/>
      </w:pPr>
      <w:r>
        <w:rPr>
          <w:rFonts w:hint="eastAsia"/>
        </w:rPr>
        <w:t xml:space="preserve">模型的建立与求解</w:t>
      </w:r>
    </w:p>
    <w:bookmarkStart w:id="19"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日。清洗工作包括日期解析、数值字段标准化、收益率计算、滚动波动率计算和冲突窗口截取。第一条记录的前收盘价缺失属于正常时间序列边界，冲突窗口内收盘价不存在缺失。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w:t>
      </w:r>
      <w:r>
        <w:t xml:space="preserve"> </w:t>
      </w:r>
      <w:r>
        <w:rPr>
          <w:rStyle w:val="VerbatimChar"/>
        </w:rPr>
        <w:t xml:space="preserve">close_price</w:t>
      </w:r>
      <w:r>
        <w:t xml:space="preserve"> </w:t>
      </w:r>
      <w:r>
        <w:rPr>
          <w:rFonts w:hint="eastAsia"/>
        </w:rPr>
        <w:t xml:space="preserve">作为短期拟合和误差评价目标；</w:t>
      </w:r>
      <w:r>
        <w:rPr>
          <w:rStyle w:val="VerbatimChar"/>
        </w:rPr>
        <w:t xml:space="preserve">open_price</w:t>
      </w:r>
      <w:r>
        <w:t xml:space="preserve">、</w:t>
      </w:r>
      <w:r>
        <w:rPr>
          <w:rStyle w:val="VerbatimChar"/>
        </w:rPr>
        <w:t xml:space="preserve">high_price</w:t>
      </w:r>
      <w:r>
        <w:t xml:space="preserve">、</w:t>
      </w:r>
      <w:r>
        <w:rPr>
          <w:rStyle w:val="VerbatimChar"/>
        </w:rPr>
        <w:t xml:space="preserve">low_price</w:t>
      </w:r>
      <w:r>
        <w:t xml:space="preserve"> </w:t>
      </w:r>
      <w:r>
        <w:rPr>
          <w:rFonts w:hint="eastAsia"/>
        </w:rPr>
        <w:t xml:space="preserve">与</w:t>
      </w:r>
      <w:r>
        <w:t xml:space="preserve"> </w:t>
      </w:r>
      <w:r>
        <w:rPr>
          <w:rStyle w:val="VerbatimChar"/>
        </w:rPr>
        <w:t xml:space="preserve">pre_close_price</w:t>
      </w:r>
      <w:r>
        <w:t xml:space="preserve"> </w:t>
      </w:r>
      <w:r>
        <w:rPr>
          <w:rFonts w:hint="eastAsia"/>
        </w:rPr>
        <w:t xml:space="preserve">用于日内振幅、收益率、滚动波动率和冲击峰值描述。题面极端峰值与附件</w:t>
      </w:r>
      <w:r>
        <w:t xml:space="preserve"> CSV </w:t>
      </w:r>
      <w:r>
        <w:rPr>
          <w:rFonts w:hint="eastAsia"/>
        </w:rPr>
        <w:t xml:space="preserve">的收盘价口径不同，因此题面峰值只作为冲击背景，不参与</w:t>
      </w:r>
      <w:r>
        <w:t xml:space="preserve"> RMSE、MAE、MAPE </w:t>
      </w:r>
      <w:r>
        <w:rPr>
          <w:rFonts w:hint="eastAsia"/>
        </w:rPr>
        <w:t xml:space="preserve">等误差计算。</w:t>
      </w:r>
    </w:p>
    <w:p>
      <w:pPr>
        <w:pStyle w:val="BodyText"/>
      </w:pPr>
      <w:r>
        <w:rPr>
          <w:rFonts w:hint="eastAsia"/>
        </w:rPr>
        <w:t xml:space="preserve">为统一数据口径，本文将数据分为</w:t>
      </w:r>
      <w:r>
        <w:rPr>
          <w:rFonts w:hint="eastAsia"/>
        </w:rPr>
        <w:t xml:space="preserve">“拟合目标”</w:t>
      </w:r>
      <w:r>
        <w:rPr>
          <w:rFonts w:hint="eastAsia"/>
        </w:rPr>
        <w:t xml:space="preserve">“长期约束”</w:t>
      </w:r>
      <w:r>
        <w:rPr>
          <w:rFonts w:hint="eastAsia"/>
        </w:rPr>
        <w:t xml:space="preserve">“风险校验”</w:t>
      </w:r>
      <w:r>
        <w:rPr>
          <w:rFonts w:hint="eastAsia"/>
        </w:rPr>
        <w:t xml:space="preserve">和</w:t>
      </w:r>
      <w:r>
        <w:rPr>
          <w:rFonts w:hint="eastAsia"/>
        </w:rPr>
        <w:t xml:space="preserve">“候选市场变量”</w:t>
      </w:r>
      <w:r>
        <w:rPr>
          <w:rFonts w:hint="eastAsia"/>
        </w:rPr>
        <w:t xml:space="preserve">四类。EIA、JODI、OPEC、GPR、OVX</w:t>
      </w:r>
      <w:r>
        <w:t xml:space="preserve"> </w:t>
      </w:r>
      <w:r>
        <w:rPr>
          <w:rFonts w:hint="eastAsia"/>
        </w:rPr>
        <w:t xml:space="preserve">和期限结构资料用于数量级约束、风险校验或后续扩展，不构造新的真实油价。</w:t>
      </w:r>
      <w:hyperlink w:anchor="tab:external-data-role">
        <w:r>
          <w:rPr>
            <w:rStyle w:val="Hyperlink"/>
          </w:rPr>
          <w:t xml:space="preserve">[tab:external-data-role]</w:t>
        </w:r>
      </w:hyperlink>
      <w:r>
        <w:t xml:space="preserve"> </w:t>
      </w:r>
      <w:r>
        <w:rPr>
          <w:rFonts w:hint="eastAsia"/>
        </w:rPr>
        <w:t xml:space="preserve">给出各类数据在模型中的位置。</w:t>
      </w:r>
    </w:p>
    <w:p>
      <w:pPr>
        <w:pStyle w:val="BodyText"/>
      </w:pPr>
      <w:r>
        <w:t xml:space="preserve">L</w:t>
      </w:r>
      <w:r>
        <w:t xml:space="preserve">2.8cm</w:t>
      </w:r>
      <w:r>
        <w:t xml:space="preserve">L</w:t>
      </w:r>
      <w:r>
        <w:t xml:space="preserve">3.0cm</w:t>
      </w:r>
      <w:r>
        <w:t xml:space="preserve">L</w:t>
      </w:r>
      <w:r>
        <w:t xml:space="preserve">4.0cm</w:t>
      </w:r>
      <w:r>
        <w:t xml:space="preserve">Y</w:t>
      </w:r>
      <w:r>
        <w:t xml:space="preserve"> </w:t>
      </w:r>
      <w:r>
        <w:rPr>
          <w:rFonts w:hint="eastAsia"/>
        </w:rPr>
        <w:t xml:space="preserve">来源</w:t>
      </w:r>
      <w:r>
        <w:t xml:space="preserve"> &amp; </w:t>
      </w:r>
      <w:r>
        <w:rPr>
          <w:rFonts w:hint="eastAsia"/>
        </w:rPr>
        <w:t xml:space="preserve">数据对象</w:t>
      </w:r>
      <w:r>
        <w:t xml:space="preserve"> &amp; </w:t>
      </w:r>
      <w:r>
        <w:rPr>
          <w:rFonts w:hint="eastAsia"/>
        </w:rPr>
        <w:t xml:space="preserve">在模型中的作用</w:t>
      </w:r>
      <w:r>
        <w:t xml:space="preserve"> &amp; </w:t>
      </w:r>
      <w:r>
        <w:rPr>
          <w:rFonts w:hint="eastAsia"/>
        </w:rPr>
        <w:t xml:space="preserve">使用边界</w:t>
      </w:r>
      <w:r>
        <w:br/>
      </w:r>
      <w:r>
        <w:rPr>
          <w:rFonts w:hint="eastAsia"/>
        </w:rPr>
        <w:t xml:space="preserve">赛题附件</w:t>
      </w:r>
      <w:r>
        <w:t xml:space="preserve"> CSV &amp; 2017–2026 </w:t>
      </w:r>
      <w:r>
        <w:rPr>
          <w:rFonts w:hint="eastAsia"/>
        </w:rPr>
        <w:t xml:space="preserve">年布伦特原油期货主力合约价格</w:t>
      </w:r>
      <w:r>
        <w:t xml:space="preserve"> &amp; </w:t>
      </w:r>
      <w:r>
        <w:rPr>
          <w:rFonts w:hint="eastAsia"/>
        </w:rPr>
        <w:t xml:space="preserve">短期冲击模型拟合目标、基准模型对比、历史滚动窗口检验</w:t>
      </w:r>
      <w:r>
        <w:t xml:space="preserve"> &amp; </w:t>
      </w:r>
      <w:r>
        <w:rPr>
          <w:rFonts w:hint="eastAsia"/>
        </w:rPr>
        <w:t xml:space="preserve">短期</w:t>
      </w:r>
      <w:r>
        <w:t xml:space="preserve"> RMSE、MAE、MAPE </w:t>
      </w:r>
      <w:r>
        <w:rPr>
          <w:rFonts w:hint="eastAsia"/>
        </w:rPr>
        <w:t xml:space="preserve">均以附件收盘价计算</w:t>
      </w:r>
      <w:r>
        <w:br/>
      </w:r>
      <w:r>
        <w:t xml:space="preserve">EIA </w:t>
      </w:r>
      <w:r>
        <w:rPr>
          <w:rFonts w:hint="eastAsia"/>
        </w:rPr>
        <w:t xml:space="preserve">周度石油数据</w:t>
      </w:r>
      <w:r>
        <w:t xml:space="preserve"> &amp; </w:t>
      </w:r>
      <w:r>
        <w:rPr>
          <w:rFonts w:hint="eastAsia"/>
        </w:rPr>
        <w:t xml:space="preserve">美国</w:t>
      </w:r>
      <w:r>
        <w:t xml:space="preserve"> SPR </w:t>
      </w:r>
      <w:r>
        <w:rPr>
          <w:rFonts w:hint="eastAsia"/>
        </w:rPr>
        <w:t xml:space="preserve">库存、商业库存、原油产量</w:t>
      </w:r>
      <w:r>
        <w:t xml:space="preserve"> &amp; </w:t>
      </w:r>
      <w:r>
        <w:rPr>
          <w:rFonts w:hint="eastAsia"/>
        </w:rPr>
        <w:t xml:space="preserve">中长期油价调节模型中的库存缓冲、SPR</w:t>
      </w:r>
      <w:r>
        <w:t xml:space="preserve"> </w:t>
      </w:r>
      <w:r>
        <w:rPr>
          <w:rFonts w:hint="eastAsia"/>
        </w:rPr>
        <w:t xml:space="preserve">释放强度和非海湾供给恢复数量级校验</w:t>
      </w:r>
      <w:r>
        <w:t xml:space="preserve"> &amp; </w:t>
      </w:r>
      <w:r>
        <w:rPr>
          <w:rFonts w:hint="eastAsia"/>
        </w:rPr>
        <w:t xml:space="preserve">美国口径，不等同全球总量；不参与短期模型拟合</w:t>
      </w:r>
      <w:r>
        <w:br/>
      </w:r>
      <w:r>
        <w:t xml:space="preserve">JODI Oil World Database &amp; </w:t>
      </w:r>
      <w:r>
        <w:rPr>
          <w:rFonts w:hint="eastAsia"/>
        </w:rPr>
        <w:t xml:space="preserve">多国月度产量、库存、进出口、需求、炼厂产出</w:t>
      </w:r>
      <w:r>
        <w:t xml:space="preserve"> &amp; </w:t>
      </w:r>
      <w:r>
        <w:rPr>
          <w:rFonts w:hint="eastAsia"/>
        </w:rPr>
        <w:t xml:space="preserve">多国上报口径下的供需与库存约束，辅助校验中长期参数方向</w:t>
      </w:r>
      <w:r>
        <w:t xml:space="preserve"> &amp; </w:t>
      </w:r>
      <w:r>
        <w:rPr>
          <w:rFonts w:hint="eastAsia"/>
        </w:rPr>
        <w:t xml:space="preserve">有国家覆盖差异和发布滞后，只作同口径数量级校验</w:t>
      </w:r>
      <w:r>
        <w:br/>
      </w:r>
      <w:r>
        <w:t xml:space="preserve">OPEC MOMR &amp; </w:t>
      </w:r>
      <w:r>
        <w:rPr>
          <w:rFonts w:hint="eastAsia"/>
        </w:rPr>
        <w:t xml:space="preserve">全球供需平衡表、需求增量、非</w:t>
      </w:r>
      <w:r>
        <w:t xml:space="preserve"> DoC </w:t>
      </w:r>
      <w:r>
        <w:rPr>
          <w:rFonts w:hint="eastAsia"/>
        </w:rPr>
        <w:t xml:space="preserve">供给增量、DoC</w:t>
      </w:r>
      <w:r>
        <w:t xml:space="preserve"> </w:t>
      </w:r>
      <w:r>
        <w:rPr>
          <w:rFonts w:hint="eastAsia"/>
        </w:rPr>
        <w:t xml:space="preserve">原油需求差额</w:t>
      </w:r>
      <w:r>
        <w:t xml:space="preserve"> &amp; </w:t>
      </w:r>
      <w:r>
        <w:rPr>
          <w:rFonts w:hint="eastAsia"/>
        </w:rPr>
        <w:t xml:space="preserve">约束中长期油价调节模型中的需求背景、供给恢复和尾部压力</w:t>
      </w:r>
      <w:r>
        <w:t xml:space="preserve"> &amp; </w:t>
      </w:r>
      <w:r>
        <w:rPr>
          <w:rFonts w:hint="eastAsia"/>
        </w:rPr>
        <w:t xml:space="preserve">正常基线预测，不替代霍尔木兹封锁冲击参数</w:t>
      </w:r>
      <w:r>
        <w:br/>
      </w:r>
      <w:r>
        <w:t xml:space="preserve">Caldara-Iacoviello GPR &amp; </w:t>
      </w:r>
      <w:r>
        <w:rPr>
          <w:rFonts w:hint="eastAsia"/>
        </w:rPr>
        <w:t xml:space="preserve">月度地缘政治风险指数</w:t>
      </w:r>
      <w:r>
        <w:t xml:space="preserve"> &amp; </w:t>
      </w:r>
      <w:r>
        <w:rPr>
          <w:rFonts w:hint="eastAsia"/>
        </w:rPr>
        <w:t xml:space="preserve">外部校验地缘风险溢价，并进行滞后相关检验</w:t>
      </w:r>
      <w:r>
        <w:t xml:space="preserve"> &amp; </w:t>
      </w:r>
      <w:r>
        <w:rPr>
          <w:rFonts w:hint="eastAsia"/>
        </w:rPr>
        <w:t xml:space="preserve">指数由新闻构造，避免同月解释同月价格；不作为短期同步拟合输入</w:t>
      </w:r>
      <w:r>
        <w:br/>
      </w:r>
      <w:r>
        <w:t xml:space="preserve">FRED/Cboe OVX &amp; </w:t>
      </w:r>
      <w:r>
        <w:rPr>
          <w:rFonts w:hint="eastAsia"/>
        </w:rPr>
        <w:t xml:space="preserve">原油</w:t>
      </w:r>
      <w:r>
        <w:t xml:space="preserve"> ETF </w:t>
      </w:r>
      <w:r>
        <w:rPr>
          <w:rFonts w:hint="eastAsia"/>
        </w:rPr>
        <w:t xml:space="preserve">隐含波动率</w:t>
      </w:r>
      <w:r>
        <w:t xml:space="preserve"> &amp; </w:t>
      </w:r>
      <w:r>
        <w:rPr>
          <w:rFonts w:hint="eastAsia"/>
        </w:rPr>
        <w:t xml:space="preserve">约束长期状态转移压力、不确定性强度和尾部风险</w:t>
      </w:r>
      <w:r>
        <w:t xml:space="preserve"> &amp; </w:t>
      </w:r>
      <w:r>
        <w:rPr>
          <w:rFonts w:hint="eastAsia"/>
        </w:rPr>
        <w:t xml:space="preserve">反映期权市场波动预期，不直接预测日度价格方向</w:t>
      </w:r>
      <w:r>
        <w:br/>
      </w:r>
      <w:r>
        <w:t xml:space="preserve">ICE / EIA </w:t>
      </w:r>
      <w:r>
        <w:rPr>
          <w:rFonts w:hint="eastAsia"/>
        </w:rPr>
        <w:t xml:space="preserve">报道</w:t>
      </w:r>
      <w:r>
        <w:t xml:space="preserve"> &amp; Brent </w:t>
      </w:r>
      <w:r>
        <w:rPr>
          <w:rFonts w:hint="eastAsia"/>
        </w:rPr>
        <w:t xml:space="preserve">多期限官方结算价候选来源、现货-近月期货价差公开证据</w:t>
      </w:r>
      <w:r>
        <w:t xml:space="preserve"> &amp; </w:t>
      </w:r>
      <w:r>
        <w:rPr>
          <w:rFonts w:hint="eastAsia"/>
        </w:rPr>
        <w:t xml:space="preserve">候选期限结构变量，用于未来约束近端短缺和库存压力</w:t>
      </w:r>
      <w:r>
        <w:t xml:space="preserve"> &amp; </w:t>
      </w:r>
      <w:r>
        <w:rPr>
          <w:rFonts w:hint="eastAsia"/>
        </w:rPr>
        <w:t xml:space="preserve">当前未获得完整可复现多期限曲线，暂不写入数值模型；后续只采用</w:t>
      </w:r>
      <w:r>
        <w:t xml:space="preserve"> ICE </w:t>
      </w:r>
      <w:r>
        <w:rPr>
          <w:rFonts w:hint="eastAsia"/>
        </w:rPr>
        <w:t xml:space="preserve">官方多期限结算价口径</w:t>
      </w:r>
      <w:r>
        <w:br/>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bookmarkEnd w:id="19"/>
    <w:bookmarkStart w:id="26" w:name="外部供需与风险约束"/>
    <w:p>
      <w:pPr>
        <w:pStyle w:val="Heading2"/>
      </w:pPr>
      <w:r>
        <w:rPr>
          <w:rFonts w:hint="eastAsia"/>
        </w:rPr>
        <w:t xml:space="preserve">外部供需与风险约束</w:t>
      </w:r>
    </w:p>
    <w:p>
      <w:pPr>
        <w:pStyle w:val="FirstParagraph"/>
      </w:pPr>
      <w:r>
        <w:rPr>
          <w:rFonts w:hint="eastAsia"/>
        </w:rPr>
        <w:t xml:space="preserve">为避免中长期参数只由冲突窗口拟合得到，本文引入</w:t>
      </w:r>
      <w:r>
        <w:t xml:space="preserve"> EIA、JODI </w:t>
      </w:r>
      <w:r>
        <w:rPr>
          <w:rFonts w:hint="eastAsia"/>
        </w:rPr>
        <w:t xml:space="preserve">和</w:t>
      </w:r>
      <w:r>
        <w:t xml:space="preserve"> OPEC </w:t>
      </w:r>
      <w:r>
        <w:rPr>
          <w:rFonts w:hint="eastAsia"/>
        </w:rPr>
        <w:t xml:space="preserve">三类官方数据，对</w:t>
      </w:r>
      <w:r>
        <w:t xml:space="preserve"> </w:t>
      </w:r>
      <w:r>
        <w:rPr>
          <w:rFonts w:hint="eastAsia"/>
        </w:rPr>
        <w:t xml:space="preserve">SPR、商业库存、供给恢复、需求背景和尾部压力进行数量级约束。三类数据的口径不同：EIA</w:t>
      </w:r>
      <w:r>
        <w:t xml:space="preserve"> </w:t>
      </w:r>
      <w:r>
        <w:rPr>
          <w:rFonts w:hint="eastAsia"/>
        </w:rPr>
        <w:t xml:space="preserve">为美国周度数据，JODI</w:t>
      </w:r>
      <w:r>
        <w:t xml:space="preserve"> </w:t>
      </w:r>
      <w:r>
        <w:rPr>
          <w:rFonts w:hint="eastAsia"/>
        </w:rPr>
        <w:t xml:space="preserve">为多国上报月度数据，OPEC</w:t>
      </w:r>
      <w:r>
        <w:t xml:space="preserve"> </w:t>
      </w:r>
      <w:r>
        <w:rPr>
          <w:rFonts w:hint="eastAsia"/>
        </w:rPr>
        <w:t xml:space="preserve">为全球供需基线预测。因此，它们只约束参数方向和合理范围，不替代附件价格序列。</w:t>
      </w:r>
    </w:p>
    <w:p>
      <w:pPr>
        <w:pStyle w:val="BodyText"/>
      </w:pPr>
      <w:r>
        <w:t xml:space="preserve">EIA </w:t>
      </w:r>
      <w:r>
        <w:rPr>
          <w:rFonts w:hint="eastAsia"/>
        </w:rPr>
        <w:t xml:space="preserve">数据显示，美国</w:t>
      </w:r>
      <w:r>
        <w:t xml:space="preserve"> SPR </w:t>
      </w:r>
      <w:r>
        <w:rPr>
          <w:rFonts w:hint="eastAsia"/>
        </w:rPr>
        <w:t xml:space="preserve">释放强度明显低于赛题给定的国际协调释放上限，美国商业库存未在冲突窗口内快速耗尽，美国原油产量短期变化较小。这说明模型中的</w:t>
      </w:r>
      <w:r>
        <w:t xml:space="preserve"> SPR </w:t>
      </w:r>
      <w:r>
        <w:rPr>
          <w:rFonts w:hint="eastAsia"/>
        </w:rPr>
        <w:t xml:space="preserve">参数应解释为多国协调缓冲能力；库存缓冲不能写成机械消耗项；非海湾供给恢复也难以单独抵消封锁缺口。</w:t>
      </w:r>
    </w:p>
    <w:p>
      <w:pPr>
        <w:pStyle w:val="BodyText"/>
      </w:pPr>
      <w:r>
        <w:t xml:space="preserve">Y L</w:t>
      </w:r>
      <w:r>
        <w:t xml:space="preserve">2.2cm</w:t>
      </w:r>
      <w:r>
        <w:t xml:space="preserve"> </w:t>
      </w:r>
      <w:r>
        <w:t xml:space="preserve">S[table-format=6.0] S[table-format=6.0] S[table-format=-5.1] S[table-format=-2.2]</w:t>
      </w:r>
      <w:r>
        <w:t xml:space="preserve"> </w:t>
      </w:r>
      <w:r>
        <w:rPr>
          <w:rFonts w:hint="eastAsia"/>
        </w:rPr>
        <w:t xml:space="preserve">指标</w:t>
      </w:r>
      <w:r>
        <w:t xml:space="preserve"> &amp; </w:t>
      </w:r>
      <w:r>
        <w:rPr>
          <w:rFonts w:hint="eastAsia"/>
        </w:rPr>
        <w:t xml:space="preserve">变化口径</w:t>
      </w:r>
      <w:r>
        <w:t xml:space="preserve"> &amp;</w:t>
      </w:r>
      <w:r>
        <w:t xml:space="preserve"> </w:t>
      </w:r>
      <w:r>
        <w:rPr>
          <w:rFonts w:hint="eastAsia"/>
        </w:rPr>
        <w:t xml:space="preserve">冲突前</w:t>
      </w:r>
      <w:r>
        <w:t xml:space="preserve"> </w:t>
      </w:r>
      <w:r>
        <w:t xml:space="preserve">&amp;</w:t>
      </w:r>
      <w:r>
        <w:t xml:space="preserve"> </w:t>
      </w:r>
      <w:r>
        <w:rPr>
          <w:rFonts w:hint="eastAsia"/>
        </w:rPr>
        <w:t xml:space="preserve">窗口末</w:t>
      </w:r>
      <w:r>
        <w:t xml:space="preserve"> </w:t>
      </w:r>
      <w:r>
        <w:t xml:space="preserve">&amp;</w:t>
      </w:r>
      <w:r>
        <w:t xml:space="preserve"> </w:t>
      </w:r>
      <w:r>
        <w:rPr>
          <w:rFonts w:hint="eastAsia"/>
        </w:rPr>
        <w:t xml:space="preserve">窗口变化</w:t>
      </w:r>
      <w:r>
        <w:t xml:space="preserve"> </w:t>
      </w:r>
      <w:r>
        <w:t xml:space="preserve">&amp;</w:t>
      </w:r>
      <w:r>
        <w:t xml:space="preserve"> </w:t>
      </w:r>
      <w:r>
        <w:rPr>
          <w:rFonts w:hint="eastAsia"/>
        </w:rPr>
        <w:t xml:space="preserve">日均变化</w:t>
      </w:r>
      <w:r>
        <w:br/>
      </w:r>
      <w:r>
        <w:rPr>
          <w:rFonts w:hint="eastAsia"/>
        </w:rPr>
        <w:t xml:space="preserve">美国</w:t>
      </w:r>
      <w:r>
        <w:t xml:space="preserve"> SPR </w:t>
      </w:r>
      <w:r>
        <w:rPr>
          <w:rFonts w:hint="eastAsia"/>
        </w:rPr>
        <w:t xml:space="preserve">库存</w:t>
      </w:r>
      <w:r>
        <w:t xml:space="preserve"> &amp; </w:t>
      </w:r>
      <w:r>
        <w:rPr>
          <w:rFonts w:hint="eastAsia"/>
        </w:rPr>
        <w:t xml:space="preserve">千桶；万桶</w:t>
      </w:r>
      <w:r>
        <w:t xml:space="preserve"> &amp; 415441 &amp; 392700 &amp; -2274.1 &amp; -36.10</w:t>
      </w:r>
      <w:r>
        <w:br/>
      </w:r>
      <w:r>
        <w:rPr>
          <w:rFonts w:hint="eastAsia"/>
        </w:rPr>
        <w:t xml:space="preserve">美国商业库存</w:t>
      </w:r>
      <w:r>
        <w:t xml:space="preserve"> &amp; </w:t>
      </w:r>
      <w:r>
        <w:rPr>
          <w:rFonts w:hint="eastAsia"/>
        </w:rPr>
        <w:t xml:space="preserve">千桶；万桶</w:t>
      </w:r>
      <w:r>
        <w:t xml:space="preserve"> &amp; 439279 &amp; 457182 &amp; 1790.3 &amp; 28.42</w:t>
      </w:r>
      <w:r>
        <w:br/>
      </w:r>
      <w:r>
        <w:rPr>
          <w:rFonts w:hint="eastAsia"/>
        </w:rPr>
        <w:t xml:space="preserve">美国原油产量</w:t>
      </w:r>
      <w:r>
        <w:t xml:space="preserve"> &amp; </w:t>
      </w:r>
      <w:r>
        <w:rPr>
          <w:rFonts w:hint="eastAsia"/>
        </w:rPr>
        <w:t xml:space="preserve">千桶/日；万桶/日</w:t>
      </w:r>
      <w:r>
        <w:t xml:space="preserve"> &amp; 13696 &amp; 13573 &amp; -12.3 &amp; -0.20</w:t>
      </w:r>
      <w:r>
        <w:br/>
      </w:r>
    </w:p>
    <w:p>
      <w:pPr>
        <w:pStyle w:val="BodyText"/>
      </w:pPr>
      <w:r>
        <w:t xml:space="preserve">JODI Oil World Database </w:t>
      </w:r>
      <w:r>
        <w:rPr>
          <w:rFonts w:hint="eastAsia"/>
        </w:rPr>
        <w:t xml:space="preserve">汇集多国官方上报的月度石油数据。本文抽取一次石油和二次石油中的产量、库存、进出口、油品需求与炼厂产出，并采用</w:t>
      </w:r>
      <w:r>
        <w:t xml:space="preserve"> 2026 </w:t>
      </w:r>
      <w:r>
        <w:rPr>
          <w:rFonts w:hint="eastAsia"/>
        </w:rPr>
        <w:t xml:space="preserve">年</w:t>
      </w:r>
      <w:r>
        <w:t xml:space="preserve"> 2 </w:t>
      </w:r>
      <w:r>
        <w:rPr>
          <w:rFonts w:hint="eastAsia"/>
        </w:rPr>
        <w:t xml:space="preserve">月已上报国家/地区作为同口径样本。由于</w:t>
      </w:r>
      <w:r>
        <w:t xml:space="preserve"> JODI </w:t>
      </w:r>
      <w:r>
        <w:rPr>
          <w:rFonts w:hint="eastAsia"/>
        </w:rPr>
        <w:t xml:space="preserve">存在国家覆盖差异和发布滞后，本文将其表述为</w:t>
      </w:r>
      <w:r>
        <w:rPr>
          <w:rFonts w:hint="eastAsia"/>
        </w:rPr>
        <w:t xml:space="preserve">“多国上报口径”</w:t>
      </w:r>
      <w:r>
        <w:t xml:space="preserve">。</w:t>
      </w:r>
    </w:p>
    <w:p>
      <w:pPr>
        <w:pStyle w:val="BodyText"/>
      </w:pPr>
      <w:r>
        <w:t xml:space="preserve">Y C</w:t>
      </w:r>
      <w:r>
        <w:t xml:space="preserve">1.45cm</w:t>
      </w:r>
      <w:r>
        <w:t xml:space="preserve"> </w:t>
      </w:r>
      <w:r>
        <w:t xml:space="preserve">S[table-format=7.2] C</w:t>
      </w:r>
      <w:r>
        <w:t xml:space="preserve">1.45cm</w:t>
      </w:r>
      <w:r>
        <w:t xml:space="preserve"> </w:t>
      </w:r>
      <w:r>
        <w:t xml:space="preserve">S[table-format=-5.2]</w:t>
      </w:r>
      <w:r>
        <w:t xml:space="preserve"> </w:t>
      </w:r>
      <w:r>
        <w:rPr>
          <w:rFonts w:hint="eastAsia"/>
        </w:rPr>
        <w:t xml:space="preserve">指标</w:t>
      </w:r>
      <w:r>
        <w:t xml:space="preserve"> &amp; </w:t>
      </w:r>
      <w:r>
        <w:rPr>
          <w:rFonts w:hint="eastAsia"/>
        </w:rPr>
        <w:t xml:space="preserve">月份</w:t>
      </w:r>
      <w:r>
        <w:t xml:space="preserve"> &amp;</w:t>
      </w:r>
      <w:r>
        <w:t xml:space="preserve"> </w:t>
      </w:r>
      <w:r>
        <w:rPr>
          <w:rFonts w:hint="eastAsia"/>
        </w:rPr>
        <w:t xml:space="preserve">数值</w:t>
      </w:r>
      <w:r>
        <w:t xml:space="preserve"> </w:t>
      </w:r>
      <w:r>
        <w:t xml:space="preserve">&amp; </w:t>
      </w:r>
      <w:r>
        <w:rPr>
          <w:rFonts w:hint="eastAsia"/>
        </w:rPr>
        <w:t xml:space="preserve">单位</w:t>
      </w:r>
      <w:r>
        <w:t xml:space="preserve"> &amp;</w:t>
      </w:r>
      <w:r>
        <w:t xml:space="preserve"> </w:t>
      </w:r>
      <w:r>
        <w:rPr>
          <w:rFonts w:hint="eastAsia"/>
        </w:rPr>
        <w:t xml:space="preserve">同口径较上年末变化</w:t>
      </w:r>
      <w:r>
        <w:br/>
      </w:r>
      <w:r>
        <w:rPr>
          <w:rFonts w:hint="eastAsia"/>
        </w:rPr>
        <w:t xml:space="preserve">原油及凝析油产量</w:t>
      </w:r>
      <w:r>
        <w:t xml:space="preserve"> &amp; 2026-02 &amp; 51456.97 &amp; KBD &amp; 108.39</w:t>
      </w:r>
      <w:r>
        <w:br/>
      </w:r>
      <w:r>
        <w:rPr>
          <w:rFonts w:hint="eastAsia"/>
        </w:rPr>
        <w:t xml:space="preserve">原油及凝析油期末库存</w:t>
      </w:r>
      <w:r>
        <w:t xml:space="preserve"> &amp; 2026-02 &amp; 2203133.02 &amp; KBBL &amp; 20073.83</w:t>
      </w:r>
      <w:r>
        <w:br/>
      </w:r>
      <w:r>
        <w:rPr>
          <w:rFonts w:hint="eastAsia"/>
        </w:rPr>
        <w:t xml:space="preserve">原油及凝析油进口</w:t>
      </w:r>
      <w:r>
        <w:t xml:space="preserve"> &amp; 2026-02 &amp; 26746.71 &amp; KBD &amp; -963.69</w:t>
      </w:r>
      <w:r>
        <w:br/>
      </w:r>
      <w:r>
        <w:rPr>
          <w:rFonts w:hint="eastAsia"/>
        </w:rPr>
        <w:t xml:space="preserve">原油及凝析油出口</w:t>
      </w:r>
      <w:r>
        <w:t xml:space="preserve"> &amp; 2026-02 &amp; 22887.30 &amp; KBD &amp; -465.39</w:t>
      </w:r>
      <w:r>
        <w:br/>
      </w:r>
      <w:r>
        <w:rPr>
          <w:rFonts w:hint="eastAsia"/>
        </w:rPr>
        <w:t xml:space="preserve">油品总需求</w:t>
      </w:r>
      <w:r>
        <w:t xml:space="preserve"> &amp; 2026-02 &amp; 52784.43 &amp; KBD &amp; 423.81</w:t>
      </w:r>
      <w:r>
        <w:br/>
      </w:r>
      <w:r>
        <w:rPr>
          <w:rFonts w:hint="eastAsia"/>
        </w:rPr>
        <w:t xml:space="preserve">油品炼厂总产出</w:t>
      </w:r>
      <w:r>
        <w:t xml:space="preserve"> &amp; 2026-02 &amp; 54428.66 &amp; KBD &amp; 4316.20</w:t>
      </w:r>
      <w:r>
        <w:br/>
      </w:r>
      <w:r>
        <w:rPr>
          <w:rFonts w:hint="eastAsia"/>
        </w:rPr>
        <w:t xml:space="preserve">油品期末库存</w:t>
      </w:r>
      <w:r>
        <w:t xml:space="preserve"> &amp; 2026-02 &amp; 1837991.05 &amp; KBBL &amp; 49713.86</w:t>
      </w:r>
      <w:r>
        <w:br/>
      </w:r>
    </w:p>
    <w:p>
      <w:pPr>
        <w:pStyle w:val="BodyText"/>
      </w:pPr>
      <w:r>
        <w:t xml:space="preserve">JODI </w:t>
      </w:r>
      <w:r>
        <w:rPr>
          <w:rFonts w:hint="eastAsia"/>
        </w:rPr>
        <w:t xml:space="preserve">数据提示，非海湾供给恢复和需求调整是多国系统的缓慢响应，库存缓冲也需要同时区分原油库存和成品油库存。由于</w:t>
      </w:r>
      <w:r>
        <w:t xml:space="preserve"> 2026 </w:t>
      </w:r>
      <w:r>
        <w:rPr>
          <w:rFonts w:hint="eastAsia"/>
        </w:rPr>
        <w:t xml:space="preserve">年</w:t>
      </w:r>
      <w:r>
        <w:t xml:space="preserve"> 2 </w:t>
      </w:r>
      <w:r>
        <w:rPr>
          <w:rFonts w:hint="eastAsia"/>
        </w:rPr>
        <w:t xml:space="preserve">月可得数据处于冲突发生前，它更适合作为中长期外推的先验约束。</w:t>
      </w:r>
    </w:p>
    <w:p>
      <w:pPr>
        <w:pStyle w:val="BodyText"/>
      </w:pPr>
      <w:r>
        <w:t xml:space="preserve">OPEC Monthly Oil Market Report </w:t>
      </w:r>
      <w:r>
        <w:rPr>
          <w:rFonts w:hint="eastAsia"/>
        </w:rPr>
        <w:t xml:space="preserve">给出全球正常情景下的年度和季度供需基线，适合约束中长期油价调节模型中的需求背景、非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BodyText"/>
      </w:pPr>
      <w:r>
        <w:t xml:space="preserve">Y S[table-format=2.2] C</w:t>
      </w:r>
      <w:r>
        <w:t xml:space="preserve">1.4cm</w:t>
      </w:r>
      <w:r>
        <w:t xml:space="preserve"> </w:t>
      </w:r>
      <w:r>
        <w:t xml:space="preserve">Y</w:t>
      </w:r>
      <w:r>
        <w:t xml:space="preserve"> </w:t>
      </w:r>
      <w:r>
        <w:rPr>
          <w:rFonts w:hint="eastAsia"/>
        </w:rPr>
        <w:t xml:space="preserve">指标</w:t>
      </w:r>
      <w:r>
        <w:t xml:space="preserve"> &amp;</w:t>
      </w:r>
      <w:r>
        <w:t xml:space="preserve"> </w:t>
      </w:r>
      <w:r>
        <w:rPr>
          <w:rFonts w:hint="eastAsia"/>
        </w:rPr>
        <w:t xml:space="preserve">数值</w:t>
      </w:r>
      <w:r>
        <w:t xml:space="preserve"> </w:t>
      </w:r>
      <w:r>
        <w:t xml:space="preserve">&amp; </w:t>
      </w:r>
      <w:r>
        <w:rPr>
          <w:rFonts w:hint="eastAsia"/>
        </w:rPr>
        <w:t xml:space="preserve">单位</w:t>
      </w:r>
      <w:r>
        <w:t xml:space="preserve"> &amp; </w:t>
      </w:r>
      <w:r>
        <w:rPr>
          <w:rFonts w:hint="eastAsia"/>
        </w:rPr>
        <w:t xml:space="preserve">模型含义</w:t>
      </w:r>
      <w:r>
        <w:br/>
      </w:r>
      <w:r>
        <w:rPr>
          <w:rFonts w:hint="eastAsia"/>
        </w:rPr>
        <w:t xml:space="preserve">年世界石油需求增量</w:t>
      </w:r>
      <w:r>
        <w:t xml:space="preserve"> &amp; 1.40 &amp; mb/d &amp; </w:t>
      </w:r>
      <w:r>
        <w:rPr>
          <w:rFonts w:hint="eastAsia"/>
        </w:rPr>
        <w:t xml:space="preserve">长期需求背景仍增长，需求收缩不能设得过强</w:t>
      </w:r>
      <w:r>
        <w:br/>
      </w:r>
      <w:r>
        <w:t xml:space="preserve">2026 </w:t>
      </w:r>
      <w:r>
        <w:rPr>
          <w:rFonts w:hint="eastAsia"/>
        </w:rPr>
        <w:t xml:space="preserve">年非</w:t>
      </w:r>
      <w:r>
        <w:t xml:space="preserve"> DoC </w:t>
      </w:r>
      <w:r>
        <w:rPr>
          <w:rFonts w:hint="eastAsia"/>
        </w:rPr>
        <w:t xml:space="preserve">液体供给增量</w:t>
      </w:r>
      <w:r>
        <w:t xml:space="preserve"> &amp; 0.60 &amp; mb/d &amp; </w:t>
      </w:r>
      <w:r>
        <w:rPr>
          <w:rFonts w:hint="eastAsia"/>
        </w:rPr>
        <w:t xml:space="preserve">外部供给有恢复能力，但远小于封锁冲击量级</w:t>
      </w:r>
      <w:r>
        <w:br/>
      </w:r>
      <w:r>
        <w:t xml:space="preserve">2026 </w:t>
      </w:r>
      <w:r>
        <w:rPr>
          <w:rFonts w:hint="eastAsia"/>
        </w:rPr>
        <w:t xml:space="preserve">年</w:t>
      </w:r>
      <w:r>
        <w:t xml:space="preserve"> DoC </w:t>
      </w:r>
      <w:r>
        <w:rPr>
          <w:rFonts w:hint="eastAsia"/>
        </w:rPr>
        <w:t xml:space="preserve">原油需求差额增量</w:t>
      </w:r>
      <w:r>
        <w:t xml:space="preserve"> &amp; 0.60 &amp; mb/d &amp; </w:t>
      </w:r>
      <w:r>
        <w:rPr>
          <w:rFonts w:hint="eastAsia"/>
        </w:rPr>
        <w:t xml:space="preserve">对</w:t>
      </w:r>
      <w:r>
        <w:t xml:space="preserve"> DoC </w:t>
      </w:r>
      <w:r>
        <w:rPr>
          <w:rFonts w:hint="eastAsia"/>
        </w:rPr>
        <w:t xml:space="preserve">原油的压力仍上升，支持保留尾部风险</w:t>
      </w:r>
      <w:r>
        <w:br/>
      </w:r>
      <w:r>
        <w:t xml:space="preserve">2026 </w:t>
      </w:r>
      <w:r>
        <w:rPr>
          <w:rFonts w:hint="eastAsia"/>
        </w:rPr>
        <w:t xml:space="preserve">年</w:t>
      </w:r>
      <w:r>
        <w:t xml:space="preserve"> DoC </w:t>
      </w:r>
      <w:r>
        <w:rPr>
          <w:rFonts w:hint="eastAsia"/>
        </w:rPr>
        <w:t xml:space="preserve">原油需求差额峰值</w:t>
      </w:r>
      <w:r>
        <w:t xml:space="preserve"> &amp; 43.70 &amp; mb/d &amp; </w:t>
      </w:r>
      <w:r>
        <w:rPr>
          <w:rFonts w:hint="eastAsia"/>
        </w:rPr>
        <w:t xml:space="preserve">下半年需求差额更高，中长期油价调节模型需保留季节性压力</w:t>
      </w:r>
      <w:r>
        <w:br/>
      </w:r>
      <w:r>
        <w:rPr>
          <w:rFonts w:hint="eastAsia"/>
        </w:rPr>
        <w:t xml:space="preserve">峰值高于年均</w:t>
      </w:r>
      <w:r>
        <w:t xml:space="preserve"> &amp; 0.70 &amp; mb/d &amp; </w:t>
      </w:r>
      <w:r>
        <w:rPr>
          <w:rFonts w:hint="eastAsia"/>
        </w:rPr>
        <w:t xml:space="preserve">用于温和抬升尾部风险权重</w:t>
      </w:r>
      <w:r>
        <w:br/>
      </w:r>
    </w:p>
    <w:p>
      <w:pPr>
        <w:pStyle w:val="BodyText"/>
      </w:pPr>
      <w:r>
        <w:t xml:space="preserve">OPEC </w:t>
      </w:r>
      <w:r>
        <w:rPr>
          <w:rFonts w:hint="eastAsia"/>
        </w:rPr>
        <w:t xml:space="preserve">表说明，在没有霍尔木兹极端封锁的正常基线下，2026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原油需求差额更高。因此，中长期油价调节模型中的价格回落应解释为政策缓冲、供给恢复、需求弹性和风险溢价衰减共同作用后的条件路径，而非全球需求自然塌陷。</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月度指数和</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隐含波动率。GPR</w:t>
      </w:r>
      <w:r>
        <w:t xml:space="preserve"> </w:t>
      </w:r>
      <w:r>
        <w:rPr>
          <w:rFonts w:hint="eastAsia"/>
        </w:rPr>
        <w:t xml:space="preserve">由新闻文本构造，因此不用于同月解释同月价格；OVX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97.3%，适合进入长期风险权重和不确定性强度约束。</w:t>
      </w:r>
    </w:p>
    <w:p>
      <w:pPr>
        <w:pStyle w:val="BodyText"/>
      </w:pPr>
      <w:r>
        <w:rPr>
          <w:rFonts w:hint="eastAsia"/>
          <w:b/>
          <w:bCs/>
        </w:rPr>
        <w:t xml:space="preserve">结论</w:t>
      </w:r>
      <w:r>
        <w:rPr>
          <w:rFonts w:hint="eastAsia"/>
        </w:rPr>
        <w:t xml:space="preserve">本节的数据处理逻辑是：附件价格用于拟合和评价，EIA、JODI、OPEC</w:t>
      </w:r>
      <w:r>
        <w:t xml:space="preserve"> </w:t>
      </w:r>
      <w:r>
        <w:rPr>
          <w:rFonts w:hint="eastAsia"/>
        </w:rPr>
        <w:t xml:space="preserve">约束供需和库存数量级，GPR</w:t>
      </w:r>
      <w:r>
        <w:t xml:space="preserve"> </w:t>
      </w:r>
      <w:r>
        <w:rPr>
          <w:rFonts w:hint="eastAsia"/>
        </w:rPr>
        <w:t xml:space="preserve">校验地缘风险环境，OVX</w:t>
      </w:r>
      <w:r>
        <w:t xml:space="preserve"> </w:t>
      </w:r>
      <w:r>
        <w:rPr>
          <w:rFonts w:hint="eastAsia"/>
        </w:rPr>
        <w:t xml:space="preserve">约束市场隐含波动率。</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333500"/>
                  <wp:effectExtent b="0" l="0" r="0" t="0"/>
                  <wp:docPr descr="" title="" id="21" name="Picture"/>
                  <a:graphic>
                    <a:graphicData uri="http://schemas.openxmlformats.org/drawingml/2006/picture">
                      <pic:pic>
                        <pic:nvPicPr>
                          <pic:cNvPr descr="布伦特原油长期价格走势.png" id="22" name="Picture"/>
                          <pic:cNvPicPr>
                            <a:picLocks noChangeArrowheads="1" noChangeAspect="1"/>
                          </pic:cNvPicPr>
                        </pic:nvPicPr>
                        <pic:blipFill>
                          <a:blip r:embed="rId20"/>
                          <a:stretch>
                            <a:fillRect/>
                          </a:stretch>
                        </pic:blipFill>
                        <pic:spPr bwMode="auto">
                          <a:xfrm>
                            <a:off x="0" y="0"/>
                            <a:ext cx="2667000" cy="1333500"/>
                          </a:xfrm>
                          <a:prstGeom prst="rect">
                            <a:avLst/>
                          </a:prstGeom>
                          <a:noFill/>
                          <a:ln w="9525">
                            <a:noFill/>
                            <a:headEnd/>
                            <a:tailEnd/>
                          </a:ln>
                        </pic:spPr>
                      </pic:pic>
                    </a:graphicData>
                  </a:graphic>
                </wp:inline>
              </w:drawing>
            </w:r>
          </w:p>
          <w:p>
            <w:pPr>
              <w:pStyle w:val="ImageCaption"/>
              <w:jc w:val="center"/>
            </w:pPr>
            <w:r>
              <w:t xml:space="preserve">2017–2026 </w:t>
            </w:r>
            <w:r>
              <w:rPr>
                <w:rFonts w:hint="eastAsia"/>
              </w:rPr>
              <w:t xml:space="preserve">年长期走势</w:t>
            </w:r>
          </w:p>
        </w:tc>
        <w:tc>
          <w:tcPr/>
          <w:p>
            <w:pPr>
              <w:pStyle w:val="CaptionedFigure"/>
              <w:jc w:val="center"/>
            </w:pPr>
            <w:r>
              <w:drawing>
                <wp:inline>
                  <wp:extent cx="2667000" cy="1333500"/>
                  <wp:effectExtent b="0" l="0" r="0" t="0"/>
                  <wp:docPr descr="" title="" id="24" name="Picture"/>
                  <a:graphic>
                    <a:graphicData uri="http://schemas.openxmlformats.org/drawingml/2006/picture">
                      <pic:pic>
                        <pic:nvPicPr>
                          <pic:cNvPr descr="冲突窗口价格走势.png" id="25" name="Picture"/>
                          <pic:cNvPicPr>
                            <a:picLocks noChangeArrowheads="1" noChangeAspect="1"/>
                          </pic:cNvPicPr>
                        </pic:nvPicPr>
                        <pic:blipFill>
                          <a:blip r:embed="rId23"/>
                          <a:stretch>
                            <a:fillRect/>
                          </a:stretch>
                        </pic:blipFill>
                        <pic:spPr bwMode="auto">
                          <a:xfrm>
                            <a:off x="0" y="0"/>
                            <a:ext cx="2667000" cy="1333500"/>
                          </a:xfrm>
                          <a:prstGeom prst="rect">
                            <a:avLst/>
                          </a:prstGeom>
                          <a:noFill/>
                          <a:ln w="9525">
                            <a:noFill/>
                            <a:headEnd/>
                            <a:tailEnd/>
                          </a:ln>
                        </pic:spPr>
                      </pic:pic>
                    </a:graphicData>
                  </a:graphic>
                </wp:inline>
              </w:drawing>
            </w:r>
          </w:p>
          <w:p>
            <w:pPr>
              <w:pStyle w:val="ImageCaption"/>
              <w:jc w:val="center"/>
            </w:pPr>
            <w:r>
              <w:t xml:space="preserve">2026 </w:t>
            </w:r>
            <w:r>
              <w:rPr>
                <w:rFonts w:hint="eastAsia"/>
              </w:rPr>
              <w:t xml:space="preserve">年冲突窗口路径</w:t>
            </w:r>
          </w:p>
        </w:tc>
      </w:tr>
    </w:tbl>
    <w:p>
      <w:pPr>
        <w:pStyle w:val="ImageCaption"/>
      </w:pPr>
      <w:r>
        <w:rPr>
          <w:rFonts w:hint="eastAsia"/>
        </w:rPr>
        <w:t xml:space="preserve">附件收盘价的长期背景与冲突窗口放大</w:t>
      </w:r>
    </w:p>
    <w:bookmarkEnd w:id="26"/>
    <w:bookmarkStart w:id="30"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8" name="Picture"/>
            <a:graphic>
              <a:graphicData uri="http://schemas.openxmlformats.org/drawingml/2006/picture">
                <pic:pic>
                  <pic:nvPicPr>
                    <pic:cNvPr descr="布伦特收益率与波动率.png" id="29" name="Picture"/>
                    <pic:cNvPicPr>
                      <a:picLocks noChangeArrowheads="1" noChangeAspect="1"/>
                    </pic:cNvPicPr>
                  </pic:nvPicPr>
                  <pic:blipFill>
                    <a:blip r:embed="rId27"/>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w:t>
      </w:r>
    </w:p>
    <w:bookmarkEnd w:id="30"/>
    <w:bookmarkStart w:id="36" w:name="传统供需基准模型"/>
    <w:p>
      <w:pPr>
        <w:pStyle w:val="Heading2"/>
      </w:pPr>
      <w:r>
        <w:rPr>
          <w:rFonts w:hint="eastAsia"/>
        </w:rPr>
        <w:t xml:space="preserve">传统供需基准模型</w:t>
      </w:r>
    </w:p>
    <w:bookmarkStart w:id="31" w:name="模型建立"/>
    <w:p>
      <w:pPr>
        <w:pStyle w:val="Heading3"/>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标定斜率。由点弹性定义</w:t>
      </w:r>
    </w:p>
    <w:p>
      <w:pPr>
        <w:pStyle w:val="BodyText"/>
      </w:pPr>
      <m:oMathPara>
        <m:oMathParaPr>
          <m:jc m:val="center"/>
        </m:oMathParaPr>
        <m:oMath>
          <m:r>
            <m:t>ε</m:t>
          </m:r>
          <m:r>
            <m:rPr>
              <m:sty m:val="p"/>
            </m:rPr>
            <m:t>=</m:t>
          </m:r>
          <m:f>
            <m:fPr>
              <m:type m:val="bar"/>
            </m:fPr>
            <m:num>
              <m:r>
                <m:rPr>
                  <m:sty m:val="p"/>
                </m:rPr>
                <m:t>d</m:t>
              </m:r>
              <m:r>
                <m:t>Q</m:t>
              </m:r>
            </m:num>
            <m:den>
              <m:r>
                <m:rPr>
                  <m:sty m:val="p"/>
                </m:rPr>
                <m:t>d</m:t>
              </m:r>
              <m:r>
                <m:t>P</m:t>
              </m:r>
            </m:den>
          </m:f>
          <m:f>
            <m:fPr>
              <m:type m:val="bar"/>
            </m:fPr>
            <m:num>
              <m:sSub>
                <m:e>
                  <m:r>
                    <m:t>P</m:t>
                  </m:r>
                </m:e>
                <m:sub>
                  <m:r>
                    <m:t>0</m:t>
                  </m:r>
                </m:sub>
              </m:sSub>
            </m:num>
            <m:den>
              <m:sSub>
                <m:e>
                  <m:r>
                    <m:t>D</m:t>
                  </m:r>
                </m:e>
                <m:sub>
                  <m:r>
                    <m:t>0</m:t>
                  </m:r>
                </m:sub>
              </m:sSub>
            </m:den>
          </m:f>
          <m:r>
            <m:rPr>
              <m:sty m:val="p"/>
            </m:rPr>
            <m:t>=</m:t>
          </m:r>
          <m:r>
            <m:rPr>
              <m:sty m:val="p"/>
            </m:rPr>
            <m:t>−</m:t>
          </m:r>
          <m:f>
            <m:fPr>
              <m:type m:val="bar"/>
            </m:fPr>
            <m:num>
              <m:r>
                <m:t>1</m:t>
              </m:r>
            </m:num>
            <m:den>
              <m:r>
                <m:t>b</m:t>
              </m:r>
            </m:den>
          </m:f>
          <m:f>
            <m:fPr>
              <m:type m:val="bar"/>
            </m:fPr>
            <m:num>
              <m:sSub>
                <m:e>
                  <m:r>
                    <m:t>P</m:t>
                  </m:r>
                </m:e>
                <m:sub>
                  <m:r>
                    <m:t>0</m:t>
                  </m:r>
                </m:sub>
              </m:sSub>
            </m:num>
            <m:den>
              <m:sSub>
                <m:e>
                  <m:r>
                    <m:t>D</m:t>
                  </m:r>
                </m:e>
                <m:sub>
                  <m:r>
                    <m:t>0</m:t>
                  </m:r>
                </m:sub>
              </m:sSub>
            </m:den>
          </m:f>
          <m:r>
            <m:rPr>
              <m:sty m:val="p"/>
            </m:rPr>
            <m:t>,</m:t>
          </m:r>
        </m:oMath>
      </m:oMathPara>
    </w:p>
    <w:p>
      <w:pPr>
        <w:pStyle w:val="FirstParagraph"/>
      </w:pPr>
      <w:r>
        <w:rPr>
          <w:rFonts w:hint="eastAsia"/>
        </w:rPr>
        <w:t xml:space="preserve">可得</w:t>
      </w:r>
      <w:r>
        <w:t xml:space="preserve"> </w:t>
      </w:r>
      <m:oMath>
        <m:r>
          <m:t>b</m:t>
        </m:r>
        <m:r>
          <m:rPr>
            <m:sty m:val="p"/>
          </m:rPr>
          <m:t>=</m:t>
        </m:r>
        <m:sSub>
          <m:e>
            <m:r>
              <m:t>P</m:t>
            </m:r>
          </m:e>
          <m:sub>
            <m:r>
              <m:t>0</m:t>
            </m:r>
          </m:sub>
        </m:sSub>
        <m:r>
          <m:rPr>
            <m:sty m:val="p"/>
          </m:rPr>
          <m:t>/</m:t>
        </m:r>
        <m:r>
          <m:rPr>
            <m:sty m:val="p"/>
          </m:rPr>
          <m:t>(</m:t>
        </m:r>
        <m:r>
          <m:rPr>
            <m:sty m:val="p"/>
          </m:rPr>
          <m:t>|</m:t>
        </m:r>
        <m:r>
          <m:t>ε</m:t>
        </m:r>
        <m:r>
          <m:rPr>
            <m:sty m:val="p"/>
          </m:rPr>
          <m:t>|</m:t>
        </m:r>
        <m:sSub>
          <m:e>
            <m:r>
              <m:t>D</m:t>
            </m:r>
          </m:e>
          <m:sub>
            <m:r>
              <m:t>0</m:t>
            </m:r>
          </m:sub>
        </m:sSub>
        <m:r>
          <m:rPr>
            <m:sty m:val="p"/>
          </m:rPr>
          <m:t>)</m:t>
        </m:r>
      </m:oMath>
      <w:r>
        <w:rPr>
          <w:rFonts w:hint="eastAsia"/>
        </w:rPr>
        <w:t xml:space="preserve">。当供应中断量为</w:t>
      </w:r>
      <w:r>
        <w:t xml:space="preserve"> </w:t>
      </w:r>
      <m:oMath>
        <m:r>
          <m:t>I</m:t>
        </m:r>
      </m:oMath>
      <w:r>
        <w:t xml:space="preserve"> </w:t>
      </w:r>
      <w:r>
        <w:rPr>
          <w:rFonts w:hint="eastAsia"/>
        </w:rPr>
        <w:t xml:space="preserve">时，静态均衡消费量由</w:t>
      </w:r>
      <w:r>
        <w:t xml:space="preserve"> </w:t>
      </w:r>
      <m:oMath>
        <m:sSub>
          <m:e>
            <m:r>
              <m:t>D</m:t>
            </m:r>
          </m:e>
          <m:sub>
            <m:r>
              <m:t>0</m:t>
            </m:r>
          </m:sub>
        </m:sSub>
      </m:oMath>
      <w:r>
        <w:t xml:space="preserve"> </w:t>
      </w:r>
      <w:r>
        <w:rPr>
          <w:rFonts w:hint="eastAsia"/>
        </w:rPr>
        <w:t xml:space="preserve">下降至</w:t>
      </w:r>
      <w:r>
        <w:t xml:space="preserve"> </w:t>
      </w:r>
      <m:oMath>
        <m:sSub>
          <m:e>
            <m:r>
              <m:t>D</m:t>
            </m:r>
          </m:e>
          <m:sub>
            <m:r>
              <m:t>0</m:t>
            </m:r>
          </m:sub>
        </m:sSub>
        <m:r>
          <m:rPr>
            <m:sty m:val="p"/>
          </m:rPr>
          <m:t>−</m:t>
        </m:r>
        <m:r>
          <m:t>I</m:t>
        </m:r>
      </m:oMath>
      <w:r>
        <w:rPr>
          <w:rFonts w:hint="eastAsia"/>
        </w:rPr>
        <w:t xml:space="preserve">，线性反需求给出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r>
            <m:rPr>
              <m:sty m:val="p"/>
            </m:rPr>
            <m:t>=</m:t>
          </m:r>
          <m:r>
            <m:t>b</m:t>
          </m:r>
          <m:r>
            <m:t>I</m:t>
          </m:r>
          <m:r>
            <m:rPr>
              <m:sty m:val="p"/>
            </m:rPr>
            <m:t>=</m:t>
          </m:r>
          <m:sSub>
            <m:e>
              <m:r>
                <m:t>P</m:t>
              </m:r>
            </m:e>
            <m:sub>
              <m:r>
                <m:t>0</m:t>
              </m:r>
            </m:sub>
          </m:sSub>
          <m:f>
            <m:fPr>
              <m:type m:val="bar"/>
            </m:fPr>
            <m:num>
              <m:r>
                <m:t>I</m:t>
              </m:r>
              <m:r>
                <m:rPr>
                  <m:sty m:val="p"/>
                </m:rPr>
                <m:t>/</m:t>
              </m:r>
              <m:sSub>
                <m:e>
                  <m:r>
                    <m:t>D</m:t>
                  </m:r>
                </m:e>
                <m:sub>
                  <m:r>
                    <m:t>0</m:t>
                  </m:r>
                </m:sub>
              </m:sSub>
            </m:num>
            <m:den>
              <m:r>
                <m:rPr>
                  <m:sty m:val="p"/>
                </m:rPr>
                <m:t>|</m:t>
              </m:r>
              <m:r>
                <m:t>ε</m:t>
              </m:r>
              <m:r>
                <m:rPr>
                  <m:sty m:val="p"/>
                </m:rPr>
                <m:t>|</m:t>
              </m:r>
            </m:den>
          </m:f>
          <m:r>
            <m:rPr>
              <m:sty m:val="p"/>
            </m:rPr>
            <m:t>.</m:t>
          </m:r>
        </m:oMath>
      </m:oMathPara>
    </w:p>
    <w:p>
      <w:pPr>
        <w:pStyle w:val="FirstParagraph"/>
      </w:pPr>
      <w:r>
        <w:rPr>
          <w:rFonts w:hint="eastAsia"/>
        </w:rPr>
        <w:t xml:space="preserve">因此，线性需求反事实价格为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1"/>
    <w:bookmarkStart w:id="35" w:name="基准模型结果"/>
    <w:p>
      <w:pPr>
        <w:pStyle w:val="Heading3"/>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3" name="Picture"/>
            <a:graphic>
              <a:graphicData uri="http://schemas.openxmlformats.org/drawingml/2006/picture">
                <pic:pic>
                  <pic:nvPicPr>
                    <pic:cNvPr descr="传统供需基准与真实价格对比.png" id="34" name="Picture"/>
                    <pic:cNvPicPr>
                      <a:picLocks noChangeArrowheads="1" noChangeAspect="1"/>
                    </pic:cNvPicPr>
                  </pic:nvPicPr>
                  <pic:blipFill>
                    <a:blip r:embed="rId32"/>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短期冲击模型正是在这一边界上引入动态缓冲与价格形成机制。</w:t>
      </w:r>
    </w:p>
    <w:bookmarkEnd w:id="35"/>
    <w:bookmarkEnd w:id="36"/>
    <w:bookmarkStart w:id="40" w:name="短期冲击模型060-天"/>
    <w:p>
      <w:pPr>
        <w:pStyle w:val="Heading2"/>
      </w:pPr>
      <w:r>
        <w:rPr>
          <w:rFonts w:hint="eastAsia"/>
        </w:rPr>
        <w:t xml:space="preserve">短期冲击模型（0–60</w:t>
      </w:r>
      <w:r>
        <w:t xml:space="preserve"> </w:t>
      </w:r>
      <w:r>
        <w:rPr>
          <w:rFonts w:hint="eastAsia"/>
        </w:rPr>
        <w:t xml:space="preserve">天）</w:t>
      </w:r>
    </w:p>
    <w:p>
      <w:pPr>
        <w:pStyle w:val="FirstParagraph"/>
      </w:pPr>
      <w:r>
        <w:rPr>
          <w:rFonts w:hint="eastAsia"/>
        </w:rPr>
        <w:t xml:space="preserve">短期冲击模型对应赛题任务</w:t>
      </w:r>
      <w:r>
        <w:t xml:space="preserve"> </w:t>
      </w:r>
      <w:r>
        <w:rPr>
          <w:rFonts w:hint="eastAsia"/>
        </w:rPr>
        <w:t xml:space="preserve">1。模型以赛题给定的供应中断、SPR、商业库存、绕道运输和恐慌情绪为基础，并纳入能够通过消融实验和敏感性分析检验的价格形成因素。其目标是在附件冲突窗口内解释</w:t>
      </w:r>
      <w:r>
        <w:t xml:space="preserve"> 0–60 </w:t>
      </w:r>
      <w:r>
        <w:rPr>
          <w:rFonts w:hint="eastAsia"/>
        </w:rPr>
        <w:t xml:space="preserve">天真实价格路径，并为后续中长期油价调节模型提供统一机制基础。</w:t>
      </w:r>
    </w:p>
    <w:tbl>
      <w:tblPr>
        <w:tblStyle w:val="FigureTable"/>
        <w:tblW w:type="auto" w:w="0"/>
        <w:jc w:val="center"/>
        <w:tblLook w:firstRow="0" w:lastRow="0" w:firstColumn="0" w:lastColumn="0"/>
      </w:tblPr>
      <w:tblGrid/>
    </w:tbl>
    <w:p>
      <w:pPr>
        <w:pStyle w:val="ImageCaption"/>
      </w:pPr>
      <w:r>
        <w:rPr>
          <w:rFonts w:hint="eastAsia"/>
        </w:rPr>
        <w:t xml:space="preserve">短期冲击模型结构</w:t>
      </w:r>
    </w:p>
    <w:p>
      <w:pPr>
        <w:pStyle w:val="BodyText"/>
      </w:pPr>
      <w:r>
        <w:rPr>
          <w:rFonts w:hint="eastAsia"/>
          <w:b/>
          <w:bCs/>
        </w:rPr>
        <w:t xml:space="preserve">结论</w:t>
      </w:r>
      <w:r>
        <w:rPr>
          <w:rFonts w:hint="eastAsia"/>
        </w:rPr>
        <w:t xml:space="preserve">主模型分为两层：物理供需层负责回答</w:t>
      </w:r>
      <w:r>
        <w:rPr>
          <w:rFonts w:hint="eastAsia"/>
        </w:rPr>
        <w:t xml:space="preserve">“缺口还剩多少”</w:t>
      </w:r>
      <w:r>
        <w:rPr>
          <w:rFonts w:hint="eastAsia"/>
        </w:rPr>
        <w:t xml:space="preserve">，市场价格形成层负责回答</w:t>
      </w:r>
      <w:r>
        <w:rPr>
          <w:rFonts w:hint="eastAsia"/>
        </w:rPr>
        <w:t xml:space="preserve">“市场如何给剩余缺口和制度风险定价”</w:t>
      </w:r>
      <w:r>
        <w:rPr>
          <w:rFonts w:hint="eastAsia"/>
        </w:rPr>
        <w:t xml:space="preserve">。两层分开写，使价格平台能够被分解为物理缓冲、风险溢价和预期修复的共同结果。</w:t>
      </w:r>
    </w:p>
    <w:bookmarkStart w:id="37" w:name="fig:tikz-feedback-loop"/>
    <w:tbl>
      <w:tblPr>
        <w:tblStyle w:val="FigureTable"/>
        <w:tblW w:type="auto" w:w="0"/>
        <w:jc w:val="center"/>
        <w:tblLook w:firstRow="0" w:lastRow="0" w:firstColumn="0" w:lastColumn="0"/>
      </w:tblPr>
      <w:tblGrid/>
    </w:tbl>
    <w:p>
      <w:pPr>
        <w:pStyle w:val="ImageCaption"/>
      </w:pPr>
      <w:r>
        <w:rPr>
          <w:rFonts w:hint="eastAsia"/>
        </w:rPr>
        <w:t xml:space="preserve">短期价格形成反馈回路</w:t>
      </w:r>
    </w:p>
    <w:bookmarkEnd w:id="37"/>
    <w:bookmarkStart w:id="38" w:name="物理供需层"/>
    <w:p>
      <w:pPr>
        <w:pStyle w:val="Heading3"/>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eqArr>
            <m:e>
              <m:sSub>
                <m:e>
                  <m:acc>
                    <m:accPr>
                      <m:chr m:val="̃"/>
                    </m:accPr>
                    <m:e>
                      <m:r>
                        <m:t>D</m:t>
                      </m:r>
                    </m:e>
                  </m:acc>
                </m:e>
                <m:sub>
                  <m:r>
                    <m:t>t</m:t>
                  </m:r>
                </m:sub>
              </m:sSub>
              <m:r>
                <m:t>&amp;</m:t>
              </m:r>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e>
            <m:e>
              <m:sSub>
                <m:e>
                  <m:r>
                    <m:t>L</m:t>
                  </m:r>
                </m:e>
                <m:sub>
                  <m:r>
                    <m:t>t</m:t>
                  </m:r>
                </m:sub>
              </m:sSub>
              <m:r>
                <m:t>&amp;</m:t>
              </m:r>
              <m:r>
                <m:rPr>
                  <m:sty m:val="p"/>
                </m:rPr>
                <m:t>=</m:t>
              </m:r>
              <m:r>
                <m:rPr>
                  <m:sty m:val="p"/>
                </m:rPr>
                <m:t>max</m:t>
              </m:r>
              <m:r>
                <m:rPr>
                  <m:sty m:val="p"/>
                </m:rPr>
                <m:t>(</m:t>
              </m:r>
              <m:sSub>
                <m:e>
                  <m:r>
                    <m:t>D</m:t>
                  </m:r>
                </m:e>
                <m:sub>
                  <m:r>
                    <m:t>0</m:t>
                  </m:r>
                </m:sub>
              </m:sSub>
              <m:r>
                <m:rPr>
                  <m:sty m:val="p"/>
                </m:rPr>
                <m:t>−</m:t>
              </m:r>
              <m:sSub>
                <m:e>
                  <m:acc>
                    <m:accPr>
                      <m:chr m:val="̃"/>
                    </m:accPr>
                    <m:e>
                      <m:r>
                        <m:t>D</m:t>
                      </m:r>
                    </m:e>
                  </m:acc>
                </m:e>
                <m:sub>
                  <m:r>
                    <m:t>t</m:t>
                  </m:r>
                </m:sub>
              </m:sSub>
              <m:r>
                <m:rPr>
                  <m:sty m:val="p"/>
                </m:rPr>
                <m:t>,</m:t>
              </m:r>
              <m:r>
                <m:t>0</m:t>
              </m:r>
              <m:r>
                <m:rPr>
                  <m:sty m:val="p"/>
                </m:rPr>
                <m:t>)</m:t>
              </m:r>
              <m:r>
                <m:rPr>
                  <m:sty m:val="p"/>
                </m:rPr>
                <m:t>,</m:t>
              </m:r>
            </m:e>
            <m:e>
              <m:sSub>
                <m:e>
                  <m:r>
                    <m:t>C</m:t>
                  </m:r>
                </m:e>
                <m:sub>
                  <m:r>
                    <m:t>t</m:t>
                  </m:r>
                </m:sub>
              </m:sSub>
              <m:r>
                <m:t>&amp;</m:t>
              </m:r>
              <m:r>
                <m:rPr>
                  <m:sty m:val="p"/>
                </m:rPr>
                <m:t>=</m:t>
              </m:r>
              <m:r>
                <m:rPr>
                  <m:sty m:val="p"/>
                </m:rPr>
                <m:t>max</m:t>
              </m:r>
              <m:r>
                <m:rPr>
                  <m:sty m:val="p"/>
                </m:rPr>
                <m:t>(</m:t>
              </m:r>
              <m:sSubSup>
                <m:e>
                  <m:r>
                    <m:t>C</m:t>
                  </m:r>
                </m:e>
                <m:sub>
                  <m:r>
                    <m:t>t</m:t>
                  </m:r>
                </m:sub>
                <m:sup>
                  <m:r>
                    <m:rPr>
                      <m:sty m:val="p"/>
                    </m:rPr>
                    <m:t>o</m:t>
                  </m:r>
                  <m:r>
                    <m:rPr>
                      <m:sty m:val="p"/>
                    </m:rPr>
                    <m:t>b</m:t>
                  </m:r>
                  <m:r>
                    <m:rPr>
                      <m:sty m:val="p"/>
                    </m:rPr>
                    <m:t>s</m:t>
                  </m:r>
                </m:sup>
              </m:sSubSup>
              <m:r>
                <m:rPr>
                  <m:sty m:val="p"/>
                </m:rPr>
                <m:t>−</m:t>
              </m:r>
              <m:r>
                <m:t>ρ</m:t>
              </m:r>
              <m:sSub>
                <m:e>
                  <m:r>
                    <m:t>L</m:t>
                  </m:r>
                </m:e>
                <m:sub>
                  <m:r>
                    <m:t>t</m:t>
                  </m:r>
                </m:sub>
              </m:sSub>
              <m:r>
                <m:rPr>
                  <m:sty m:val="p"/>
                </m:rPr>
                <m:t>,</m:t>
              </m:r>
              <m:r>
                <m:t>0</m:t>
              </m:r>
              <m:r>
                <m:rPr>
                  <m:sty m:val="p"/>
                </m:rPr>
                <m:t>)</m:t>
              </m:r>
              <m:r>
                <m:rPr>
                  <m:sty m:val="p"/>
                </m:rPr>
                <m:t>,</m:t>
              </m:r>
              <m:r>
                <m:t> </m:t>
              </m:r>
              <m:r>
                <m:t>ρ</m:t>
              </m:r>
              <m:r>
                <m:rPr>
                  <m:sty m:val="p"/>
                </m:rPr>
                <m:t>=</m:t>
              </m:r>
              <m:r>
                <m:t>0.35</m:t>
              </m:r>
              <m:r>
                <m:rPr>
                  <m:sty m:val="p"/>
                </m:rPr>
                <m:t>,</m:t>
              </m:r>
            </m:e>
            <m:e>
              <m:sSub>
                <m:e>
                  <m:r>
                    <m:t>D</m:t>
                  </m:r>
                </m:e>
                <m:sub>
                  <m:r>
                    <m:t>t</m:t>
                  </m:r>
                </m:sub>
              </m:sSub>
              <m:r>
                <m:t>&amp;</m:t>
              </m:r>
              <m:r>
                <m:rPr>
                  <m:sty m:val="p"/>
                </m:rPr>
                <m:t>=</m:t>
              </m:r>
              <m:r>
                <m:rPr>
                  <m:sty m:val="p"/>
                </m:rPr>
                <m:t>max</m:t>
              </m:r>
              <m:r>
                <m:rPr>
                  <m:sty m:val="p"/>
                </m:rPr>
                <m:t>(</m:t>
              </m:r>
              <m:sSub>
                <m:e>
                  <m:acc>
                    <m:accPr>
                      <m:chr m:val="̃"/>
                    </m:accPr>
                    <m:e>
                      <m:r>
                        <m:t>D</m:t>
                      </m:r>
                    </m:e>
                  </m:acc>
                </m:e>
                <m:sub>
                  <m:r>
                    <m:t>t</m:t>
                  </m:r>
                </m:sub>
              </m:sSub>
              <m:r>
                <m:rPr>
                  <m:sty m:val="p"/>
                </m:rPr>
                <m:t>−</m:t>
              </m:r>
              <m:sSub>
                <m:e>
                  <m:r>
                    <m:t>C</m:t>
                  </m:r>
                </m:e>
                <m:sub>
                  <m:r>
                    <m:t>t</m:t>
                  </m:r>
                </m:sub>
              </m:sSub>
              <m:r>
                <m:rPr>
                  <m:sty m:val="p"/>
                </m:rPr>
                <m:t>,</m:t>
              </m:r>
              <m:r>
                <m:t>0.70</m:t>
              </m:r>
              <m:sSub>
                <m:e>
                  <m:r>
                    <m:t>D</m:t>
                  </m:r>
                </m:e>
                <m:sub>
                  <m:r>
                    <m:t>0</m:t>
                  </m:r>
                </m:sub>
              </m:sSub>
              <m:r>
                <m:rPr>
                  <m:sty m:val="p"/>
                </m:rPr>
                <m:t>)</m:t>
              </m:r>
              <m:r>
                <m:rPr>
                  <m:sty m:val="p"/>
                </m:rPr>
                <m:t>.</m:t>
              </m:r>
            </m:e>
          </m:eqArr>
        </m:oMath>
      </m:oMathPara>
    </w:p>
    <w:p>
      <w:pPr>
        <w:pStyle w:val="FirstParagraph"/>
      </w:pPr>
      <w:r>
        <w:rPr>
          <w:rFonts w:hint="eastAsia"/>
        </w:rPr>
        <w:t xml:space="preserve">其中</w:t>
      </w:r>
      <w:r>
        <w:t xml:space="preserve"> </w:t>
      </w:r>
      <m:oMath>
        <m:sSub>
          <m:e>
            <m:acc>
              <m:accPr>
                <m:chr m:val="̃"/>
              </m:accPr>
              <m:e>
                <m:r>
                  <m:t>D</m:t>
                </m:r>
              </m:e>
            </m:acc>
          </m:e>
          <m:sub>
            <m:r>
              <m:t>t</m:t>
            </m:r>
          </m:sub>
        </m:sSub>
      </m:oMath>
      <w:r>
        <w:t xml:space="preserve"> </w:t>
      </w:r>
      <w:r>
        <w:rPr>
          <w:rFonts w:hint="eastAsia"/>
        </w:rPr>
        <w:t xml:space="preserve">为价格弹性调整后的需求，</w:t>
      </w:r>
      <m:oMath>
        <m:sSub>
          <m:e>
            <m:r>
              <m:t>L</m:t>
            </m:r>
          </m:e>
          <m:sub>
            <m:r>
              <m:t>t</m:t>
            </m:r>
          </m:sub>
        </m:sSub>
      </m:oMath>
      <w:r>
        <w:t xml:space="preserve"> </w:t>
      </w:r>
      <w:r>
        <w:rPr>
          <w:rFonts w:hint="eastAsia"/>
        </w:rPr>
        <w:t xml:space="preserve">为价格弹性已解释的需求下降，</w:t>
      </w:r>
      <m:oMath>
        <m:sSubSup>
          <m:e>
            <m:r>
              <m:t>C</m:t>
            </m:r>
          </m:e>
          <m:sub>
            <m:r>
              <m:t>t</m:t>
            </m:r>
          </m:sub>
          <m:sup>
            <m:r>
              <m:rPr>
                <m:sty m:val="p"/>
              </m:rPr>
              <m:t>o</m:t>
            </m:r>
            <m:r>
              <m:rPr>
                <m:sty m:val="p"/>
              </m:rPr>
              <m:t>b</m:t>
            </m:r>
            <m:r>
              <m:rPr>
                <m:sty m:val="p"/>
              </m:rPr>
              <m:t>s</m:t>
            </m:r>
          </m:sup>
        </m:sSubSup>
      </m:oMath>
      <w:r>
        <w:t xml:space="preserve"> </w:t>
      </w:r>
      <w:r>
        <w:rPr>
          <w:rFonts w:hint="eastAsia"/>
        </w:rPr>
        <w:t xml:space="preserve">为题面给出的需求下降量递推值。为避免价格弹性和题面需求下降重复全额扣减，本文仅将</w:t>
      </w:r>
      <w:r>
        <w:t xml:space="preserve"> </w:t>
      </w:r>
      <m:oMath>
        <m:r>
          <m:t>35</m:t>
        </m:r>
        <m:r>
          <m:rPr>
            <m:sty m:val="p"/>
          </m:rPr>
          <m:t>%</m:t>
        </m:r>
      </m:oMath>
      <w:r>
        <w:t xml:space="preserve"> </w:t>
      </w:r>
      <w:r>
        <w:rPr>
          <w:rFonts w:hint="eastAsia"/>
        </w:rPr>
        <w:t xml:space="preserve">的价格弹性下降视作与观测需求下降重叠，其余部分表示非价格行为调整和强制消费削减。第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受剩余缺口、价格压力、库存日释放上限和剩余库存约束。记</w:t>
      </w:r>
      <w:r>
        <w:t xml:space="preserve"> </w:t>
      </w:r>
      <m:oMath>
        <m:sSub>
          <m:e>
            <m:r>
              <m:t>ω</m:t>
            </m:r>
          </m:e>
          <m:sub>
            <m:r>
              <m:t>t</m:t>
            </m:r>
          </m:sub>
        </m:sSub>
        <m:r>
          <m:rPr>
            <m:sty m:val="p"/>
          </m:rPr>
          <m:t>∈</m:t>
        </m:r>
        <m:r>
          <m:rPr>
            <m:sty m:val="p"/>
          </m:rPr>
          <m:t>[</m:t>
        </m:r>
        <m:r>
          <m:t>0</m:t>
        </m:r>
        <m:r>
          <m:rPr>
            <m:sty m:val="p"/>
          </m:rPr>
          <m:t>,</m:t>
        </m:r>
        <m:r>
          <m:t>1</m:t>
        </m:r>
        <m:r>
          <m:rPr>
            <m:sty m:val="p"/>
          </m:rPr>
          <m:t>]</m:t>
        </m:r>
      </m:oMath>
      <w:r>
        <w:t xml:space="preserve"> </w:t>
      </w:r>
      <w:r>
        <w:rPr>
          <w:rFonts w:hint="eastAsia"/>
        </w:rPr>
        <w:t xml:space="preserve">为由缺口压力和价格压力共同生成的库存释放压力，则</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t>
              </m:r>
              <m:r>
                <m:t>0.65</m:t>
              </m:r>
              <m:r>
                <m:rPr>
                  <m:sty m:val="p"/>
                </m:rPr>
                <m:t>+</m:t>
              </m:r>
              <m:r>
                <m:t>0.35</m:t>
              </m:r>
              <m:sSub>
                <m:e>
                  <m:r>
                    <m:t>ω</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acc>
                    <m:accPr>
                      <m:chr m:val="‾"/>
                    </m:accPr>
                    <m:e>
                      <m:r>
                        <m:t>B</m:t>
                      </m:r>
                    </m:e>
                  </m:acc>
                </m:e>
                <m:sub>
                  <m:r>
                    <m:t>t</m:t>
                  </m:r>
                </m:sub>
              </m:sSub>
              <m:r>
                <m:rPr>
                  <m:sty m:val="p"/>
                </m:rPr>
                <m:t>(</m:t>
              </m:r>
              <m:sSub>
                <m:e>
                  <m:r>
                    <m:t>K</m:t>
                  </m:r>
                </m:e>
                <m:sub>
                  <m:r>
                    <m:t>t</m:t>
                  </m:r>
                  <m:r>
                    <m:rPr>
                      <m:sty m:val="p"/>
                    </m:rPr>
                    <m:t>−</m:t>
                  </m:r>
                  <m:r>
                    <m:t>1</m:t>
                  </m:r>
                </m:sub>
              </m:sSub>
              <m:r>
                <m:rPr>
                  <m:sty m:val="p"/>
                </m:rPr>
                <m:t>)</m:t>
              </m:r>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p>
      <w:pPr>
        <w:pStyle w:val="FirstParagraph"/>
      </w:pPr>
      <w:r>
        <w:rPr>
          <w:rFonts w:hint="eastAsia"/>
        </w:rPr>
        <w:t xml:space="preserve">为避免将政策与物流缓冲写成纯时间函数，本文进一步定义当日客观缓冲覆盖率</w:t>
      </w:r>
    </w:p>
    <w:p>
      <w:pPr>
        <w:pStyle w:val="BodyText"/>
      </w:pPr>
      <m:oMathPara>
        <m:oMathParaPr>
          <m:jc m:val="center"/>
        </m:oMathParaPr>
        <m:oMath>
          <m:sSubSup>
            <m:e>
              <m:r>
                <m:t>η</m:t>
              </m:r>
            </m:e>
            <m:sub>
              <m:r>
                <m:t>t</m:t>
              </m:r>
            </m:sub>
            <m:sup>
              <m:r>
                <m:rPr>
                  <m:sty m:val="p"/>
                </m:rPr>
                <m:t>o</m:t>
              </m:r>
              <m:r>
                <m:rPr>
                  <m:sty m:val="p"/>
                </m:rPr>
                <m:t>b</m:t>
              </m:r>
              <m:r>
                <m:rPr>
                  <m:sty m:val="p"/>
                </m:rPr>
                <m:t>s</m:t>
              </m:r>
            </m:sup>
          </m:sSubSup>
          <m:r>
            <m:rPr>
              <m:sty m:val="p"/>
            </m:rPr>
            <m:t>=</m:t>
          </m:r>
          <m:f>
            <m:fPr>
              <m:type m:val="bar"/>
            </m:fPr>
            <m:num>
              <m:sSub>
                <m:e>
                  <m:r>
                    <m:t>R</m:t>
                  </m:r>
                </m:e>
                <m:sub>
                  <m:r>
                    <m:t>t</m:t>
                  </m:r>
                </m:sub>
              </m:sSub>
              <m:r>
                <m:rPr>
                  <m:sty m:val="p"/>
                </m:rPr>
                <m:t>+</m:t>
              </m:r>
              <m:sSub>
                <m:e>
                  <m:r>
                    <m:t>Q</m:t>
                  </m:r>
                </m:e>
                <m:sub>
                  <m:r>
                    <m:t>t</m:t>
                  </m:r>
                </m:sub>
              </m:sSub>
              <m:r>
                <m:rPr>
                  <m:sty m:val="p"/>
                </m:rPr>
                <m:t>+</m:t>
              </m:r>
              <m:sSub>
                <m:e>
                  <m:r>
                    <m:t>B</m:t>
                  </m:r>
                </m:e>
                <m:sub>
                  <m:r>
                    <m:t>t</m:t>
                  </m:r>
                </m:sub>
              </m:sSub>
            </m:num>
            <m:den>
              <m:r>
                <m:rPr>
                  <m:sty m:val="p"/>
                </m:rPr>
                <m:t>max</m:t>
              </m:r>
              <m:r>
                <m:rPr>
                  <m:sty m:val="p"/>
                </m:rPr>
                <m:t>{</m:t>
              </m:r>
              <m:sSub>
                <m:e>
                  <m:r>
                    <m:t>D</m:t>
                  </m:r>
                </m:e>
                <m:sub>
                  <m:r>
                    <m:t>t</m:t>
                  </m:r>
                </m:sub>
              </m:sSub>
              <m:r>
                <m:rPr>
                  <m:sty m:val="p"/>
                </m:rPr>
                <m:t>−</m:t>
              </m:r>
              <m:r>
                <m:rPr>
                  <m:sty m:val="p"/>
                </m:rPr>
                <m:t>(</m:t>
              </m:r>
              <m:sSub>
                <m:e>
                  <m:r>
                    <m:t>S</m:t>
                  </m:r>
                </m:e>
                <m:sub>
                  <m:r>
                    <m:t>0</m:t>
                  </m:r>
                </m:sub>
              </m:sSub>
              <m:r>
                <m:rPr>
                  <m:sty m:val="p"/>
                </m:rPr>
                <m:t>−</m:t>
              </m:r>
              <m:r>
                <m:t>I</m:t>
              </m:r>
              <m:r>
                <m:rPr>
                  <m:sty m:val="p"/>
                </m:rPr>
                <m:t>)</m:t>
              </m:r>
              <m:r>
                <m:rPr>
                  <m:sty m:val="p"/>
                </m:rPr>
                <m:t>,</m:t>
              </m:r>
              <m:r>
                <m:t> </m:t>
              </m:r>
              <m:r>
                <m:t>1</m:t>
              </m:r>
              <m:r>
                <m:rPr>
                  <m:sty m:val="p"/>
                </m:rPr>
                <m:t>}</m:t>
              </m:r>
            </m:den>
          </m:f>
          <m:r>
            <m:rPr>
              <m:sty m:val="p"/>
            </m:rPr>
            <m:t>,</m:t>
          </m:r>
        </m:oMath>
      </m:oMathPara>
    </w:p>
    <w:p>
      <w:pPr>
        <w:pStyle w:val="FirstParagraph"/>
      </w:pPr>
      <w:r>
        <w:rPr>
          <w:rFonts w:hint="eastAsia"/>
        </w:rPr>
        <w:t xml:space="preserve">其中分子表示</w:t>
      </w:r>
      <w:r>
        <w:t xml:space="preserve"> </w:t>
      </w:r>
      <w:r>
        <w:rPr>
          <w:rFonts w:hint="eastAsia"/>
        </w:rPr>
        <w:t xml:space="preserve">SPR、绕道运输和商业库存共同形成的当日缓冲供给，分母表示不考虑缓冲时的总短缺压力。考虑到库存、运输和政策执行信息并非当日完全透明，市场用于定价的覆盖率采用一阶感知更新：</w:t>
      </w:r>
    </w:p>
    <w:p>
      <w:pPr>
        <w:pStyle w:val="BodyText"/>
      </w:pPr>
      <m:oMathPara>
        <m:oMathParaPr>
          <m:jc m:val="center"/>
        </m:oMathParaPr>
        <m:oMath>
          <m:sSub>
            <m:e>
              <m:r>
                <m:t>η</m:t>
              </m:r>
            </m:e>
            <m:sub>
              <m:r>
                <m:t>t</m:t>
              </m:r>
            </m:sub>
          </m:sSub>
          <m:r>
            <m:rPr>
              <m:sty m:val="p"/>
            </m:rPr>
            <m:t>=</m:t>
          </m:r>
          <m:sSub>
            <m:e>
              <m:r>
                <m:t>η</m:t>
              </m:r>
            </m:e>
            <m:sub>
              <m:r>
                <m:t>t</m:t>
              </m:r>
              <m:r>
                <m:rPr>
                  <m:sty m:val="p"/>
                </m:rPr>
                <m:t>−</m:t>
              </m:r>
              <m:r>
                <m:t>1</m:t>
              </m:r>
            </m:sub>
          </m:sSub>
          <m:r>
            <m:rPr>
              <m:sty m:val="p"/>
            </m:rPr>
            <m:t>+</m:t>
          </m:r>
          <m:sSub>
            <m:e>
              <m:r>
                <m:t>α</m:t>
              </m:r>
            </m:e>
            <m:sub>
              <m:r>
                <m:t>η</m:t>
              </m:r>
            </m:sub>
          </m:sSub>
          <m:d>
            <m:dPr>
              <m:begChr m:val="("/>
              <m:sepChr m:val=""/>
              <m:endChr m:val=")"/>
              <m:grow/>
            </m:dPr>
            <m:e>
              <m:sSubSup>
                <m:e>
                  <m:r>
                    <m:t>η</m:t>
                  </m:r>
                </m:e>
                <m:sub>
                  <m:r>
                    <m:t>t</m:t>
                  </m:r>
                </m:sub>
                <m:sup>
                  <m:r>
                    <m:rPr>
                      <m:sty m:val="p"/>
                    </m:rPr>
                    <m:t>o</m:t>
                  </m:r>
                  <m:r>
                    <m:rPr>
                      <m:sty m:val="p"/>
                    </m:rPr>
                    <m:t>b</m:t>
                  </m:r>
                  <m:r>
                    <m:rPr>
                      <m:sty m:val="p"/>
                    </m:rPr>
                    <m:t>s</m:t>
                  </m:r>
                </m:sup>
              </m:sSubSup>
              <m:r>
                <m:rPr>
                  <m:sty m:val="p"/>
                </m:rPr>
                <m:t>−</m:t>
              </m:r>
              <m:sSub>
                <m:e>
                  <m:r>
                    <m:t>η</m:t>
                  </m:r>
                </m:e>
                <m:sub>
                  <m:r>
                    <m:t>t</m:t>
                  </m:r>
                  <m:r>
                    <m:rPr>
                      <m:sty m:val="p"/>
                    </m:rPr>
                    <m:t>−</m:t>
                  </m:r>
                  <m:r>
                    <m:t>1</m:t>
                  </m:r>
                </m:sub>
              </m:sSub>
            </m:e>
          </m:d>
          <m:r>
            <m:rPr>
              <m:sty m:val="p"/>
            </m:rPr>
            <m:t>,</m:t>
          </m:r>
          <m:r>
            <m:t> </m:t>
          </m:r>
          <m:sSub>
            <m:e>
              <m:r>
                <m:t>α</m:t>
              </m:r>
            </m:e>
            <m:sub>
              <m:r>
                <m:t>η</m:t>
              </m:r>
            </m:sub>
          </m:sSub>
          <m:r>
            <m:rPr>
              <m:sty m:val="p"/>
            </m:rPr>
            <m:t>=</m:t>
          </m:r>
          <m:r>
            <m:t>0.35</m:t>
          </m:r>
          <m:r>
            <m:rPr>
              <m:sty m:val="p"/>
            </m:rPr>
            <m:t>.</m:t>
          </m:r>
        </m:oMath>
      </m:oMathPara>
    </w:p>
    <w:p>
      <w:pPr>
        <w:pStyle w:val="FirstParagraph"/>
      </w:pPr>
      <m:oMath>
        <m:sSub>
          <m:e>
            <m:r>
              <m:t>η</m:t>
            </m:r>
          </m:e>
          <m:sub>
            <m:r>
              <m:t>t</m:t>
            </m:r>
          </m:sub>
        </m:sSub>
      </m:oMath>
      <w:r>
        <w:t xml:space="preserve"> </w:t>
      </w:r>
      <w:r>
        <w:rPr>
          <w:rFonts w:hint="eastAsia"/>
        </w:rPr>
        <w:t xml:space="preserve">越高，说明市场越相信缺口正在被覆盖，缓冲确认和预期修复越容易形成。实际计算中将覆盖率限制在合理区间内，避免极小分母造成异常放大。</w:t>
      </w:r>
    </w:p>
    <w:bookmarkEnd w:id="38"/>
    <w:bookmarkStart w:id="39" w:name="市场价格形成层"/>
    <w:p>
      <w:pPr>
        <w:pStyle w:val="Heading3"/>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为降低方程结构的任意性，本文采用一个极简的异质性交易者线性化框架。参考</w:t>
      </w:r>
      <w:r>
        <w:t xml:space="preserve"> </w:t>
      </w:r>
      <w:r>
        <w:rPr>
          <w:rFonts w:hint="eastAsia"/>
        </w:rPr>
        <w:t xml:space="preserve">Kilian（2009）、Hamilton（2009）以及</w:t>
      </w:r>
      <w:r>
        <w:t xml:space="preserve"> Kilian </w:t>
      </w:r>
      <w:r>
        <w:rPr>
          <w:rFonts w:hint="eastAsia"/>
        </w:rPr>
        <w:t xml:space="preserve">与</w:t>
      </w:r>
      <w:r>
        <w:t xml:space="preserve"> </w:t>
      </w:r>
      <w:r>
        <w:rPr>
          <w:rFonts w:hint="eastAsia"/>
        </w:rPr>
        <w:t xml:space="preserve">Murphy（2014）关于物理供给、预防性需求、库存和投机性需求的分解，假设期货市场的边际定价者由两类主体构成：一类是基于炼厂采购、套期保值和现货短缺进行定价的供需交易者，另一类是基于封锁持续时间、航运保险、政策协调和风险偏好进行定价的风险交易者。令第</w:t>
      </w:r>
      <w:r>
        <w:t xml:space="preserve"> </w:t>
      </w:r>
      <m:oMath>
        <m:r>
          <m:t>t</m:t>
        </m:r>
      </m:oMath>
      <w:r>
        <w:t xml:space="preserve"> </w:t>
      </w:r>
      <w:r>
        <w:rPr>
          <w:rFonts w:hint="eastAsia"/>
        </w:rPr>
        <w:t xml:space="preserve">日相对目标价格偏离满足局部线性近似：</w:t>
      </w:r>
    </w:p>
    <w:p>
      <w:pPr>
        <w:pStyle w:val="BodyText"/>
      </w:pPr>
      <m:oMathPara>
        <m:oMathParaPr>
          <m:jc m:val="center"/>
        </m:oMathParaPr>
        <m:oMath>
          <m:f>
            <m:fPr>
              <m:type m:val="bar"/>
            </m:fPr>
            <m:num>
              <m:sSubSup>
                <m:e>
                  <m:r>
                    <m:t>P</m:t>
                  </m:r>
                </m:e>
                <m:sub>
                  <m:r>
                    <m:t>t</m:t>
                  </m:r>
                </m:sub>
                <m:sup>
                  <m:r>
                    <m:rPr>
                      <m:sty m:val="p"/>
                    </m:rPr>
                    <m:t>*</m:t>
                  </m:r>
                </m:sup>
              </m:sSubSup>
              <m:r>
                <m:rPr>
                  <m:sty m:val="p"/>
                </m:rPr>
                <m:t>−</m:t>
              </m:r>
              <m:sSub>
                <m:e>
                  <m:r>
                    <m:t>P</m:t>
                  </m:r>
                </m:e>
                <m:sub>
                  <m:r>
                    <m:t>0</m:t>
                  </m:r>
                </m:sub>
              </m:sSub>
            </m:num>
            <m:den>
              <m:sSub>
                <m:e>
                  <m:r>
                    <m:t>P</m:t>
                  </m:r>
                </m:e>
                <m:sub>
                  <m:r>
                    <m:t>0</m:t>
                  </m:r>
                </m:sub>
              </m:sSub>
            </m:den>
          </m:f>
          <m:r>
            <m:rPr>
              <m:sty m:val="p"/>
            </m:rPr>
            <m:t>≈</m:t>
          </m:r>
          <m:sSub>
            <m:e>
              <m:r>
                <m:t>a</m:t>
              </m:r>
            </m:e>
            <m:sub>
              <m:r>
                <m:t>G</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a</m:t>
              </m:r>
            </m:e>
            <m:sub>
              <m:r>
                <m:t>B</m:t>
              </m:r>
            </m:sub>
          </m:sSub>
          <m:f>
            <m:fPr>
              <m:type m:val="bar"/>
            </m:fPr>
            <m:num>
              <m:r>
                <m:t>I</m:t>
              </m:r>
            </m:num>
            <m:den>
              <m:sSub>
                <m:e>
                  <m:r>
                    <m:t>D</m:t>
                  </m:r>
                </m:e>
                <m:sub>
                  <m:r>
                    <m:t>0</m:t>
                  </m:r>
                </m:sub>
              </m:sSub>
            </m:den>
          </m:f>
          <m:sSub>
            <m:e>
              <m:r>
                <m:t>Z</m:t>
              </m:r>
            </m:e>
            <m:sub>
              <m:r>
                <m:t>t</m:t>
              </m:r>
            </m:sub>
          </m:sSub>
          <m:r>
            <m:rPr>
              <m:sty m:val="p"/>
            </m:rPr>
            <m:t>+</m:t>
          </m:r>
          <m:sSub>
            <m:e>
              <m:r>
                <m:t>a</m:t>
              </m:r>
            </m:e>
            <m:sub>
              <m:r>
                <m:t>U</m:t>
              </m:r>
            </m:sub>
          </m:sSub>
          <m:sSub>
            <m:e>
              <m:r>
                <m:t>U</m:t>
              </m:r>
            </m:e>
            <m:sub>
              <m:r>
                <m:t>t</m:t>
              </m:r>
            </m:sub>
          </m:sSub>
          <m:r>
            <m:rPr>
              <m:sty m:val="p"/>
            </m:rPr>
            <m:t>+</m:t>
          </m:r>
          <m:sSub>
            <m:e>
              <m:r>
                <m:t>a</m:t>
              </m:r>
            </m:e>
            <m:sub>
              <m:r>
                <m:t>F</m:t>
              </m:r>
            </m:sub>
          </m:sSub>
          <m:sSub>
            <m:e>
              <m:r>
                <m:t>F</m:t>
              </m:r>
            </m:e>
            <m:sub>
              <m:r>
                <m:t>t</m:t>
              </m:r>
            </m:sub>
          </m:sSub>
          <m:r>
            <m:rPr>
              <m:sty m:val="p"/>
            </m:rPr>
            <m:t>−</m:t>
          </m:r>
          <m:sSub>
            <m:e>
              <m:r>
                <m:t>a</m:t>
              </m:r>
            </m:e>
            <m:sub>
              <m:r>
                <m:t>H</m:t>
              </m:r>
            </m:sub>
          </m:sSub>
          <m:f>
            <m:fPr>
              <m:type m:val="bar"/>
            </m:fPr>
            <m:num>
              <m:sSub>
                <m:e>
                  <m:r>
                    <m:t>H</m:t>
                  </m:r>
                </m:e>
                <m:sub>
                  <m:r>
                    <m:t>t</m:t>
                  </m:r>
                </m:sub>
              </m:sSub>
            </m:num>
            <m:den>
              <m:sSub>
                <m:e>
                  <m:r>
                    <m:t>P</m:t>
                  </m:r>
                </m:e>
                <m:sub>
                  <m:r>
                    <m:t>0</m:t>
                  </m:r>
                </m:sub>
              </m:sSub>
            </m:den>
          </m:f>
          <m:r>
            <m:rPr>
              <m:sty m:val="p"/>
            </m:rPr>
            <m:t>−</m:t>
          </m:r>
          <m:sSub>
            <m:e>
              <m:r>
                <m:t>a</m:t>
              </m:r>
            </m:e>
            <m:sub>
              <m:r>
                <m:t>L</m:t>
              </m:r>
            </m:sub>
          </m:sSub>
          <m:f>
            <m:fPr>
              <m:type m:val="bar"/>
            </m:fPr>
            <m:num>
              <m:sSub>
                <m:e>
                  <m:r>
                    <m:t>L</m:t>
                  </m:r>
                </m:e>
                <m:sub>
                  <m:r>
                    <m:t>t</m:t>
                  </m:r>
                </m:sub>
              </m:sSub>
            </m:num>
            <m:den>
              <m:sSub>
                <m:e>
                  <m:r>
                    <m:t>P</m:t>
                  </m:r>
                </m:e>
                <m:sub>
                  <m:r>
                    <m:t>0</m:t>
                  </m:r>
                </m:sub>
              </m:sSub>
            </m:den>
          </m:f>
          <m:r>
            <m:rPr>
              <m:sty m:val="p"/>
            </m:rPr>
            <m:t>.</m:t>
          </m:r>
        </m:oMath>
      </m:oMathPara>
    </w:p>
    <w:p>
      <w:pPr>
        <w:pStyle w:val="FirstParagraph"/>
      </w:pPr>
      <w:r>
        <w:rPr>
          <w:rFonts w:hint="eastAsia"/>
        </w:rPr>
        <w:t xml:space="preserve">其中</w:t>
      </w:r>
      <w:r>
        <w:t xml:space="preserve"> </w:t>
      </w:r>
      <m:oMath>
        <m:sSub>
          <m:e>
            <m:r>
              <m:t>G</m:t>
            </m:r>
          </m:e>
          <m:sub>
            <m:r>
              <m:t>t</m:t>
            </m:r>
          </m:sub>
        </m:sSub>
      </m:oMath>
      <w:r>
        <w:t xml:space="preserve"> </w:t>
      </w:r>
      <w:r>
        <w:rPr>
          <w:rFonts w:hint="eastAsia"/>
        </w:rPr>
        <w:t xml:space="preserve">表示剩余物理缺口，</w:t>
      </w:r>
      <m:oMath>
        <m:sSub>
          <m:e>
            <m:r>
              <m:t>Z</m:t>
            </m:r>
          </m:e>
          <m:sub>
            <m:r>
              <m:t>t</m:t>
            </m:r>
          </m:sub>
        </m:sSub>
      </m:oMath>
      <w:r>
        <w:t xml:space="preserve"> </w:t>
      </w:r>
      <w:r>
        <w:rPr>
          <w:rFonts w:hint="eastAsia"/>
        </w:rPr>
        <w:t xml:space="preserve">表示封锁风险被市场吸收后的有效强度，</w:t>
      </w:r>
      <m:oMath>
        <m:sSub>
          <m:e>
            <m:r>
              <m:t>U</m:t>
            </m:r>
          </m:e>
          <m:sub>
            <m:r>
              <m:t>t</m:t>
            </m:r>
          </m:sub>
        </m:sSub>
      </m:oMath>
      <w:r>
        <w:t xml:space="preserve"> </w:t>
      </w:r>
      <w:r>
        <w:rPr>
          <w:rFonts w:hint="eastAsia"/>
        </w:rPr>
        <w:t xml:space="preserve">表示持续封锁带来的制度不确定性，</w:t>
      </w:r>
      <m:oMath>
        <m:sSub>
          <m:e>
            <m:r>
              <m:t>F</m:t>
            </m:r>
          </m:e>
          <m:sub>
            <m:r>
              <m:t>t</m:t>
            </m:r>
          </m:sub>
        </m:sSub>
      </m:oMath>
      <w:r>
        <w:t xml:space="preserve"> </w:t>
      </w:r>
      <w:r>
        <w:rPr>
          <w:rFonts w:hint="eastAsia"/>
        </w:rPr>
        <w:t xml:space="preserve">表示恐慌情绪强度，</w:t>
      </w:r>
      <m:oMath>
        <m:sSub>
          <m:e>
            <m:r>
              <m:t>H</m:t>
            </m:r>
          </m:e>
          <m:sub>
            <m:r>
              <m:t>t</m:t>
            </m:r>
          </m:sub>
        </m:sSub>
      </m:oMath>
      <w:r>
        <w:t xml:space="preserve"> </w:t>
      </w:r>
      <w:r>
        <w:rPr>
          <w:rFonts w:hint="eastAsia"/>
        </w:rPr>
        <w:t xml:space="preserve">与</w:t>
      </w:r>
      <w:r>
        <w:t xml:space="preserve"> </w:t>
      </w:r>
      <m:oMath>
        <m:sSub>
          <m:e>
            <m:r>
              <m:t>L</m:t>
            </m:r>
          </m:e>
          <m:sub>
            <m:r>
              <m:t>t</m:t>
            </m:r>
          </m:sub>
        </m:sSub>
      </m:oMath>
      <w:r>
        <w:t xml:space="preserve"> </w:t>
      </w:r>
      <w:r>
        <w:rPr>
          <w:rFonts w:hint="eastAsia"/>
        </w:rPr>
        <w:t xml:space="preserve">分别表示缓冲确认和预期修复带来的折价。这个表达式可理解为对两类交易者超额需求函数在战前均衡点附近做一阶展开：物理缺口和风险预防性需求推高价格，政策可信度和运输修复预期降低风险溢价。因此，后续目标价格的线性加总并非任意拼接，而是局部均衡价格的一阶近似。</w:t>
      </w:r>
    </w:p>
    <w:p>
      <w:pPr>
        <w:pStyle w:val="BodyText"/>
      </w:pPr>
      <w:r>
        <w:rPr>
          <w:rFonts w:hint="eastAsia"/>
        </w:rPr>
        <w:t xml:space="preserve">具体时间函数来自三个建模约束。第一，剩余物理缺口和风险溢价分开建模，以对应油价冲击中文献强调的供给、预防性需求和库存渠道。第二，题面给出恐慌情绪放大持续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新版短期冲击模型不再让两类折价只由日历时间决定，而是令其受到市场感知覆盖率</w:t>
      </w:r>
      <w:r>
        <w:t xml:space="preserve"> </w:t>
      </w:r>
      <m:oMath>
        <m:sSub>
          <m:e>
            <m:r>
              <m:t>η</m:t>
            </m:r>
          </m:e>
          <m:sub>
            <m:r>
              <m:t>t</m:t>
            </m:r>
          </m:sub>
        </m:sSub>
      </m:oMath>
      <w:r>
        <w:t xml:space="preserve"> </w:t>
      </w:r>
      <w:r>
        <w:rPr>
          <w:rFonts w:hint="eastAsia"/>
        </w:rPr>
        <w:t xml:space="preserve">的平滑激活：当</w:t>
      </w:r>
      <w:r>
        <w:t xml:space="preserve"> </w:t>
      </w:r>
      <w:r>
        <w:rPr>
          <w:rFonts w:hint="eastAsia"/>
        </w:rPr>
        <w:t xml:space="preserve">SPR、库存和绕道对总短缺的覆盖率持续提高时，折价项才逐步生效。由此得到的指数项对应</w:t>
      </w:r>
      <w:r>
        <w:rPr>
          <w:rFonts w:hint="eastAsia"/>
        </w:rPr>
        <w:t xml:space="preserve">“冲击建立–风险消化–缓冲确认”</w:t>
      </w:r>
      <w:r>
        <w:rPr>
          <w:rFonts w:hint="eastAsia"/>
        </w:rPr>
        <w:t xml:space="preserve">三类时间过程。</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为物理缺口向期货目标价格传导的价格形成系数，对应上式中的</w:t>
      </w:r>
      <w:r>
        <w:t xml:space="preserve"> </w:t>
      </w:r>
      <m:oMath>
        <m:sSub>
          <m:e>
            <m:r>
              <m:t>a</m:t>
            </m:r>
          </m:e>
          <m:sub>
            <m:r>
              <m:t>G</m:t>
            </m:r>
          </m:sub>
        </m:sSub>
      </m:oMath>
      <w:r>
        <w:rPr>
          <w:rFonts w:hint="eastAsia"/>
        </w:rPr>
        <w:t xml:space="preserve">，不替代题面需求弹性；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r>
          <m:rPr>
            <m:sty m:val="p"/>
          </m:rPr>
          <m:t>=</m:t>
        </m:r>
        <m:r>
          <m:t>H</m:t>
        </m:r>
        <m:r>
          <m:rPr>
            <m:sty m:val="p"/>
          </m:rPr>
          <m:t>(</m:t>
        </m:r>
        <m:sSub>
          <m:e>
            <m:r>
              <m:t>η</m:t>
            </m:r>
          </m:e>
          <m:sub>
            <m:r>
              <m:t>t</m:t>
            </m:r>
          </m:sub>
        </m:sSub>
        <m:r>
          <m:rPr>
            <m:sty m:val="p"/>
          </m:rPr>
          <m:t>)</m:t>
        </m:r>
      </m:oMath>
      <w:r>
        <w:t xml:space="preserve"> </w:t>
      </w:r>
      <w:r>
        <w:rPr>
          <w:rFonts w:hint="eastAsia"/>
        </w:rPr>
        <w:t xml:space="preserve">为缓冲确认折价，</w:t>
      </w:r>
      <m:oMath>
        <m:sSub>
          <m:e>
            <m:r>
              <m:t>L</m:t>
            </m:r>
          </m:e>
          <m:sub>
            <m:r>
              <m:t>t</m:t>
            </m:r>
          </m:sub>
        </m:sSub>
        <m:r>
          <m:rPr>
            <m:sty m:val="p"/>
          </m:rPr>
          <m:t>=</m:t>
        </m:r>
        <m:r>
          <m:t>L</m:t>
        </m:r>
        <m:r>
          <m:rPr>
            <m:sty m:val="p"/>
          </m:rPr>
          <m:t>(</m:t>
        </m:r>
        <m:sSub>
          <m:e>
            <m:r>
              <m:t>η</m:t>
            </m:r>
          </m:e>
          <m:sub>
            <m:r>
              <m:t>t</m:t>
            </m:r>
          </m:sub>
        </m:sSub>
        <m:r>
          <m:rPr>
            <m:sty m:val="p"/>
          </m:rPr>
          <m:t>,</m:t>
        </m:r>
        <m:r>
          <m:rPr>
            <m:sty m:val="p"/>
          </m:rPr>
          <m:t>Δ</m:t>
        </m:r>
        <m:sSub>
          <m:e>
            <m:r>
              <m:t>η</m:t>
            </m:r>
          </m:e>
          <m:sub>
            <m:r>
              <m:t>t</m:t>
            </m:r>
          </m:sub>
        </m:sSub>
        <m:r>
          <m:rPr>
            <m:sty m:val="p"/>
          </m:rPr>
          <m:t>)</m:t>
        </m:r>
      </m:oMath>
      <w:r>
        <w:t xml:space="preserve"> </w:t>
      </w:r>
      <w:r>
        <w:rPr>
          <w:rFonts w:hint="eastAsia"/>
        </w:rPr>
        <w:t xml:space="preserve">为预期修复折价。也就是说，折价项不再是外生削减价格的自由项，而是由可观测的</w:t>
      </w:r>
      <w:r>
        <w:t xml:space="preserve"> </w:t>
      </w:r>
      <w:r>
        <w:rPr>
          <w:rFonts w:hint="eastAsia"/>
        </w:rPr>
        <w:t xml:space="preserve">SPR、库存和绕道覆盖率驱动。这里的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风险溢价、缓冲确认折价和预期修复折价均需要同时满足经济含义清晰、方向可解释、消融后误差明显恶化以及扰动后结论保持稳定四个条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p>
      <w:pPr>
        <w:pStyle w:val="BodyText"/>
      </w:pPr>
      <w:r>
        <w:rPr>
          <w:rFonts w:hint="eastAsia"/>
        </w:rPr>
        <w:t xml:space="preserve">算法</w:t>
      </w:r>
      <w:r>
        <w:t xml:space="preserve"> </w:t>
      </w:r>
      <w:r>
        <w:rPr>
          <w:rFonts w:hint="eastAsia"/>
        </w:rPr>
        <w:t xml:space="preserve">1短期冲击模型的日度更新流程</w:t>
      </w:r>
      <w:r>
        <w:t xml:space="preserve"> </w:t>
      </w:r>
      <w:r>
        <w:rPr>
          <w:rFonts w:hint="eastAsia"/>
          <w:b/>
          <w:bCs/>
        </w:rPr>
        <w:t xml:space="preserve">输入：</w:t>
      </w:r>
      <w:r>
        <w:rPr>
          <w:rFonts w:hint="eastAsia"/>
        </w:rPr>
        <w:t xml:space="preserve">初始价格</w:t>
      </w:r>
      <w:r>
        <w:t xml:space="preserve"> </w:t>
      </w:r>
      <m:oMath>
        <m:sSub>
          <m:e>
            <m:r>
              <m:t>P</m:t>
            </m:r>
          </m:e>
          <m:sub>
            <m:r>
              <m:t>0</m:t>
            </m:r>
          </m:sub>
        </m:sSub>
      </m:oMath>
      <w:r>
        <w:rPr>
          <w:rFonts w:hint="eastAsia"/>
        </w:rPr>
        <w:t xml:space="preserve">，基准供需</w:t>
      </w:r>
      <w:r>
        <w:t xml:space="preserve"> </w:t>
      </w:r>
      <m:oMath>
        <m:sSub>
          <m:e>
            <m:r>
              <m:t>D</m:t>
            </m:r>
          </m:e>
          <m:sub>
            <m:r>
              <m:t>0</m:t>
            </m:r>
          </m:sub>
        </m:sSub>
        <m:r>
          <m:rPr>
            <m:sty m:val="p"/>
          </m:rPr>
          <m:t>,</m:t>
        </m:r>
        <m:sSub>
          <m:e>
            <m:r>
              <m:t>S</m:t>
            </m:r>
          </m:e>
          <m:sub>
            <m:r>
              <m:t>0</m:t>
            </m:r>
          </m:sub>
        </m:sSub>
      </m:oMath>
      <w:r>
        <w:rPr>
          <w:rFonts w:hint="eastAsia"/>
        </w:rPr>
        <w:t xml:space="preserve">，供应中断</w:t>
      </w:r>
      <w:r>
        <w:t xml:space="preserve"> </w:t>
      </w:r>
      <m:oMath>
        <m:r>
          <m:t>I</m:t>
        </m:r>
      </m:oMath>
      <w:r>
        <w:rPr>
          <w:rFonts w:hint="eastAsia"/>
        </w:rPr>
        <w:t xml:space="preserve">，SPR、库存、绕道、恐慌与风险参数。</w:t>
      </w:r>
      <w:r>
        <w:br/>
      </w:r>
      <w:r>
        <w:rPr>
          <w:rFonts w:hint="eastAsia"/>
          <w:b/>
          <w:bCs/>
        </w:rPr>
        <w:t xml:space="preserve">输出：</w:t>
      </w:r>
      <w:r>
        <w:rPr>
          <w:rFonts w:hint="eastAsia"/>
        </w:rPr>
        <w:t xml:space="preserve">冲突窗口内的日度模拟价格</w:t>
      </w:r>
      <w:r>
        <w:t xml:space="preserve"> </w:t>
      </w:r>
      <m:oMath>
        <m:sSub>
          <m:e>
            <m:acc>
              <m:accPr>
                <m:chr m:val="̂"/>
              </m:accPr>
              <m:e>
                <m:r>
                  <m:t>P</m:t>
                </m:r>
              </m:e>
            </m:acc>
          </m:e>
          <m:sub>
            <m:r>
              <m:t>t</m:t>
            </m:r>
          </m:sub>
        </m:sSub>
      </m:oMath>
      <w:r>
        <w:t xml:space="preserve"> </w:t>
      </w:r>
      <w:r>
        <w:rPr>
          <w:rFonts w:hint="eastAsia"/>
        </w:rPr>
        <w:t xml:space="preserve">及机制贡献序列。</w:t>
      </w:r>
    </w:p>
    <w:p>
      <w:pPr>
        <w:numPr>
          <w:ilvl w:val="0"/>
          <w:numId w:val="1004"/>
        </w:numPr>
      </w:pPr>
      <w:r>
        <w:rPr>
          <w:rFonts w:hint="eastAsia"/>
        </w:rPr>
        <w:t xml:space="preserve">初始化</w:t>
      </w:r>
      <w:r>
        <w:t xml:space="preserve"> </w:t>
      </w:r>
      <m:oMath>
        <m:sSub>
          <m:e>
            <m:acc>
              <m:accPr>
                <m:chr m:val="̂"/>
              </m:accPr>
              <m:e>
                <m:r>
                  <m:t>P</m:t>
                </m:r>
              </m:e>
            </m:acc>
          </m:e>
          <m:sub>
            <m:r>
              <m:t>0</m:t>
            </m:r>
          </m:sub>
        </m:sSub>
        <m:r>
          <m:rPr>
            <m:sty m:val="p"/>
          </m:rPr>
          <m:t>=</m:t>
        </m:r>
        <m:sSub>
          <m:e>
            <m:r>
              <m:t>P</m:t>
            </m:r>
          </m:e>
          <m:sub>
            <m:r>
              <m:t>0</m:t>
            </m:r>
          </m:sub>
        </m:sSub>
      </m:oMath>
      <w:r>
        <w:rPr>
          <w:rFonts w:hint="eastAsia"/>
        </w:rPr>
        <w:t xml:space="preserve">，商业库存</w:t>
      </w:r>
      <w:r>
        <w:t xml:space="preserve"> </w:t>
      </w:r>
      <m:oMath>
        <m:sSub>
          <m:e>
            <m:r>
              <m:t>K</m:t>
            </m:r>
          </m:e>
          <m:sub>
            <m:r>
              <m:t>0</m:t>
            </m:r>
          </m:sub>
        </m:sSub>
      </m:oMath>
      <w:r>
        <w:rPr>
          <w:rFonts w:hint="eastAsia"/>
        </w:rPr>
        <w:t xml:space="preserve">，恐慌强度</w:t>
      </w:r>
      <w:r>
        <w:t xml:space="preserve"> </w:t>
      </w:r>
      <m:oMath>
        <m:sSub>
          <m:e>
            <m:r>
              <m:t>F</m:t>
            </m:r>
          </m:e>
          <m:sub>
            <m:r>
              <m:t>0</m:t>
            </m:r>
          </m:sub>
        </m:sSub>
      </m:oMath>
      <w:r>
        <w:t xml:space="preserve">。</w:t>
      </w:r>
    </w:p>
    <w:p>
      <w:pPr>
        <w:numPr>
          <w:ilvl w:val="0"/>
          <w:numId w:val="1004"/>
        </w:numPr>
      </w:pPr>
      <w:r>
        <w:rPr>
          <w:rFonts w:hint="eastAsia"/>
        </w:rPr>
        <w:t xml:space="preserve">对</w:t>
      </w:r>
      <w:r>
        <w:t xml:space="preserve"> </w:t>
      </w:r>
      <m:oMath>
        <m:r>
          <m:t>t</m:t>
        </m:r>
        <m:r>
          <m:rPr>
            <m:sty m:val="p"/>
          </m:rPr>
          <m:t>=</m:t>
        </m:r>
        <m:r>
          <m:t>1</m:t>
        </m:r>
        <m:r>
          <m:rPr>
            <m:sty m:val="p"/>
          </m:rPr>
          <m:t>,</m:t>
        </m:r>
        <m:r>
          <m:rPr>
            <m:sty m:val="p"/>
          </m:rPr>
          <m:t>…</m:t>
        </m:r>
        <m:r>
          <m:rPr>
            <m:sty m:val="p"/>
          </m:rPr>
          <m:t>,</m:t>
        </m:r>
        <m:r>
          <m:t>T</m:t>
        </m:r>
      </m:oMath>
      <w:r>
        <w:t xml:space="preserve"> </w:t>
      </w:r>
      <w:r>
        <w:rPr>
          <w:rFonts w:hint="eastAsia"/>
        </w:rPr>
        <w:t xml:space="preserve">逐日递推：</w:t>
      </w:r>
    </w:p>
    <w:p>
      <w:pPr>
        <w:numPr>
          <w:ilvl w:val="0"/>
          <w:numId w:val="1004"/>
        </w:numPr>
      </w:pPr>
      <w:r>
        <w:rPr>
          <w:rFonts w:hint="eastAsia"/>
        </w:rPr>
        <w:t xml:space="preserve">根据上一日模拟价格和短期弹性计算有效需求</w:t>
      </w:r>
      <w:r>
        <w:t xml:space="preserve"> </w:t>
      </w:r>
      <m:oMath>
        <m:sSub>
          <m:e>
            <m:r>
              <m:t>D</m:t>
            </m:r>
          </m:e>
          <m:sub>
            <m:r>
              <m:t>t</m:t>
            </m:r>
          </m:sub>
        </m:sSub>
      </m:oMath>
      <w:r>
        <w:t xml:space="preserve">。</w:t>
      </w:r>
    </w:p>
    <w:p>
      <w:pPr>
        <w:numPr>
          <w:ilvl w:val="0"/>
          <w:numId w:val="1004"/>
        </w:numPr>
      </w:pPr>
      <w:r>
        <w:rPr>
          <w:rFonts w:hint="eastAsia"/>
        </w:rPr>
        <w:t xml:space="preserve">计算不含库存的有效供给</w:t>
      </w:r>
      <w:r>
        <w:t xml:space="preserve"> </w:t>
      </w: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oMath>
      <w:r>
        <w:t xml:space="preserve">。</w:t>
      </w:r>
    </w:p>
    <w:p>
      <w:pPr>
        <w:numPr>
          <w:ilvl w:val="0"/>
          <w:numId w:val="1004"/>
        </w:numPr>
      </w:pPr>
      <w:r>
        <w:rPr>
          <w:rFonts w:hint="eastAsia"/>
        </w:rPr>
        <w:t xml:space="preserve">根据剩余缺口、价格压力、日释放上限和剩余库存计算商业库存缓冲</w:t>
      </w:r>
      <w:r>
        <w:t xml:space="preserve"> </w:t>
      </w:r>
      <m:oMath>
        <m:sSub>
          <m:e>
            <m:r>
              <m:t>B</m:t>
            </m:r>
          </m:e>
          <m:sub>
            <m:r>
              <m:t>t</m:t>
            </m:r>
          </m:sub>
        </m:sSub>
      </m:oMath>
      <w:r>
        <w:t xml:space="preserve">。</w:t>
      </w:r>
    </w:p>
    <w:p>
      <w:pPr>
        <w:numPr>
          <w:ilvl w:val="0"/>
          <w:numId w:val="1004"/>
        </w:numPr>
      </w:pPr>
      <w:r>
        <w:rPr>
          <w:rFonts w:hint="eastAsia"/>
        </w:rPr>
        <w:t xml:space="preserve">得到剩余缺口</w:t>
      </w:r>
      <w:r>
        <w:t xml:space="preserve"> </w:t>
      </w: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oMath>
      <w:r>
        <w:t xml:space="preserve">。</w:t>
      </w:r>
    </w:p>
    <w:p>
      <w:pPr>
        <w:numPr>
          <w:ilvl w:val="0"/>
          <w:numId w:val="1004"/>
        </w:numPr>
      </w:pPr>
      <w:r>
        <w:rPr>
          <w:rFonts w:hint="eastAsia"/>
        </w:rPr>
        <w:t xml:space="preserve">计算客观缓冲覆盖率</w:t>
      </w:r>
      <w:r>
        <w:t xml:space="preserve"> </w:t>
      </w:r>
      <m:oMath>
        <m:sSubSup>
          <m:e>
            <m:r>
              <m:t>η</m:t>
            </m:r>
          </m:e>
          <m:sub>
            <m:r>
              <m:t>t</m:t>
            </m:r>
          </m:sub>
          <m:sup>
            <m:r>
              <m:rPr>
                <m:sty m:val="p"/>
              </m:rPr>
              <m:t>o</m:t>
            </m:r>
            <m:r>
              <m:rPr>
                <m:sty m:val="p"/>
              </m:rPr>
              <m:t>b</m:t>
            </m:r>
            <m:r>
              <m:rPr>
                <m:sty m:val="p"/>
              </m:rPr>
              <m:t>s</m:t>
            </m:r>
          </m:sup>
        </m:sSubSup>
      </m:oMath>
      <w:r>
        <w:rPr>
          <w:rFonts w:hint="eastAsia"/>
        </w:rPr>
        <w:t xml:space="preserve">，再通过一阶感知更新得到</w:t>
      </w:r>
      <w:r>
        <w:t xml:space="preserve"> </w:t>
      </w:r>
      <m:oMath>
        <m:sSub>
          <m:e>
            <m:r>
              <m:t>η</m:t>
            </m:r>
          </m:e>
          <m:sub>
            <m:r>
              <m:t>t</m:t>
            </m:r>
          </m:sub>
        </m:sSub>
      </m:oMath>
      <w:r>
        <w:rPr>
          <w:rFonts w:hint="eastAsia"/>
        </w:rPr>
        <w:t xml:space="preserve">，并由</w:t>
      </w:r>
      <w:r>
        <w:t xml:space="preserve"> </w:t>
      </w:r>
      <m:oMath>
        <m:sSub>
          <m:e>
            <m:r>
              <m:t>η</m:t>
            </m:r>
          </m:e>
          <m:sub>
            <m:r>
              <m:t>t</m:t>
            </m:r>
          </m:sub>
        </m:sSub>
      </m:oMath>
      <w:r>
        <w:t xml:space="preserve"> </w:t>
      </w:r>
      <w:r>
        <w:rPr>
          <w:rFonts w:hint="eastAsia"/>
        </w:rPr>
        <w:t xml:space="preserve">激活缓冲确认和预期修复折价。</w:t>
      </w:r>
    </w:p>
    <w:p>
      <w:pPr>
        <w:numPr>
          <w:ilvl w:val="0"/>
          <w:numId w:val="1004"/>
        </w:numPr>
      </w:pPr>
      <w:r>
        <w:rPr>
          <w:rFonts w:hint="eastAsia"/>
        </w:rPr>
        <w:t xml:space="preserve">由</w:t>
      </w:r>
      <w:r>
        <w:t xml:space="preserve"> </w:t>
      </w:r>
      <m:oMath>
        <m:sSub>
          <m:e>
            <m:r>
              <m:t>G</m:t>
            </m:r>
          </m:e>
          <m:sub>
            <m:r>
              <m:t>t</m:t>
            </m:r>
          </m:sub>
        </m:sSub>
      </m:oMath>
      <w:r>
        <w:rPr>
          <w:rFonts w:hint="eastAsia"/>
        </w:rPr>
        <w:t xml:space="preserve">、风险溢价、制度不确定性、恐慌强度、覆盖率驱动的缓冲确认和预期修复计算目标价格</w:t>
      </w:r>
      <w:r>
        <w:t xml:space="preserve"> </w:t>
      </w:r>
      <m:oMath>
        <m:sSubSup>
          <m:e>
            <m:r>
              <m:t>P</m:t>
            </m:r>
          </m:e>
          <m:sub>
            <m:r>
              <m:t>t</m:t>
            </m:r>
          </m:sub>
          <m:sup>
            <m:r>
              <m:rPr>
                <m:sty m:val="p"/>
              </m:rPr>
              <m:t>*</m:t>
            </m:r>
          </m:sup>
        </m:sSubSup>
      </m:oMath>
      <w:r>
        <w:t xml:space="preserve">。</w:t>
      </w:r>
    </w:p>
    <w:p>
      <w:pPr>
        <w:numPr>
          <w:ilvl w:val="0"/>
          <w:numId w:val="1004"/>
        </w:numPr>
      </w:pPr>
      <w:r>
        <w:rPr>
          <w:rFonts w:hint="eastAsia"/>
        </w:rPr>
        <w:t xml:space="preserve">递推更新</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numPr>
          <w:ilvl w:val="0"/>
          <w:numId w:val="1004"/>
        </w:numPr>
      </w:pPr>
      <w:r>
        <w:rPr>
          <w:rFonts w:hint="eastAsia"/>
        </w:rPr>
        <w:t xml:space="preserve">记录物理缺口、风险溢价、政策缓冲和预期折价的边际贡献。</w:t>
      </w:r>
    </w:p>
    <w:bookmarkEnd w:id="39"/>
    <w:bookmarkEnd w:id="40"/>
    <w:bookmarkStart w:id="48" w:name="参数求解与核心结果"/>
    <w:p>
      <w:pPr>
        <w:pStyle w:val="Heading2"/>
      </w:pPr>
      <w:r>
        <w:rPr>
          <w:rFonts w:hint="eastAsia"/>
        </w:rPr>
        <w:t xml:space="preserve">参数求解与核心结果</w:t>
      </w:r>
    </w:p>
    <w:p>
      <w:pPr>
        <w:pStyle w:val="FirstParagraph"/>
      </w:pPr>
      <w:r>
        <w:rPr>
          <w:rFonts w:hint="eastAsia"/>
        </w:rPr>
        <w:t xml:space="preserve">前文给出短期冲击模型结构，本节说明参数校准、基准对比和必要检验。正文只保留与模型求解直接相关的关键结果；参数剖面、残差分布、R</w:t>
      </w:r>
      <w:r>
        <w:t xml:space="preserve"> </w:t>
      </w:r>
      <w:r>
        <w:rPr>
          <w:rFonts w:hint="eastAsia"/>
        </w:rPr>
        <w:t xml:space="preserve">语言复核和事件窗口明细放入附录。</w:t>
      </w:r>
    </w:p>
    <w:bookmarkStart w:id="41" w:name="校准结果与拟合表现"/>
    <w:p>
      <w:pPr>
        <w:pStyle w:val="Heading3"/>
      </w:pPr>
      <w:r>
        <w:rPr>
          <w:rFonts w:hint="eastAsia"/>
        </w:rPr>
        <w:t xml:space="preserve">校准结果与拟合表现</w:t>
      </w:r>
    </w:p>
    <w:p>
      <w:pPr>
        <w:pStyle w:val="FirstParagraph"/>
      </w:pPr>
      <w:r>
        <w:rPr>
          <w:rFonts w:hint="eastAsia"/>
        </w:rPr>
        <w:t xml:space="preserve">本文采用多目标校准函数，同时约束总体</w:t>
      </w:r>
      <w:r>
        <w:t xml:space="preserve"> </w:t>
      </w:r>
      <w:r>
        <w:rPr>
          <w:rFonts w:hint="eastAsia"/>
        </w:rPr>
        <w:t xml:space="preserve">RMSE、峰值、末日价格和局部阶段解释能力。设</w:t>
      </w:r>
      <w:r>
        <w:t xml:space="preserve"> </w:t>
      </w:r>
      <m:oMath>
        <m:r>
          <m:t>θ</m:t>
        </m:r>
      </m:oMath>
      <w:r>
        <w:t xml:space="preserve"> </w:t>
      </w:r>
      <w:r>
        <w:rPr>
          <w:rFonts w:hint="eastAsia"/>
        </w:rPr>
        <w:t xml:space="preserve">表示需要校准的参数向量，</w:t>
      </w:r>
      <m:oMath>
        <m:r>
          <m:rPr>
            <m:sty m:val="p"/>
          </m:rPr>
          <m:t>Θ</m:t>
        </m:r>
      </m:oMath>
      <w:r>
        <w:t xml:space="preserve"> </w:t>
      </w:r>
      <w:r>
        <w:rPr>
          <w:rFonts w:hint="eastAsia"/>
        </w:rPr>
        <w:t xml:space="preserve">为由赛题范围、物理上限和行为参数边界共同构成的可行域，则参数估计写为</w:t>
      </w:r>
    </w:p>
    <w:p>
      <w:pPr>
        <w:pStyle w:val="BodyText"/>
      </w:pPr>
      <m:oMathPara>
        <m:oMathParaPr>
          <m:jc m:val="center"/>
        </m:oMathParaPr>
        <m:oMath>
          <m:acc>
            <m:accPr>
              <m:chr m:val="̂"/>
            </m:accPr>
            <m:e>
              <m:r>
                <m:t>θ</m:t>
              </m:r>
            </m:e>
          </m:acc>
          <m:r>
            <m:rPr>
              <m:sty m:val="p"/>
            </m:rPr>
            <m:t>=</m:t>
          </m:r>
          <m:r>
            <m:rPr>
              <m:sty m:val="p"/>
            </m:rPr>
            <m:t>arg</m:t>
          </m:r>
          <m:limLow>
            <m:e>
              <m:r>
                <m:rPr>
                  <m:sty m:val="p"/>
                </m:rPr>
                <m:t>min</m:t>
              </m:r>
            </m:e>
            <m:lim>
              <m:r>
                <m:t>θ</m:t>
              </m:r>
              <m:r>
                <m:rPr>
                  <m:sty m:val="p"/>
                </m:rPr>
                <m:t>∈</m:t>
              </m:r>
              <m:r>
                <m:rPr>
                  <m:sty m:val="p"/>
                </m:rPr>
                <m:t>Θ</m:t>
              </m:r>
            </m:lim>
          </m:limLow>
          <m:r>
            <m:rPr>
              <m:scr m:val="script"/>
              <m:sty m:val="p"/>
            </m:rPr>
            <m:t>L</m:t>
          </m:r>
          <m:r>
            <m:rPr>
              <m:sty m:val="p"/>
            </m:rPr>
            <m:t>(</m:t>
          </m:r>
          <m:r>
            <m:t>θ</m:t>
          </m:r>
          <m:r>
            <m:rPr>
              <m:sty m:val="p"/>
            </m:rPr>
            <m:t>)</m:t>
          </m:r>
          <m:r>
            <m:rPr>
              <m:sty m:val="p"/>
            </m:rPr>
            <m:t>.</m:t>
          </m:r>
        </m:oMath>
      </m:oMathPara>
    </w:p>
    <w:p>
      <w:pPr>
        <w:pStyle w:val="FirstParagraph"/>
      </w:pPr>
      <w:r>
        <w:rPr>
          <w:rFonts w:hint="eastAsia"/>
        </w:rPr>
        <w:t xml:space="preserve">其中</w:t>
      </w:r>
      <w:r>
        <w:t xml:space="preserve"> </w:t>
      </w:r>
      <m:oMath>
        <m:r>
          <m:rPr>
            <m:sty m:val="p"/>
          </m:rPr>
          <m:t>Θ</m:t>
        </m:r>
      </m:oMath>
      <w:r>
        <w:t xml:space="preserve"> </w:t>
      </w:r>
      <w:r>
        <w:rPr>
          <w:rFonts w:hint="eastAsia"/>
        </w:rPr>
        <w:t xml:space="preserve">对</w:t>
      </w:r>
      <w:r>
        <w:t xml:space="preserve"> SPR </w:t>
      </w:r>
      <w:r>
        <w:rPr>
          <w:rFonts w:hint="eastAsia"/>
        </w:rPr>
        <w:t xml:space="preserve">上限、绕道能力、库存日释放、供应中断范围和弹性区间施加硬约束；行为参数只允许在经济含义一致的范围内搜索。目标函数为</w:t>
      </w:r>
    </w:p>
    <w:p>
      <w:pPr>
        <w:pStyle w:val="BodyText"/>
      </w:pPr>
      <m:oMathPara>
        <m:oMathParaPr>
          <m:jc m:val="center"/>
        </m:oMathParaPr>
        <m:oMath>
          <m:eqArr>
            <m:e>
              <m:r>
                <m:rPr>
                  <m:scr m:val="script"/>
                  <m:sty m:val="p"/>
                </m:rPr>
                <m:t>L</m:t>
              </m:r>
              <m:r>
                <m:rPr>
                  <m:sty m:val="p"/>
                </m:rPr>
                <m:t>(</m:t>
              </m:r>
              <m:r>
                <m:t>θ</m:t>
              </m:r>
              <m:r>
                <m:rPr>
                  <m:sty m:val="p"/>
                </m:rPr>
                <m:t>)</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其中</w:t>
      </w:r>
      <w:r>
        <w:t xml:space="preserve"> </w:t>
      </w:r>
      <m:oMath>
        <m:r>
          <m:rPr>
            <m:sty m:val="p"/>
          </m:rPr>
          <m:t>Δ</m:t>
        </m:r>
        <m:sSub>
          <m:e>
            <m:r>
              <m:t>P</m:t>
            </m:r>
          </m:e>
          <m:sub>
            <m:r>
              <m:rPr>
                <m:sty m:val="p"/>
              </m:rPr>
              <m:t>p</m:t>
            </m:r>
            <m:r>
              <m:rPr>
                <m:sty m:val="p"/>
              </m:rPr>
              <m:t>e</m:t>
            </m:r>
            <m:r>
              <m:rPr>
                <m:sty m:val="p"/>
              </m:rPr>
              <m:t>a</m:t>
            </m:r>
            <m:r>
              <m:rPr>
                <m:sty m:val="p"/>
              </m:rPr>
              <m:t>k</m:t>
            </m:r>
          </m:sub>
        </m:sSub>
      </m:oMath>
      <w:r>
        <w:t xml:space="preserve"> </w:t>
      </w:r>
      <w:r>
        <w:rPr>
          <w:rFonts w:hint="eastAsia"/>
        </w:rPr>
        <w:t xml:space="preserve">与</w:t>
      </w:r>
      <w:r>
        <w:t xml:space="preserve"> </w:t>
      </w:r>
      <m:oMath>
        <m:r>
          <m:rPr>
            <m:sty m:val="p"/>
          </m:rPr>
          <m:t>Δ</m:t>
        </m:r>
        <m:sSub>
          <m:e>
            <m:r>
              <m:t>P</m:t>
            </m:r>
          </m:e>
          <m:sub>
            <m:r>
              <m:rPr>
                <m:sty m:val="p"/>
              </m:rPr>
              <m:t>f</m:t>
            </m:r>
            <m:r>
              <m:rPr>
                <m:sty m:val="p"/>
              </m:rPr>
              <m:t>i</m:t>
            </m:r>
            <m:r>
              <m:rPr>
                <m:sty m:val="p"/>
              </m:rPr>
              <m:t>n</m:t>
            </m:r>
            <m:r>
              <m:rPr>
                <m:sty m:val="p"/>
              </m:rPr>
              <m:t>a</m:t>
            </m:r>
            <m:r>
              <m:rPr>
                <m:sty m:val="p"/>
              </m:rPr>
              <m:t>l</m:t>
            </m:r>
          </m:sub>
        </m:sSub>
      </m:oMath>
      <w:r>
        <w:t xml:space="preserve"> </w:t>
      </w:r>
      <w:r>
        <w:rPr>
          <w:rFonts w:hint="eastAsia"/>
        </w:rPr>
        <w:t xml:space="preserve">分别为峰值和期末价格偏差；分段</w:t>
      </w:r>
      <w:r>
        <w:t xml:space="preserve"> RMSE </w:t>
      </w:r>
      <w:r>
        <w:rPr>
          <w:rFonts w:hint="eastAsia"/>
        </w:rPr>
        <w:t xml:space="preserve">约束前期冲击、高位平台和后期再定价。校准采用固定种子随机搜索、差分进化精修和局部扰动复核，均在既有模型结构内完成。</w:t>
      </w:r>
    </w:p>
    <w:p>
      <w:pPr>
        <w:pStyle w:val="BodyText"/>
      </w:pPr>
      <w:r>
        <w:t xml:space="preserve">l S[table-format=4.3] l S[table-format=3.3]</w:t>
      </w:r>
      <w:r>
        <w:t xml:space="preserve"> </w:t>
      </w:r>
      <w:r>
        <w:rPr>
          <w:rFonts w:hint="eastAsia"/>
        </w:rPr>
        <w:t xml:space="preserve">参数</w:t>
      </w:r>
      <w:r>
        <w:t xml:space="preserve"> &amp;</w:t>
      </w:r>
      <w:r>
        <w:t xml:space="preserve"> </w:t>
      </w:r>
      <w:r>
        <w:rPr>
          <w:rFonts w:hint="eastAsia"/>
        </w:rPr>
        <w:t xml:space="preserve">数值</w:t>
      </w:r>
      <w:r>
        <w:t xml:space="preserve"> </w:t>
      </w:r>
      <w:r>
        <w:t xml:space="preserve">&amp; </w:t>
      </w:r>
      <w:r>
        <w:rPr>
          <w:rFonts w:hint="eastAsia"/>
        </w:rPr>
        <w:t xml:space="preserve">参数</w:t>
      </w:r>
      <w:r>
        <w:t xml:space="preserve"> &amp;</w:t>
      </w:r>
      <w:r>
        <w:t xml:space="preserve"> </w:t>
      </w:r>
      <w:r>
        <w:rPr>
          <w:rFonts w:hint="eastAsia"/>
        </w:rPr>
        <w:t xml:space="preserve">数值</w:t>
      </w:r>
      <w:r>
        <w:br/>
      </w:r>
      <w:r>
        <w:rPr>
          <w:rFonts w:hint="eastAsia"/>
        </w:rPr>
        <w:t xml:space="preserve">供应中断量</w:t>
      </w:r>
      <w:r>
        <w:t xml:space="preserve"> &amp; 1422 &amp; SPR </w:t>
      </w:r>
      <w:r>
        <w:rPr>
          <w:rFonts w:hint="eastAsia"/>
        </w:rPr>
        <w:t xml:space="preserve">释放上限</w:t>
      </w:r>
      <w:r>
        <w:t xml:space="preserve"> &amp; 671</w:t>
      </w:r>
      <w:r>
        <w:br/>
      </w:r>
      <w:r>
        <w:t xml:space="preserve">SPR </w:t>
      </w:r>
      <w:r>
        <w:rPr>
          <w:rFonts w:hint="eastAsia"/>
        </w:rPr>
        <w:t xml:space="preserve">启动延迟</w:t>
      </w:r>
      <w:r>
        <w:t xml:space="preserve"> &amp; 6 &amp; </w:t>
      </w:r>
      <w:r>
        <w:rPr>
          <w:rFonts w:hint="eastAsia"/>
        </w:rPr>
        <w:t xml:space="preserve">绕道启动日</w:t>
      </w:r>
      <w:r>
        <w:t xml:space="preserve"> &amp; 7</w:t>
      </w:r>
      <w:r>
        <w:br/>
      </w:r>
      <w:r>
        <w:rPr>
          <w:rFonts w:hint="eastAsia"/>
        </w:rPr>
        <w:t xml:space="preserve">绕道能力上限</w:t>
      </w:r>
      <w:r>
        <w:t xml:space="preserve"> &amp; 294 &amp; </w:t>
      </w:r>
      <w:r>
        <w:rPr>
          <w:rFonts w:hint="eastAsia"/>
        </w:rPr>
        <w:t xml:space="preserve">长期需求弹性</w:t>
      </w:r>
      <w:r>
        <w:t xml:space="preserve"> &amp; -0.22</w:t>
      </w:r>
      <w:r>
        <w:br/>
      </w:r>
      <w:r>
        <w:rPr>
          <w:rFonts w:hint="eastAsia"/>
        </w:rPr>
        <w:t xml:space="preserve">恐慌初始强度</w:t>
      </w:r>
      <w:r>
        <w:t xml:space="preserve"> &amp; 0.13 &amp; </w:t>
      </w:r>
      <w:r>
        <w:rPr>
          <w:rFonts w:hint="eastAsia"/>
        </w:rPr>
        <w:t xml:space="preserve">恐慌衰减速度</w:t>
      </w:r>
      <w:r>
        <w:t xml:space="preserve"> &amp; 0.12</w:t>
      </w:r>
      <w:r>
        <w:br/>
      </w:r>
      <w:r>
        <w:rPr>
          <w:rFonts w:hint="eastAsia"/>
        </w:rPr>
        <w:t xml:space="preserve">库存日缓冲上限</w:t>
      </w:r>
      <w:r>
        <w:t xml:space="preserve"> &amp; 395 &amp; </w:t>
      </w:r>
      <w:r>
        <w:rPr>
          <w:rFonts w:hint="eastAsia"/>
        </w:rPr>
        <w:t xml:space="preserve">价格传导系数</w:t>
      </w:r>
      <w:r>
        <w:t xml:space="preserve"> </w:t>
      </w:r>
      <m:oMath>
        <m:r>
          <m:t>ϕ</m:t>
        </m:r>
      </m:oMath>
      <w:r>
        <w:t xml:space="preserve"> </w:t>
      </w:r>
      <w:r>
        <w:t xml:space="preserve">&amp; 0.034</w:t>
      </w:r>
      <w:r>
        <w:br/>
      </w:r>
      <w:r>
        <w:rPr>
          <w:rFonts w:hint="eastAsia"/>
        </w:rPr>
        <w:t xml:space="preserve">调整速度</w:t>
      </w:r>
      <w:r>
        <w:t xml:space="preserve"> </w:t>
      </w:r>
      <m:oMath>
        <m:r>
          <m:t>v</m:t>
        </m:r>
      </m:oMath>
      <w:r>
        <w:t xml:space="preserve"> </w:t>
      </w:r>
      <w:r>
        <w:t xml:space="preserve">&amp; 0.328 &amp; </w:t>
      </w:r>
      <w:r>
        <w:rPr>
          <w:rFonts w:hint="eastAsia"/>
        </w:rPr>
        <w:t xml:space="preserve">风险权重</w:t>
      </w:r>
      <w:r>
        <w:t xml:space="preserve"> </w:t>
      </w:r>
      <m:oMath>
        <m:r>
          <m:t>β</m:t>
        </m:r>
      </m:oMath>
      <w:r>
        <w:t xml:space="preserve"> </w:t>
      </w:r>
      <w:r>
        <w:t xml:space="preserve">&amp; 2.366</w:t>
      </w:r>
      <w:r>
        <w:br/>
      </w:r>
      <w:r>
        <w:rPr>
          <w:rFonts w:hint="eastAsia"/>
        </w:rPr>
        <w:t xml:space="preserve">不确定性/制度风险强度</w:t>
      </w:r>
      <w:r>
        <w:t xml:space="preserve"> &amp; 0.288 &amp; </w:t>
      </w:r>
      <w:r>
        <w:rPr>
          <w:rFonts w:hint="eastAsia"/>
        </w:rPr>
        <w:t xml:space="preserve">库存响应系数</w:t>
      </w:r>
      <w:r>
        <w:t xml:space="preserve"> &amp; 0.543</w:t>
      </w:r>
      <w:r>
        <w:br/>
      </w:r>
      <w:r>
        <w:rPr>
          <w:rFonts w:hint="eastAsia"/>
        </w:rPr>
        <w:t xml:space="preserve">缓冲确认强度</w:t>
      </w:r>
      <w:r>
        <w:t xml:space="preserve"> &amp; 0.218 &amp; </w:t>
      </w:r>
      <w:r>
        <w:rPr>
          <w:rFonts w:hint="eastAsia"/>
        </w:rPr>
        <w:t xml:space="preserve">预期修复强度</w:t>
      </w:r>
      <w:r>
        <w:t xml:space="preserve"> &amp; 0.240</w:t>
      </w:r>
      <w:r>
        <w:br/>
      </w:r>
    </w:p>
    <w:p>
      <w:pPr>
        <w:pStyle w:val="BodyText"/>
      </w:pPr>
      <w:r>
        <w:rPr>
          <w:rFonts w:hint="eastAsia"/>
        </w:rPr>
        <w:t xml:space="preserve">注：供应中断量、SPR</w:t>
      </w:r>
      <w:r>
        <w:t xml:space="preserve"> </w:t>
      </w:r>
      <w:r>
        <w:rPr>
          <w:rFonts w:hint="eastAsia"/>
        </w:rPr>
        <w:t xml:space="preserve">释放上限、绕道能力上限和库存日缓冲上限的单位为万桶/日；其余无量纲参数用于刻画行为强度、调整速度或弹性。</w:t>
      </w:r>
    </w:p>
    <w:p>
      <w:pPr>
        <w:pStyle w:val="BodyText"/>
      </w:pPr>
      <w:r>
        <w:rPr>
          <w:rFonts w:hint="eastAsia"/>
        </w:rPr>
        <w:t xml:space="preserve">表中参数分为两类：供应中断量、SPR</w:t>
      </w:r>
      <w:r>
        <w:t xml:space="preserve"> </w:t>
      </w:r>
      <w:r>
        <w:rPr>
          <w:rFonts w:hint="eastAsia"/>
        </w:rPr>
        <w:t xml:space="preserve">上限、绕道能力、库存缓冲和需求弹性受题面范围约束；风险权重、价格调整速度、缓冲确认和预期修复强度由冲突窗口校准。供应中断量</w:t>
      </w:r>
      <w:r>
        <w:t xml:space="preserve"> 1422 </w:t>
      </w:r>
      <w:r>
        <w:rPr>
          <w:rFonts w:hint="eastAsia"/>
        </w:rPr>
        <w:t xml:space="preserve">万桶/日是中心情景值，长期情景和蒙特卡洛抽样继续覆盖</w:t>
      </w:r>
      <w:r>
        <w:t xml:space="preserve"> 1400–1800 </w:t>
      </w:r>
      <w:r>
        <w:rPr>
          <w:rFonts w:hint="eastAsia"/>
        </w:rPr>
        <w:t xml:space="preserve">万桶/日。</w:t>
      </w:r>
    </w:p>
    <w:p>
      <w:pPr>
        <w:pStyle w:val="BodyText"/>
      </w:pPr>
      <w:r>
        <w:rPr>
          <w:rFonts w:hint="eastAsia"/>
        </w:rPr>
        <w:t xml:space="preserve">短期冲击模型在冲突窗口内取得</w:t>
      </w:r>
      <w:r>
        <w:t xml:space="preserve"> RMSE 3.47 </w:t>
      </w:r>
      <w:r>
        <w:rPr>
          <w:rFonts w:hint="eastAsia"/>
        </w:rPr>
        <w:t xml:space="preserve">美元/桶、MAE</w:t>
      </w:r>
      <w:r>
        <w:t xml:space="preserve"> 2.87 </w:t>
      </w:r>
      <w:r>
        <w:rPr>
          <w:rFonts w:hint="eastAsia"/>
        </w:rPr>
        <w:t xml:space="preserve">美元/桶。模拟峰值为</w:t>
      </w:r>
      <w:r>
        <w:t xml:space="preserve"> 110.55 </w:t>
      </w:r>
      <w:r>
        <w:rPr>
          <w:rFonts w:hint="eastAsia"/>
        </w:rPr>
        <w:t xml:space="preserve">美元/桶，实际最高收盘价为</w:t>
      </w:r>
      <w:r>
        <w:t xml:space="preserve"> 114.06 </w:t>
      </w:r>
      <w:r>
        <w:rPr>
          <w:rFonts w:hint="eastAsia"/>
        </w:rPr>
        <w:t xml:space="preserve">美元/桶；期末模拟价格为</w:t>
      </w:r>
      <w:r>
        <w:t xml:space="preserve"> 110.55 </w:t>
      </w:r>
      <w:r>
        <w:rPr>
          <w:rFonts w:hint="eastAsia"/>
        </w:rPr>
        <w:t xml:space="preserve">美元/桶，实际为</w:t>
      </w:r>
      <w:r>
        <w:t xml:space="preserve"> 110.31 </w:t>
      </w:r>
      <w:r>
        <w:rPr>
          <w:rFonts w:hint="eastAsia"/>
        </w:rPr>
        <w:t xml:space="preserve">美元/桶。对高位平台和中期回落窗口加入低自由度</w:t>
      </w:r>
      <w:r>
        <w:t xml:space="preserve"> Ridge </w:t>
      </w:r>
      <w:r>
        <w:rPr>
          <w:rFonts w:hint="eastAsia"/>
        </w:rPr>
        <w:t xml:space="preserve">收益率修正后，增强路径的</w:t>
      </w:r>
      <w:r>
        <w:t xml:space="preserve"> RMSE </w:t>
      </w:r>
      <w:r>
        <w:rPr>
          <w:rFonts w:hint="eastAsia"/>
        </w:rPr>
        <w:t xml:space="preserve">降至</w:t>
      </w:r>
      <w:r>
        <w:t xml:space="preserve"> 3.28 </w:t>
      </w:r>
      <w:r>
        <w:rPr>
          <w:rFonts w:hint="eastAsia"/>
        </w:rPr>
        <w:t xml:space="preserve">美元/桶，MAE</w:t>
      </w:r>
      <w:r>
        <w:t xml:space="preserve"> </w:t>
      </w:r>
      <w:r>
        <w:rPr>
          <w:rFonts w:hint="eastAsia"/>
        </w:rPr>
        <w:t xml:space="preserve">降至</w:t>
      </w:r>
      <w:r>
        <w:t xml:space="preserve"> 2.78 </w:t>
      </w:r>
      <w:r>
        <w:rPr>
          <w:rFonts w:hint="eastAsia"/>
        </w:rPr>
        <w:t xml:space="preserve">美元/桶，MAPE</w:t>
      </w:r>
      <w:r>
        <w:t xml:space="preserve"> </w:t>
      </w:r>
      <w:r>
        <w:rPr>
          <w:rFonts w:hint="eastAsia"/>
        </w:rPr>
        <w:t xml:space="preserve">为</w:t>
      </w:r>
      <w:r>
        <w:t xml:space="preserve"> 2.79%。</w:t>
      </w:r>
    </w:p>
    <w:p>
      <w:pPr>
        <w:pStyle w:val="BodyText"/>
      </w:pPr>
      <w:r>
        <w:rPr>
          <w:rFonts w:hint="eastAsia"/>
          <w:b/>
          <w:bCs/>
        </w:rPr>
        <w:t xml:space="preserve">结论</w:t>
      </w:r>
      <w:r>
        <w:rPr>
          <w:rFonts w:hint="eastAsia"/>
        </w:rPr>
        <w:t xml:space="preserve">短期模型解释前期冲击、中期平台和后期再定价；阶段</w:t>
      </w:r>
      <w:r>
        <w:t xml:space="preserve"> Ridge </w:t>
      </w:r>
      <w:r>
        <w:rPr>
          <w:rFonts w:hint="eastAsia"/>
        </w:rPr>
        <w:t xml:space="preserve">增强只修正日度震荡，不替代机制递推。</w:t>
      </w:r>
    </w:p>
    <w:bookmarkEnd w:id="41"/>
    <w:bookmarkStart w:id="46" w:name="基准模型对比"/>
    <w:p>
      <w:pPr>
        <w:pStyle w:val="Heading3"/>
      </w:pPr>
      <w:r>
        <w:rPr>
          <w:rFonts w:hint="eastAsia"/>
        </w:rPr>
        <w:t xml:space="preserve">基准模型对比</w:t>
      </w:r>
    </w:p>
    <w:p>
      <w:pPr>
        <w:pStyle w:val="FirstParagraph"/>
      </w:pPr>
      <w:r>
        <w:rPr>
          <w:rFonts w:hint="eastAsia"/>
        </w:rPr>
        <w:t xml:space="preserve">上一日价格是金融时间序列的基本基准。本文同时使用滚动</w:t>
      </w:r>
      <w:r>
        <w:t xml:space="preserve"> ARIMA(1,1,0) </w:t>
      </w:r>
      <w:r>
        <w:rPr>
          <w:rFonts w:hint="eastAsia"/>
        </w:rPr>
        <w:t xml:space="preserve">作对照，所有基准在预测第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日及以前信息。三日均值和漂移随机游走已在程序中复核，结论一致。</w:t>
      </w:r>
    </w:p>
    <w:p>
      <w:pPr>
        <w:pStyle w:val="BodyText"/>
      </w:pPr>
      <w:hyperlink w:anchor="fig:short-term-fit">
        <w:r>
          <w:rPr>
            <w:rStyle w:val="Hyperlink"/>
          </w:rPr>
          <w:t xml:space="preserve">3</w:t>
        </w:r>
      </w:hyperlink>
      <w:r>
        <w:t xml:space="preserve"> </w:t>
      </w:r>
      <w:r>
        <w:rPr>
          <w:rFonts w:hint="eastAsia"/>
        </w:rPr>
        <w:t xml:space="preserve">给出短期拟合路径。将模型曲线整体平移</w:t>
      </w:r>
      <w:r>
        <w:t xml:space="preserve"> 1–5 </w:t>
      </w:r>
      <w:r>
        <w:rPr>
          <w:rFonts w:hint="eastAsia"/>
        </w:rPr>
        <w:t xml:space="preserve">天后重新计算</w:t>
      </w:r>
      <w:r>
        <w:t xml:space="preserve"> </w:t>
      </w:r>
      <w:r>
        <w:rPr>
          <w:rFonts w:hint="eastAsia"/>
        </w:rPr>
        <w:t xml:space="preserve">RMSE，原始位置最低，为</w:t>
      </w:r>
      <w:r>
        <w:t xml:space="preserve"> </w:t>
      </w:r>
      <w:r>
        <w:rPr>
          <w:rFonts w:hint="eastAsia"/>
        </w:rPr>
        <w:t xml:space="preserve">3.47；向左平移后误差上升，说明曲线不存在明显滞后复制。剔除首日后的可比较样本中，短期冲击模型</w:t>
      </w:r>
      <w:r>
        <w:t xml:space="preserve"> RMSE </w:t>
      </w:r>
      <w:r>
        <w:rPr>
          <w:rFonts w:hint="eastAsia"/>
        </w:rPr>
        <w:t xml:space="preserve">明显低于朴素上一日基准；R</w:t>
      </w:r>
      <w:r>
        <w:t xml:space="preserve"> </w:t>
      </w:r>
      <w:r>
        <w:rPr>
          <w:rFonts w:hint="eastAsia"/>
        </w:rPr>
        <w:t xml:space="preserve">语言复核的</w:t>
      </w:r>
      <w:r>
        <w:t xml:space="preserve"> DM </w:t>
      </w:r>
      <w:r>
        <w:rPr>
          <w:rFonts w:hint="eastAsia"/>
        </w:rPr>
        <w:t xml:space="preserve">平方损失单侧检验和方向命中率二项检验均支持模型具有基准优势。Ljung–Box</w:t>
      </w:r>
      <w:r>
        <w:t xml:space="preserve"> lag10 </w:t>
      </w:r>
      <w:r>
        <w:rPr>
          <w:rFonts w:hint="eastAsia"/>
        </w:rPr>
        <w:t xml:space="preserve">检验未见显著线性自相关。</w:t>
      </w:r>
    </w:p>
    <w:bookmarkStart w:id="45" w:name="fig:short-term-fit"/>
    <w:p>
      <w:pPr>
        <w:pStyle w:val="CaptionedFigure"/>
      </w:pPr>
      <w:r>
        <w:drawing>
          <wp:inline>
            <wp:extent cx="4907280" cy="2587474"/>
            <wp:effectExtent b="0" l="0" r="0" t="0"/>
            <wp:docPr descr="" title="" id="43" name="Picture"/>
            <a:graphic>
              <a:graphicData uri="http://schemas.openxmlformats.org/drawingml/2006/picture">
                <pic:pic>
                  <pic:nvPicPr>
                    <pic:cNvPr descr="短期模型拟合效果.png" id="44" name="Picture"/>
                    <pic:cNvPicPr>
                      <a:picLocks noChangeArrowheads="1" noChangeAspect="1"/>
                    </pic:cNvPicPr>
                  </pic:nvPicPr>
                  <pic:blipFill>
                    <a:blip r:embed="rId42"/>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短期冲击模型拟合效果</w:t>
      </w:r>
    </w:p>
    <w:bookmarkEnd w:id="45"/>
    <w:p>
      <w:pPr>
        <w:pStyle w:val="BodyText"/>
      </w:pPr>
      <w:r>
        <w:t xml:space="preserve">l S[table-format=2.0] S[table-format=1.2] S[table-format=1.2] S[table-format=1.2]</w:t>
      </w:r>
      <w:r>
        <w:t xml:space="preserve"> </w:t>
      </w:r>
      <w:r>
        <w:rPr>
          <w:rFonts w:hint="eastAsia"/>
        </w:rPr>
        <w:t xml:space="preserve">分段</w:t>
      </w:r>
      <w:r>
        <w:t xml:space="preserve"> &amp;</w:t>
      </w:r>
      <w:r>
        <w:t xml:space="preserve"> </w:t>
      </w:r>
      <w:r>
        <w:rPr>
          <w:rFonts w:hint="eastAsia"/>
        </w:rPr>
        <w:t xml:space="preserve">样本数</w:t>
      </w:r>
      <w:r>
        <w:t xml:space="preserve"> </w:t>
      </w:r>
      <w:r>
        <w:t xml:space="preserve">&amp;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rPr>
          <w:rFonts w:hint="eastAsia"/>
        </w:rPr>
        <w:t xml:space="preserve">最大绝对误差</w:t>
      </w:r>
      <w:r>
        <w:br/>
      </w:r>
      <w:r>
        <w:rPr>
          <w:rFonts w:hint="eastAsia"/>
        </w:rPr>
        <w:t xml:space="preserve">全窗口</w:t>
      </w:r>
      <w:r>
        <w:t xml:space="preserve"> &amp; 46 &amp; 3.47 &amp; 2.87 &amp; 6.80</w:t>
      </w:r>
      <w:r>
        <w:br/>
      </w:r>
      <w:r>
        <w:rPr>
          <w:rFonts w:hint="eastAsia"/>
        </w:rPr>
        <w:t xml:space="preserve">前期冲击</w:t>
      </w:r>
      <w:r>
        <w:t xml:space="preserve"> &amp; 11 &amp; 3.15 &amp; 2.68 &amp; 5.75</w:t>
      </w:r>
      <w:r>
        <w:br/>
      </w:r>
      <w:r>
        <w:rPr>
          <w:rFonts w:hint="eastAsia"/>
        </w:rPr>
        <w:t xml:space="preserve">中期平台</w:t>
      </w:r>
      <w:r>
        <w:t xml:space="preserve"> &amp; 14 &amp; 4.29 &amp; 3.63 &amp; 6.80</w:t>
      </w:r>
      <w:r>
        <w:br/>
      </w:r>
      <w:r>
        <w:rPr>
          <w:rFonts w:hint="eastAsia"/>
        </w:rPr>
        <w:t xml:space="preserve">后期再定价</w:t>
      </w:r>
      <w:r>
        <w:t xml:space="preserve"> &amp; 21 &amp; 2.98 &amp; 2.47 &amp; 5.12</w:t>
      </w:r>
      <w:r>
        <w:br/>
      </w:r>
      <w:r>
        <w:rPr>
          <w:rFonts w:hint="eastAsia"/>
        </w:rPr>
        <w:t xml:space="preserve">高价平台</w:t>
      </w:r>
      <w:r>
        <w:t xml:space="preserve"> &amp; 4 &amp; 2.95 &amp; 2.49 &amp; 4.04</w:t>
      </w:r>
      <w:r>
        <w:br/>
      </w:r>
      <w:r>
        <w:rPr>
          <w:rFonts w:hint="eastAsia"/>
        </w:rPr>
        <w:t xml:space="preserve">低价回落</w:t>
      </w:r>
      <w:r>
        <w:t xml:space="preserve"> &amp; 21 &amp; 3.50 &amp; 3.01 &amp; 5.75</w:t>
      </w:r>
      <w:r>
        <w:br/>
      </w:r>
    </w:p>
    <w:p>
      <w:pPr>
        <w:pStyle w:val="BodyText"/>
      </w:pPr>
      <w:r>
        <w:t xml:space="preserve">l S[table-format=1.2] S[table-format=1.2] S[table-format=1.2] S[table-format=2.1]</w:t>
      </w:r>
      <w:r>
        <w:t xml:space="preserve"> </w:t>
      </w:r>
      <w:r>
        <w:rPr>
          <w:rFonts w:hint="eastAsia"/>
        </w:rPr>
        <w:t xml:space="preserve">模型</w:t>
      </w:r>
      <w:r>
        <w:t xml:space="preserve"> &amp;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t xml:space="preserve">MAPE(%)</w:t>
      </w:r>
      <w:r>
        <w:t xml:space="preserve"> </w:t>
      </w:r>
      <w:r>
        <w:t xml:space="preserve">&amp;</w:t>
      </w:r>
      <w:r>
        <w:t xml:space="preserve"> </w:t>
      </w:r>
      <w:r>
        <w:rPr>
          <w:rFonts w:hint="eastAsia"/>
        </w:rPr>
        <w:t xml:space="preserve">方向命中率(%)</w:t>
      </w:r>
      <w:r>
        <w:br/>
      </w:r>
      <w:r>
        <w:rPr>
          <w:rFonts w:hint="eastAsia"/>
        </w:rPr>
        <w:t xml:space="preserve">短期冲击模型</w:t>
      </w:r>
      <w:r>
        <w:t xml:space="preserve"> &amp; 3.47 &amp; 2.87 &amp; 2.88 &amp; 66.7</w:t>
      </w:r>
      <w:r>
        <w:br/>
      </w:r>
      <w:r>
        <w:rPr>
          <w:rFonts w:hint="eastAsia"/>
          <w:b/>
          <w:bCs/>
        </w:rPr>
        <w:t xml:space="preserve">短期冲击模型增强路径</w:t>
      </w:r>
      <w:r>
        <w:t xml:space="preserve"> </w:t>
      </w:r>
      <w:r>
        <w:t xml:space="preserve">&amp;</w:t>
      </w:r>
      <w:r>
        <w:t xml:space="preserve"> </w:t>
      </w:r>
      <w:r>
        <w:rPr>
          <w:b/>
          <w:bCs/>
        </w:rPr>
        <w:t xml:space="preserve">3.28</w:t>
      </w:r>
      <w:r>
        <w:t xml:space="preserve"> </w:t>
      </w:r>
      <w:r>
        <w:t xml:space="preserve">&amp;</w:t>
      </w:r>
      <w:r>
        <w:t xml:space="preserve"> </w:t>
      </w:r>
      <w:r>
        <w:rPr>
          <w:b/>
          <w:bCs/>
        </w:rPr>
        <w:t xml:space="preserve">2.78</w:t>
      </w:r>
      <w:r>
        <w:t xml:space="preserve"> </w:t>
      </w:r>
      <w:r>
        <w:t xml:space="preserve">&amp;</w:t>
      </w:r>
      <w:r>
        <w:t xml:space="preserve"> </w:t>
      </w:r>
      <w:r>
        <w:rPr>
          <w:b/>
          <w:bCs/>
        </w:rPr>
        <w:t xml:space="preserve">2.79</w:t>
      </w:r>
      <w:r>
        <w:t xml:space="preserve"> </w:t>
      </w:r>
      <w:r>
        <w:t xml:space="preserve">&amp;</w:t>
      </w:r>
      <w:r>
        <w:t xml:space="preserve"> </w:t>
      </w:r>
      <w:r>
        <w:rPr>
          <w:b/>
          <w:bCs/>
        </w:rPr>
        <w:t xml:space="preserve">66.7</w:t>
      </w:r>
      <w:r>
        <w:br/>
      </w:r>
      <w:r>
        <w:rPr>
          <w:rFonts w:hint="eastAsia"/>
        </w:rPr>
        <w:t xml:space="preserve">朴素上一日基准</w:t>
      </w:r>
      <w:r>
        <w:t xml:space="preserve"> &amp; 4.47 &amp; 3.57 &amp; 3.54 &amp; 46.7</w:t>
      </w:r>
      <w:r>
        <w:br/>
      </w:r>
      <w:r>
        <w:rPr>
          <w:rFonts w:hint="eastAsia"/>
        </w:rPr>
        <w:t xml:space="preserve">滚动</w:t>
      </w:r>
      <w:r>
        <w:t xml:space="preserve"> ARIMA(1,1,0) </w:t>
      </w:r>
      <w:r>
        <w:rPr>
          <w:rFonts w:hint="eastAsia"/>
        </w:rPr>
        <w:t xml:space="preserve">基准</w:t>
      </w:r>
      <w:r>
        <w:t xml:space="preserve"> &amp; 4.53 &amp; 3.67 &amp; 3.63 &amp; 46.7</w:t>
      </w:r>
      <w:r>
        <w:br/>
      </w:r>
    </w:p>
    <w:p>
      <w:pPr>
        <w:pStyle w:val="BodyText"/>
      </w:pPr>
      <w:r>
        <w:rPr>
          <w:rFonts w:hint="eastAsia"/>
        </w:rPr>
        <w:t xml:space="preserve">注：RMSE</w:t>
      </w:r>
      <w:r>
        <w:t xml:space="preserve"> </w:t>
      </w:r>
      <w:r>
        <w:rPr>
          <w:rFonts w:hint="eastAsia"/>
        </w:rPr>
        <w:t xml:space="preserve">与</w:t>
      </w:r>
      <w:r>
        <w:t xml:space="preserve"> MAE </w:t>
      </w:r>
      <w:r>
        <w:rPr>
          <w:rFonts w:hint="eastAsia"/>
        </w:rPr>
        <w:t xml:space="preserve">单位为美元/桶；MAPE</w:t>
      </w:r>
      <w:r>
        <w:t xml:space="preserve"> </w:t>
      </w:r>
      <w:r>
        <w:rPr>
          <w:rFonts w:hint="eastAsia"/>
        </w:rPr>
        <w:t xml:space="preserve">与方向命中率以百分比计。短期冲击模型增强路径指</w:t>
      </w:r>
      <w:r>
        <w:rPr>
          <w:rFonts w:hint="eastAsia"/>
        </w:rPr>
        <w:t xml:space="preserve">“短期冲击模型</w:t>
      </w:r>
      <w:r>
        <w:t xml:space="preserve"> + </w:t>
      </w:r>
      <w:r>
        <w:rPr>
          <w:rFonts w:hint="eastAsia"/>
        </w:rPr>
        <w:t xml:space="preserve">阶段</w:t>
      </w:r>
      <w:r>
        <w:t xml:space="preserve"> Ridge </w:t>
      </w:r>
      <w:r>
        <w:rPr>
          <w:rFonts w:hint="eastAsia"/>
        </w:rPr>
        <w:t xml:space="preserve">修正”</w:t>
      </w:r>
      <w:r>
        <w:rPr>
          <w:rFonts w:hint="eastAsia"/>
        </w:rPr>
        <w:t xml:space="preserve">，只在残差薄弱窗口启用收益率修正，其他事件段保持机制路径不变。</w:t>
      </w:r>
    </w:p>
    <w:bookmarkEnd w:id="46"/>
    <w:bookmarkStart w:id="47" w:name="鲁棒性与边界检验摘要"/>
    <w:p>
      <w:pPr>
        <w:pStyle w:val="Heading3"/>
      </w:pPr>
      <w:r>
        <w:rPr>
          <w:rFonts w:hint="eastAsia"/>
        </w:rPr>
        <w:t xml:space="preserve">鲁棒性与边界检验摘要</w:t>
      </w:r>
    </w:p>
    <w:p>
      <w:pPr>
        <w:pStyle w:val="FirstParagraph"/>
      </w:pPr>
      <w:r>
        <w:rPr>
          <w:rFonts w:hint="eastAsia"/>
        </w:rPr>
        <w:t xml:space="preserve">短期窗口只有</w:t>
      </w:r>
      <w:r>
        <w:t xml:space="preserve"> 46 </w:t>
      </w:r>
      <w:r>
        <w:rPr>
          <w:rFonts w:hint="eastAsia"/>
        </w:rPr>
        <w:t xml:space="preserve">个交易日，检验重点放在机制必要性和参数稳定性上。机制消融时，关闭某一机制后其他参数不重新校准，用于观察同一参数体系下的边际贡献。</w:t>
      </w:r>
    </w:p>
    <w:p>
      <w:pPr>
        <w:pStyle w:val="TableCaption"/>
      </w:pPr>
      <w:r>
        <w:rPr>
          <w:rFonts w:hint="eastAsia"/>
        </w:rPr>
        <w:t xml:space="preserve">短期模型机制消融实验摘要</w:t>
      </w:r>
    </w:p>
    <w:tbl>
      <w:tblPr>
        <w:tblStyle w:val="Table"/>
        <w:tblW w:type="auto" w:w="0"/>
        <w:tblLook w:firstRow="1" w:lastRow="0" w:firstColumn="0" w:lastColumn="0" w:noHBand="0" w:noVBand="0" w:val="0020"/>
        <w:tblCaption w:val="短期模型机制消融实验摘要"/>
      </w:tblPr>
      <w:tblGrid>
        <w:gridCol w:w="1980"/>
        <w:gridCol w:w="1980"/>
        <w:gridCol w:w="1980"/>
        <w:gridCol w:w="1980"/>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left"/>
            </w:pPr>
            <w:r>
              <w:rPr>
                <w:rFonts w:hint="eastAsia"/>
              </w:rPr>
              <w:t xml:space="preserve">解释</w:t>
            </w:r>
          </w:p>
        </w:tc>
      </w:tr>
      <w:tr>
        <w:tc>
          <w:tcPr/>
          <w:p>
            <w:pPr>
              <w:pStyle w:val="Compact"/>
              <w:jc w:val="left"/>
            </w:pPr>
            <w:r>
              <w:rPr>
                <w:rFonts w:hint="eastAsia"/>
              </w:rPr>
              <w:t xml:space="preserve">完整模型</w:t>
            </w:r>
          </w:p>
        </w:tc>
        <w:tc>
          <w:tcPr/>
          <w:p>
            <w:pPr>
              <w:pStyle w:val="Compact"/>
              <w:jc w:val="right"/>
            </w:pPr>
            <w:r>
              <w:t xml:space="preserve">3.47</w:t>
            </w:r>
          </w:p>
        </w:tc>
        <w:tc>
          <w:tcPr/>
          <w:p>
            <w:pPr>
              <w:pStyle w:val="Compact"/>
              <w:jc w:val="right"/>
            </w:pPr>
            <w:r>
              <w:t xml:space="preserve">0.00</w:t>
            </w:r>
          </w:p>
        </w:tc>
        <w:tc>
          <w:tcPr/>
          <w:p>
            <w:pPr>
              <w:pStyle w:val="Compact"/>
              <w:jc w:val="left"/>
            </w:pPr>
            <w:r>
              <w:rPr>
                <w:rFonts w:hint="eastAsia"/>
              </w:rPr>
              <w:t xml:space="preserve">短期冲击模型基准路径</w:t>
            </w:r>
          </w:p>
        </w:tc>
      </w:tr>
      <w:tr>
        <w:tc>
          <w:tcPr/>
          <w:p>
            <w:pPr>
              <w:pStyle w:val="Compact"/>
              <w:jc w:val="left"/>
            </w:pPr>
            <w:r>
              <w:rPr>
                <w:rFonts w:hint="eastAsia"/>
              </w:rPr>
              <w:t xml:space="preserve">无</w:t>
            </w:r>
            <w:r>
              <w:t xml:space="preserve"> SPR</w:t>
            </w:r>
          </w:p>
        </w:tc>
        <w:tc>
          <w:tcPr/>
          <w:p>
            <w:pPr>
              <w:pStyle w:val="Compact"/>
              <w:jc w:val="right"/>
            </w:pPr>
            <w:r>
              <w:t xml:space="preserve">5.19</w:t>
            </w:r>
          </w:p>
        </w:tc>
        <w:tc>
          <w:tcPr/>
          <w:p>
            <w:pPr>
              <w:pStyle w:val="Compact"/>
              <w:jc w:val="right"/>
            </w:pPr>
            <w:r>
              <w:t xml:space="preserve">+1.81</w:t>
            </w:r>
          </w:p>
        </w:tc>
        <w:tc>
          <w:tcPr/>
          <w:p>
            <w:pPr>
              <w:pStyle w:val="Compact"/>
              <w:jc w:val="left"/>
            </w:pPr>
            <w:r>
              <w:rPr>
                <w:rFonts w:hint="eastAsia"/>
              </w:rPr>
              <w:t xml:space="preserve">政策释放是压低后期误差的重要缓冲</w:t>
            </w:r>
          </w:p>
        </w:tc>
      </w:tr>
      <w:tr>
        <w:tc>
          <w:tcPr/>
          <w:p>
            <w:pPr>
              <w:pStyle w:val="Compact"/>
              <w:jc w:val="left"/>
            </w:pPr>
            <w:r>
              <w:rPr>
                <w:rFonts w:hint="eastAsia"/>
              </w:rPr>
              <w:t xml:space="preserve">无库存</w:t>
            </w:r>
          </w:p>
        </w:tc>
        <w:tc>
          <w:tcPr/>
          <w:p>
            <w:pPr>
              <w:pStyle w:val="Compact"/>
              <w:jc w:val="right"/>
            </w:pPr>
            <w:r>
              <w:t xml:space="preserve">4.08</w:t>
            </w:r>
          </w:p>
        </w:tc>
        <w:tc>
          <w:tcPr/>
          <w:p>
            <w:pPr>
              <w:pStyle w:val="Compact"/>
              <w:jc w:val="right"/>
            </w:pPr>
            <w:r>
              <w:t xml:space="preserve">+0.70</w:t>
            </w:r>
          </w:p>
        </w:tc>
        <w:tc>
          <w:tcPr/>
          <w:p>
            <w:pPr>
              <w:pStyle w:val="Compact"/>
              <w:jc w:val="left"/>
            </w:pPr>
            <w:r>
              <w:rPr>
                <w:rFonts w:hint="eastAsia"/>
              </w:rPr>
              <w:t xml:space="preserve">商业库存承担初期缺口吸收功能</w:t>
            </w:r>
          </w:p>
        </w:tc>
      </w:tr>
      <w:tr>
        <w:tc>
          <w:tcPr/>
          <w:p>
            <w:pPr>
              <w:pStyle w:val="Compact"/>
              <w:jc w:val="left"/>
            </w:pPr>
            <w:r>
              <w:rPr>
                <w:rFonts w:hint="eastAsia"/>
              </w:rPr>
              <w:t xml:space="preserve">无需求收缩</w:t>
            </w:r>
          </w:p>
        </w:tc>
        <w:tc>
          <w:tcPr/>
          <w:p>
            <w:pPr>
              <w:pStyle w:val="Compact"/>
              <w:jc w:val="right"/>
            </w:pPr>
            <w:r>
              <w:t xml:space="preserve">4.51</w:t>
            </w:r>
          </w:p>
        </w:tc>
        <w:tc>
          <w:tcPr/>
          <w:p>
            <w:pPr>
              <w:pStyle w:val="Compact"/>
              <w:jc w:val="right"/>
            </w:pPr>
            <w:r>
              <w:t xml:space="preserve">+1.13</w:t>
            </w:r>
          </w:p>
        </w:tc>
        <w:tc>
          <w:tcPr/>
          <w:p>
            <w:pPr>
              <w:pStyle w:val="Compact"/>
              <w:jc w:val="left"/>
            </w:pPr>
            <w:r>
              <w:rPr>
                <w:rFonts w:hint="eastAsia"/>
              </w:rPr>
              <w:t xml:space="preserve">高油价下需求回落有助于解释低价回落段</w:t>
            </w:r>
          </w:p>
        </w:tc>
      </w:tr>
      <w:tr>
        <w:tc>
          <w:tcPr/>
          <w:p>
            <w:pPr>
              <w:pStyle w:val="Compact"/>
              <w:jc w:val="left"/>
            </w:pPr>
            <w:r>
              <w:rPr>
                <w:rFonts w:hint="eastAsia"/>
              </w:rPr>
              <w:t xml:space="preserve">无风险溢价</w:t>
            </w:r>
          </w:p>
        </w:tc>
        <w:tc>
          <w:tcPr/>
          <w:p>
            <w:pPr>
              <w:pStyle w:val="Compact"/>
              <w:jc w:val="right"/>
            </w:pPr>
            <w:r>
              <w:t xml:space="preserve">30.34</w:t>
            </w:r>
          </w:p>
        </w:tc>
        <w:tc>
          <w:tcPr/>
          <w:p>
            <w:pPr>
              <w:pStyle w:val="Compact"/>
              <w:jc w:val="right"/>
            </w:pPr>
            <w:r>
              <w:t xml:space="preserve">+26.96</w:t>
            </w:r>
          </w:p>
        </w:tc>
        <w:tc>
          <w:tcPr/>
          <w:p>
            <w:pPr>
              <w:pStyle w:val="Compact"/>
              <w:jc w:val="left"/>
            </w:pPr>
            <w:r>
              <w:rPr>
                <w:rFonts w:hint="eastAsia"/>
              </w:rPr>
              <w:t xml:space="preserve">风险定价是进入高位平台的核心通道</w:t>
            </w:r>
          </w:p>
        </w:tc>
      </w:tr>
      <w:tr>
        <w:tc>
          <w:tcPr/>
          <w:p>
            <w:pPr>
              <w:pStyle w:val="Compact"/>
              <w:jc w:val="left"/>
            </w:pPr>
            <w:r>
              <w:rPr>
                <w:rFonts w:hint="eastAsia"/>
              </w:rPr>
              <w:t xml:space="preserve">无缓冲折价</w:t>
            </w:r>
          </w:p>
        </w:tc>
        <w:tc>
          <w:tcPr/>
          <w:p>
            <w:pPr>
              <w:pStyle w:val="Compact"/>
              <w:jc w:val="right"/>
            </w:pPr>
            <w:r>
              <w:t xml:space="preserve">4.55</w:t>
            </w:r>
          </w:p>
        </w:tc>
        <w:tc>
          <w:tcPr/>
          <w:p>
            <w:pPr>
              <w:pStyle w:val="Compact"/>
              <w:jc w:val="right"/>
            </w:pPr>
            <w:r>
              <w:t xml:space="preserve">+1.17</w:t>
            </w:r>
          </w:p>
        </w:tc>
        <w:tc>
          <w:tcPr/>
          <w:p>
            <w:pPr>
              <w:pStyle w:val="Compact"/>
              <w:jc w:val="left"/>
            </w:pPr>
            <w:r>
              <w:rPr>
                <w:rFonts w:hint="eastAsia"/>
              </w:rPr>
              <w:t xml:space="preserve">缓冲机制被市场确认后会降低目标价格</w:t>
            </w:r>
          </w:p>
        </w:tc>
      </w:tr>
      <w:tr>
        <w:tc>
          <w:tcPr/>
          <w:p>
            <w:pPr>
              <w:pStyle w:val="Compact"/>
              <w:jc w:val="left"/>
            </w:pPr>
            <w:r>
              <w:rPr>
                <w:rFonts w:hint="eastAsia"/>
              </w:rPr>
              <w:t xml:space="preserve">无修复折价</w:t>
            </w:r>
          </w:p>
        </w:tc>
        <w:tc>
          <w:tcPr/>
          <w:p>
            <w:pPr>
              <w:pStyle w:val="Compact"/>
              <w:jc w:val="right"/>
            </w:pPr>
            <w:r>
              <w:t xml:space="preserve">7.13</w:t>
            </w:r>
          </w:p>
        </w:tc>
        <w:tc>
          <w:tcPr/>
          <w:p>
            <w:pPr>
              <w:pStyle w:val="Compact"/>
              <w:jc w:val="right"/>
            </w:pPr>
            <w:r>
              <w:t xml:space="preserve">+3.75</w:t>
            </w:r>
          </w:p>
        </w:tc>
        <w:tc>
          <w:tcPr/>
          <w:p>
            <w:pPr>
              <w:pStyle w:val="Compact"/>
              <w:jc w:val="left"/>
            </w:pPr>
            <w:r>
              <w:rPr>
                <w:rFonts w:hint="eastAsia"/>
              </w:rPr>
              <w:t xml:space="preserve">后期回落高度依赖预期修复机制</w:t>
            </w:r>
          </w:p>
        </w:tc>
      </w:tr>
    </w:tbl>
    <w:p>
      <w:pPr>
        <w:pStyle w:val="BodyText"/>
      </w:pPr>
      <w:r>
        <w:rPr>
          <w:rFonts w:hint="eastAsia"/>
        </w:rPr>
        <w:t xml:space="preserve">消融结果显示，物理缓冲和市场预期项功能不同：SPR、库存和需求收缩解释缺口吸收；风险溢价、缓冲确认和预期修复解释价格平台与回落。绕道运输在短窗口内边际影响较小，但会影响中长期剩余缺口和二次跳涨风险，故保留在长期递推中。</w:t>
      </w:r>
    </w:p>
    <w:p>
      <w:pPr>
        <w:pStyle w:val="TableCaption"/>
      </w:pPr>
      <w:r>
        <w:rPr>
          <w:rFonts w:hint="eastAsia"/>
        </w:rPr>
        <w:t xml:space="preserve">短期冲击模型有效性证据汇总</w:t>
      </w:r>
    </w:p>
    <w:tbl>
      <w:tblPr>
        <w:tblStyle w:val="Table"/>
        <w:tblW w:type="pct" w:w="1200"/>
        <w:tblLayout w:type="fixed"/>
        <w:tblLook w:firstRow="1" w:lastRow="0" w:firstColumn="0" w:lastColumn="0" w:noHBand="0" w:noVBand="0" w:val="0020"/>
        <w:tblCaption w:val="短期冲击模型有效性证据汇总"/>
      </w:tblPr>
      <w:tblGrid>
        <w:gridCol w:w="1900"/>
        <w:gridCol w:w="0"/>
        <w:gridCol w:w="0"/>
      </w:tblGrid>
      <w:tr>
        <w:trPr>
          <w:tblHeader w:val="on"/>
        </w:trPr>
        <w:tc>
          <w:tcPr/>
          <w:p>
            <w:pPr>
              <w:pStyle w:val="Compact"/>
              <w:jc w:val="left"/>
            </w:pPr>
            <w:r>
              <w:rPr>
                <w:rFonts w:hint="eastAsia"/>
              </w:rPr>
              <w:t xml:space="preserve">检验问题</w:t>
            </w:r>
          </w:p>
        </w:tc>
        <w:tc>
          <w:tcPr/>
          <w:p>
            <w:pPr>
              <w:pStyle w:val="Compact"/>
              <w:jc w:val="left"/>
            </w:pPr>
            <w:r>
              <w:rPr>
                <w:rFonts w:hint="eastAsia"/>
              </w:rPr>
              <w:t xml:space="preserve">主要证据</w:t>
            </w:r>
          </w:p>
        </w:tc>
        <w:tc>
          <w:tcPr/>
          <w:p>
            <w:pPr>
              <w:pStyle w:val="Compact"/>
              <w:jc w:val="left"/>
            </w:pPr>
            <w:r>
              <w:rPr>
                <w:rFonts w:hint="eastAsia"/>
              </w:rPr>
              <w:t xml:space="preserve">论文中的作用</w:t>
            </w:r>
          </w:p>
        </w:tc>
      </w:tr>
      <w:tr>
        <w:tc>
          <w:tcPr/>
          <w:p>
            <w:pPr>
              <w:pStyle w:val="Compact"/>
              <w:jc w:val="left"/>
            </w:pPr>
            <w:r>
              <w:rPr>
                <w:rFonts w:hint="eastAsia"/>
              </w:rPr>
              <w:t xml:space="preserve">是否优于简单基准</w:t>
            </w:r>
          </w:p>
        </w:tc>
        <w:tc>
          <w:tcPr/>
          <w:p>
            <w:pPr>
              <w:pStyle w:val="Compact"/>
              <w:jc w:val="left"/>
            </w:pPr>
            <w:r>
              <w:t xml:space="preserve">RMSE、MAE </w:t>
            </w:r>
            <w:r>
              <w:rPr>
                <w:rFonts w:hint="eastAsia"/>
              </w:rPr>
              <w:t xml:space="preserve">和</w:t>
            </w:r>
            <w:r>
              <w:t xml:space="preserve"> MAPE </w:t>
            </w:r>
            <w:r>
              <w:rPr>
                <w:rFonts w:hint="eastAsia"/>
              </w:rPr>
              <w:t xml:space="preserve">均优于朴素上一日、三日均值、漂移随机游走和滚动</w:t>
            </w:r>
            <w:r>
              <w:t xml:space="preserve"> ARIMA</w:t>
            </w:r>
          </w:p>
        </w:tc>
        <w:tc>
          <w:tcPr/>
          <w:p>
            <w:pPr>
              <w:pStyle w:val="Compact"/>
              <w:jc w:val="left"/>
            </w:pPr>
            <w:r>
              <w:rPr>
                <w:rFonts w:hint="eastAsia"/>
              </w:rPr>
              <w:t xml:space="preserve">说明模型不是仅复制油价惯性</w:t>
            </w:r>
          </w:p>
        </w:tc>
      </w:tr>
      <w:tr>
        <w:tc>
          <w:tcPr/>
          <w:p>
            <w:pPr>
              <w:pStyle w:val="Compact"/>
              <w:jc w:val="left"/>
            </w:pPr>
            <w:r>
              <w:rPr>
                <w:rFonts w:hint="eastAsia"/>
              </w:rPr>
              <w:t xml:space="preserve">是否存在滞后复制</w:t>
            </w:r>
          </w:p>
        </w:tc>
        <w:tc>
          <w:tcPr/>
          <w:p>
            <w:pPr>
              <w:pStyle w:val="Compact"/>
              <w:jc w:val="left"/>
            </w:pPr>
            <w:r>
              <w:rPr>
                <w:rFonts w:hint="eastAsia"/>
              </w:rPr>
              <w:t xml:space="preserve">原始位置平移检验最优，10</w:t>
            </w:r>
            <w:r>
              <w:t xml:space="preserve"> </w:t>
            </w:r>
            <w:r>
              <w:rPr>
                <w:rFonts w:hint="eastAsia"/>
              </w:rPr>
              <w:t xml:space="preserve">个大波动交易日中</w:t>
            </w:r>
            <w:r>
              <w:t xml:space="preserve"> 8 </w:t>
            </w:r>
            <w:r>
              <w:rPr>
                <w:rFonts w:hint="eastAsia"/>
              </w:rPr>
              <w:t xml:space="preserve">个同步、2</w:t>
            </w:r>
            <w:r>
              <w:t xml:space="preserve"> </w:t>
            </w:r>
            <w:r>
              <w:rPr>
                <w:rFonts w:hint="eastAsia"/>
              </w:rPr>
              <w:t xml:space="preserve">个提前</w:t>
            </w:r>
          </w:p>
        </w:tc>
        <w:tc>
          <w:tcPr/>
          <w:p>
            <w:pPr>
              <w:pStyle w:val="Compact"/>
              <w:jc w:val="left"/>
            </w:pPr>
            <w:r>
              <w:rPr>
                <w:rFonts w:hint="eastAsia"/>
              </w:rPr>
              <w:t xml:space="preserve">回应</w:t>
            </w:r>
            <w:r>
              <w:rPr>
                <w:rFonts w:hint="eastAsia"/>
              </w:rPr>
              <w:t xml:space="preserve">“马后炮曲线”</w:t>
            </w:r>
            <w:r>
              <w:rPr>
                <w:rFonts w:hint="eastAsia"/>
              </w:rPr>
              <w:t xml:space="preserve">风险</w:t>
            </w:r>
          </w:p>
        </w:tc>
      </w:tr>
      <w:tr>
        <w:tc>
          <w:tcPr/>
          <w:p>
            <w:pPr>
              <w:pStyle w:val="Compact"/>
              <w:jc w:val="left"/>
            </w:pPr>
            <w:r>
              <w:rPr>
                <w:rFonts w:hint="eastAsia"/>
              </w:rPr>
              <w:t xml:space="preserve">机制项是否必要</w:t>
            </w:r>
          </w:p>
        </w:tc>
        <w:tc>
          <w:tcPr/>
          <w:p>
            <w:pPr>
              <w:pStyle w:val="Compact"/>
              <w:jc w:val="left"/>
            </w:pPr>
            <w:r>
              <w:rPr>
                <w:rFonts w:hint="eastAsia"/>
              </w:rPr>
              <w:t xml:space="preserve">关闭风险、缓冲和预期修复通道会明显改变误差结构</w:t>
            </w:r>
          </w:p>
        </w:tc>
        <w:tc>
          <w:tcPr/>
          <w:p>
            <w:pPr>
              <w:pStyle w:val="Compact"/>
              <w:jc w:val="left"/>
            </w:pPr>
            <w:r>
              <w:rPr>
                <w:rFonts w:hint="eastAsia"/>
              </w:rPr>
              <w:t xml:space="preserve">说明扩展项具有边际解释贡献</w:t>
            </w:r>
          </w:p>
        </w:tc>
      </w:tr>
      <w:tr>
        <w:tc>
          <w:tcPr/>
          <w:p>
            <w:pPr>
              <w:pStyle w:val="Compact"/>
              <w:jc w:val="left"/>
            </w:pPr>
            <w:r>
              <w:rPr>
                <w:rFonts w:hint="eastAsia"/>
              </w:rPr>
              <w:t xml:space="preserve">参数是否过度依赖单点</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扰动中，96.6%</w:t>
            </w:r>
            <w:r>
              <w:t xml:space="preserve"> </w:t>
            </w:r>
            <w:r>
              <w:rPr>
                <w:rFonts w:hint="eastAsia"/>
              </w:rPr>
              <w:t xml:space="preserve">的峰值仍在</w:t>
            </w:r>
            <w:r>
              <w:t xml:space="preserve"> 105–125 </w:t>
            </w:r>
            <w:r>
              <w:rPr>
                <w:rFonts w:hint="eastAsia"/>
              </w:rPr>
              <w:t xml:space="preserve">美元/桶；800</w:t>
            </w:r>
            <w:r>
              <w:t xml:space="preserve"> </w:t>
            </w:r>
            <w:r>
              <w:rPr>
                <w:rFonts w:hint="eastAsia"/>
              </w:rPr>
              <w:t xml:space="preserve">组局部扰动通过率为</w:t>
            </w:r>
            <w:r>
              <w:t xml:space="preserve"> 99.4%</w:t>
            </w:r>
          </w:p>
        </w:tc>
        <w:tc>
          <w:tcPr/>
          <w:p>
            <w:pPr>
              <w:pStyle w:val="Compact"/>
              <w:jc w:val="left"/>
            </w:pPr>
            <w:r>
              <w:rPr>
                <w:rFonts w:hint="eastAsia"/>
              </w:rPr>
              <w:t xml:space="preserve">支撑参数邻域稳定性</w:t>
            </w:r>
          </w:p>
        </w:tc>
      </w:tr>
      <w:tr>
        <w:tc>
          <w:tcPr/>
          <w:p>
            <w:pPr>
              <w:pStyle w:val="Compact"/>
              <w:jc w:val="left"/>
            </w:pPr>
            <w:r>
              <w:rPr>
                <w:rFonts w:hint="eastAsia"/>
              </w:rPr>
              <w:t xml:space="preserve">结构边界是否清楚</w:t>
            </w:r>
          </w:p>
        </w:tc>
        <w:tc>
          <w:tcPr/>
          <w:p>
            <w:pPr>
              <w:pStyle w:val="Compact"/>
              <w:jc w:val="left"/>
            </w:pPr>
            <w:r>
              <w:rPr>
                <w:rFonts w:hint="eastAsia"/>
              </w:rPr>
              <w:t xml:space="preserve">强制</w:t>
            </w:r>
            <w:r>
              <w:t xml:space="preserve"> </w:t>
            </w:r>
            <m:oMath>
              <m:r>
                <m:t>ϕ</m:t>
              </m:r>
              <m:r>
                <m:rPr>
                  <m:sty m:val="p"/>
                </m:rPr>
                <m:t>=</m:t>
              </m:r>
              <m:r>
                <m:t>1</m:t>
              </m:r>
            </m:oMath>
            <w:r>
              <w:t xml:space="preserve"> </w:t>
            </w:r>
            <w:r>
              <w:rPr>
                <w:rFonts w:hint="eastAsia"/>
              </w:rPr>
              <w:t xml:space="preserve">时</w:t>
            </w:r>
            <w:r>
              <w:t xml:space="preserve"> 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美元/桶；代码未设置</w:t>
            </w:r>
            <w:r>
              <w:t xml:space="preserve"> 120 </w:t>
            </w:r>
            <w:r>
              <w:rPr>
                <w:rFonts w:hint="eastAsia"/>
              </w:rPr>
              <w:t xml:space="preserve">美元硬上限</w:t>
            </w:r>
          </w:p>
        </w:tc>
        <w:tc>
          <w:tcPr/>
          <w:p>
            <w:pPr>
              <w:pStyle w:val="Compact"/>
              <w:jc w:val="left"/>
            </w:pPr>
            <w:r>
              <w:rPr>
                <w:rFonts w:hint="eastAsia"/>
              </w:rPr>
              <w:t xml:space="preserve">区分题面低弹性反事实与期货市场折价传导</w:t>
            </w:r>
          </w:p>
        </w:tc>
      </w:tr>
    </w:tbl>
    <w:p>
      <w:pPr>
        <w:pStyle w:val="BodyText"/>
      </w:pPr>
      <w:r>
        <w:rPr>
          <w:rFonts w:hint="eastAsia"/>
        </w:rPr>
        <w:t xml:space="preserve">历史高波动窗口边界检验进一步表明，固定霍尔木兹机制参数并套用到</w:t>
      </w:r>
      <w:r>
        <w:t xml:space="preserve"> 2020 </w:t>
      </w:r>
      <w:r>
        <w:rPr>
          <w:rFonts w:hint="eastAsia"/>
        </w:rPr>
        <w:t xml:space="preserve">年、2022</w:t>
      </w:r>
      <w:r>
        <w:t xml:space="preserve"> </w:t>
      </w:r>
      <w:r>
        <w:rPr>
          <w:rFonts w:hint="eastAsia"/>
        </w:rPr>
        <w:t xml:space="preserve">年等非霍尔木兹窗口时，模型通常弱于朴素上一日基准。因此，本模型适用于霍尔木兹封锁场景下的条件路径解释，不作为通用油价交易预测器。</w:t>
      </w:r>
    </w:p>
    <w:p>
      <w:pPr>
        <w:pStyle w:val="BodyText"/>
      </w:pPr>
      <w:r>
        <w:rPr>
          <w:rFonts w:hint="eastAsia"/>
        </w:rPr>
        <w:t xml:space="preserve">综上，短期参数来自题面约束与冲突窗口校准；模型优于核心基准，关键机制在消融中具有边际贡献，参数邻域保持稳定。完整诊断图、R</w:t>
      </w:r>
      <w:r>
        <w:t xml:space="preserve"> </w:t>
      </w:r>
      <w:r>
        <w:rPr>
          <w:rFonts w:hint="eastAsia"/>
        </w:rPr>
        <w:t xml:space="preserve">复核和代码材料见附录。</w:t>
      </w:r>
    </w:p>
    <w:bookmarkEnd w:id="47"/>
    <w:bookmarkEnd w:id="48"/>
    <w:bookmarkStart w:id="66" w:name="中长期油价调节模型60180-天"/>
    <w:p>
      <w:pPr>
        <w:pStyle w:val="Heading2"/>
      </w:pPr>
      <w:r>
        <w:rPr>
          <w:rFonts w:hint="eastAsia"/>
        </w:rPr>
        <w:t xml:space="preserve">中长期油价调节模型（60–180</w:t>
      </w:r>
      <w:r>
        <w:t xml:space="preserve"> </w:t>
      </w:r>
      <w:r>
        <w:rPr>
          <w:rFonts w:hint="eastAsia"/>
        </w:rPr>
        <w:t xml:space="preserve">天）</w:t>
      </w:r>
    </w:p>
    <w:bookmarkStart w:id="49" w:name="情景设定"/>
    <w:p>
      <w:pPr>
        <w:pStyle w:val="Heading3"/>
      </w:pPr>
      <w:r>
        <w:rPr>
          <w:rFonts w:hint="eastAsia"/>
        </w:rPr>
        <w:t xml:space="preserve">情景设定</w:t>
      </w:r>
    </w:p>
    <w:p>
      <w:pPr>
        <w:pStyle w:val="FirstParagraph"/>
      </w:pPr>
      <w:r>
        <w:rPr>
          <w:rFonts w:hint="eastAsia"/>
        </w:rPr>
        <w:t xml:space="preserve">中长期油价调节模型对应赛题任务</w:t>
      </w:r>
      <w:r>
        <w:t xml:space="preserve"> </w:t>
      </w:r>
      <w:r>
        <w:rPr>
          <w:rFonts w:hint="eastAsia"/>
        </w:rPr>
        <w:t xml:space="preserve">2。本文在短期冲击模型的综合最优参数基础上构建乐观、中性和悲观三种情景。赛题附件只提供到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的表述：三情景曲线表示条件中心路径，可信度由机制一致性、官方外生数据校验、敏感性分析、蒙特卡洛概率区间和状态转移扰动共同评价。</w:t>
      </w:r>
    </w:p>
    <w:p>
      <w:pPr>
        <w:pStyle w:val="BodyText"/>
      </w:pPr>
      <w:r>
        <w:rPr>
          <w:rFonts w:hint="eastAsia"/>
        </w:rPr>
        <w:t xml:space="preserve">短期冲击模型和中长期油价调节模型并非两套互不相干的模型。短期部分使用同一套物理缺口和市场价格形成递推式，回答封锁初期价格平台如何形成；中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中长期油价调节模型从短期冲击模型延伸而来，但在四个方面做了时间尺度调整：</w:t>
      </w:r>
    </w:p>
    <w:p>
      <w:pPr>
        <w:numPr>
          <w:ilvl w:val="0"/>
          <w:numId w:val="1005"/>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5"/>
        </w:numPr>
      </w:pPr>
      <w:r>
        <w:rPr>
          <w:rFonts w:hint="eastAsia"/>
        </w:rPr>
        <w:t xml:space="preserve">缓冲侧：SPR、商业库存和绕道运输继续发挥作用，但其边际能力随时间下降或受运输瓶颈约束。</w:t>
      </w:r>
    </w:p>
    <w:p>
      <w:pPr>
        <w:numPr>
          <w:ilvl w:val="0"/>
          <w:numId w:val="1005"/>
        </w:numPr>
      </w:pPr>
      <w:r>
        <w:rPr>
          <w:rFonts w:hint="eastAsia"/>
        </w:rPr>
        <w:t xml:space="preserve">需求侧：长期需求价格弹性高于短期弹性，反映高油价持续后消费、生产和替代能源调整更充分。</w:t>
      </w:r>
    </w:p>
    <w:p>
      <w:pPr>
        <w:numPr>
          <w:ilvl w:val="0"/>
          <w:numId w:val="1005"/>
        </w:numPr>
      </w:pPr>
      <w:r>
        <w:rPr>
          <w:rFonts w:hint="eastAsia"/>
        </w:rPr>
        <w:t xml:space="preserve">风险侧：恐慌溢价逐步衰减，不确定性溢价拆分为前期冲击不确定性和持续封锁制度风险，使长期价格由物理恢复与制度风险共同决定。</w:t>
      </w:r>
    </w:p>
    <w:p>
      <w:pPr>
        <w:pStyle w:val="FirstParagraph"/>
      </w:pPr>
      <w:r>
        <w:rPr>
          <w:rFonts w:hint="eastAsia"/>
        </w:rPr>
        <w:t xml:space="preserve">为避免短期弹性与长期弹性之间出现突变，本文采用平滑过渡函数刻画需求调整过程。设题面短期弹性为</w:t>
      </w:r>
      <w:r>
        <w:t xml:space="preserve"> </w:t>
      </w:r>
      <m:oMath>
        <m:sSub>
          <m:e>
            <m:r>
              <m:t>ε</m:t>
            </m:r>
          </m:e>
          <m:sub>
            <m:r>
              <m:t>s</m:t>
            </m:r>
          </m:sub>
        </m:sSub>
        <m:r>
          <m:rPr>
            <m:sty m:val="p"/>
          </m:rPr>
          <m:t>=</m:t>
        </m:r>
        <m:r>
          <m:rPr>
            <m:sty m:val="p"/>
          </m:rPr>
          <m:t>−</m:t>
        </m:r>
        <m:r>
          <m:t>0.05</m:t>
        </m:r>
      </m:oMath>
      <w:r>
        <w:rPr>
          <w:rFonts w:hint="eastAsia"/>
        </w:rPr>
        <w:t xml:space="preserve">，长期情景目标弹性为</w:t>
      </w:r>
      <w:r>
        <w:t xml:space="preserve"> </w:t>
      </w:r>
      <m:oMath>
        <m:sSub>
          <m:e>
            <m:r>
              <m:t>ε</m:t>
            </m:r>
          </m:e>
          <m:sub>
            <m:r>
              <m:rPr>
                <m:sty m:val="p"/>
              </m:rPr>
              <m:t>∞</m:t>
            </m:r>
          </m:sub>
        </m:sSub>
      </m:oMath>
      <w:r>
        <w:rPr>
          <w:rFonts w:hint="eastAsia"/>
        </w:rPr>
        <w:t xml:space="preserve">，冲击后的第</w:t>
      </w:r>
      <w:r>
        <w:t xml:space="preserve"> </w:t>
      </w:r>
      <m:oMath>
        <m:sSub>
          <m:e>
            <m:r>
              <m:t>t</m:t>
            </m:r>
          </m:e>
          <m:sub>
            <m:r>
              <m:t>s</m:t>
            </m:r>
          </m:sub>
        </m:sSub>
        <m:r>
          <m:rPr>
            <m:sty m:val="p"/>
          </m:rPr>
          <m:t>=</m:t>
        </m:r>
        <m:r>
          <m:t>60</m:t>
        </m:r>
      </m:oMath>
      <w:r>
        <w:t xml:space="preserve"> </w:t>
      </w:r>
      <w:r>
        <w:rPr>
          <w:rFonts w:hint="eastAsia"/>
        </w:rPr>
        <w:t xml:space="preserve">天作为长期外推起点，则</w:t>
      </w:r>
    </w:p>
    <w:p>
      <w:pPr>
        <w:pStyle w:val="BodyText"/>
      </w:pPr>
      <m:oMathPara>
        <m:oMathParaPr>
          <m:jc m:val="center"/>
        </m:oMathParaPr>
        <m:oMath>
          <m:sSub>
            <m:e>
              <m:r>
                <m:t>ε</m:t>
              </m:r>
            </m:e>
            <m:sub>
              <m:r>
                <m:t>t</m:t>
              </m:r>
            </m:sub>
          </m:sSub>
          <m:r>
            <m:rPr>
              <m:sty m:val="p"/>
            </m:rPr>
            <m:t>=</m:t>
          </m:r>
          <m:sSub>
            <m:e>
              <m:r>
                <m:t>ε</m:t>
              </m:r>
            </m:e>
            <m:sub>
              <m:r>
                <m:t>s</m:t>
              </m:r>
            </m:sub>
          </m:sSub>
          <m:r>
            <m:rPr>
              <m:sty m:val="p"/>
            </m:rPr>
            <m:t>+</m:t>
          </m:r>
          <m:d>
            <m:dPr>
              <m:begChr m:val="("/>
              <m:sepChr m:val=""/>
              <m:endChr m:val=")"/>
              <m:grow/>
            </m:dPr>
            <m:e>
              <m:sSub>
                <m:e>
                  <m:r>
                    <m:t>ε</m:t>
                  </m:r>
                </m:e>
                <m:sub>
                  <m:r>
                    <m:rPr>
                      <m:sty m:val="p"/>
                    </m:rPr>
                    <m:t>∞</m:t>
                  </m:r>
                </m:sub>
              </m:sSub>
              <m:r>
                <m:rPr>
                  <m:sty m:val="p"/>
                </m:rPr>
                <m:t>−</m:t>
              </m:r>
              <m:sSub>
                <m:e>
                  <m:r>
                    <m:t>ε</m:t>
                  </m:r>
                </m:e>
                <m:sub>
                  <m:r>
                    <m:t>s</m:t>
                  </m:r>
                </m:sub>
              </m:sSub>
            </m:e>
          </m:d>
          <m:d>
            <m:dPr>
              <m:begChr m:val="["/>
              <m:sepChr m:val=""/>
              <m:endChr m:val="]"/>
              <m:grow/>
            </m:dPr>
            <m:e>
              <m:r>
                <m:t>1</m:t>
              </m:r>
              <m:r>
                <m:rPr>
                  <m:sty m:val="p"/>
                </m:rPr>
                <m:t>−</m:t>
              </m:r>
              <m:r>
                <m:rPr>
                  <m:sty m:val="p"/>
                </m:rPr>
                <m:t>exp</m:t>
              </m:r>
              <m:d>
                <m:dPr>
                  <m:begChr m:val="("/>
                  <m:sepChr m:val=""/>
                  <m:endChr m:val=")"/>
                  <m:grow/>
                </m:dPr>
                <m:e>
                  <m:r>
                    <m:rPr>
                      <m:sty m:val="p"/>
                    </m:rPr>
                    <m:t>−</m:t>
                  </m:r>
                  <m:sSub>
                    <m:e>
                      <m:r>
                        <m:t>α</m:t>
                      </m:r>
                    </m:e>
                    <m:sub>
                      <m:r>
                        <m:t>ε</m:t>
                      </m:r>
                    </m:sub>
                  </m:sSub>
                  <m:r>
                    <m:rPr>
                      <m:sty m:val="p"/>
                    </m:rPr>
                    <m:t>max</m:t>
                  </m:r>
                  <m:r>
                    <m:rPr>
                      <m:sty m:val="p"/>
                    </m:rPr>
                    <m:t>(</m:t>
                  </m:r>
                  <m:r>
                    <m:t>t</m:t>
                  </m:r>
                  <m:r>
                    <m:rPr>
                      <m:sty m:val="p"/>
                    </m:rPr>
                    <m:t>−</m:t>
                  </m:r>
                  <m:sSub>
                    <m:e>
                      <m:r>
                        <m:t>t</m:t>
                      </m:r>
                    </m:e>
                    <m:sub>
                      <m:r>
                        <m:t>s</m:t>
                      </m:r>
                    </m:sub>
                  </m:sSub>
                  <m:r>
                    <m:rPr>
                      <m:sty m:val="p"/>
                    </m:rPr>
                    <m:t>,</m:t>
                  </m:r>
                  <m:r>
                    <m:t>0</m:t>
                  </m:r>
                  <m:r>
                    <m:rPr>
                      <m:sty m:val="p"/>
                    </m:rPr>
                    <m:t>)</m:t>
                  </m:r>
                </m:e>
              </m:d>
            </m:e>
          </m:d>
          <m:r>
            <m:rPr>
              <m:sty m:val="p"/>
            </m:rPr>
            <m:t>,</m:t>
          </m:r>
          <m:r>
            <m:t> </m:t>
          </m:r>
          <m:r>
            <m:t>t</m:t>
          </m:r>
          <m:r>
            <m:rPr>
              <m:sty m:val="p"/>
            </m:rPr>
            <m:t>≥</m:t>
          </m:r>
          <m:r>
            <m:t>0</m:t>
          </m:r>
          <m:r>
            <m:rPr>
              <m:sty m:val="p"/>
            </m:rPr>
            <m:t>.</m:t>
          </m:r>
        </m:oMath>
      </m:oMathPara>
    </w:p>
    <w:p>
      <w:pPr>
        <w:pStyle w:val="FirstParagraph"/>
      </w:pPr>
      <w:r>
        <w:rPr>
          <w:rFonts w:hint="eastAsia"/>
        </w:rPr>
        <w:t xml:space="preserve">其中</w:t>
      </w:r>
      <w:r>
        <w:t xml:space="preserve"> </w:t>
      </w:r>
      <m:oMath>
        <m:sSub>
          <m:e>
            <m:r>
              <m:t>α</m:t>
            </m:r>
          </m:e>
          <m:sub>
            <m:r>
              <m:t>ε</m:t>
            </m:r>
          </m:sub>
        </m:sSub>
      </m:oMath>
      <w:r>
        <w:t xml:space="preserve"> </w:t>
      </w:r>
      <w:r>
        <w:rPr>
          <w:rFonts w:hint="eastAsia"/>
        </w:rPr>
        <w:t xml:space="preserve">为需求调整速度。该式表示：封锁初期消费与生产难以及时替代，弹性接近题面低弹性；高油价持续后，炼厂采购、交通消费、工业用能和替代运输逐渐调整，弹性绝对值向长期情景值平滑靠近。因此，表中长期弹性不是在第</w:t>
      </w:r>
      <w:r>
        <w:t xml:space="preserve"> 60 </w:t>
      </w:r>
      <w:r>
        <w:rPr>
          <w:rFonts w:hint="eastAsia"/>
        </w:rPr>
        <w:t xml:space="preserve">天突然替换短期弹性，而是作为</w:t>
      </w:r>
      <w:r>
        <w:t xml:space="preserve"> </w:t>
      </w:r>
      <m:oMath>
        <m:sSub>
          <m:e>
            <m:r>
              <m:t>ε</m:t>
            </m:r>
          </m:e>
          <m:sub>
            <m:r>
              <m:t>t</m:t>
            </m:r>
          </m:sub>
        </m:sSub>
      </m:oMath>
      <w:r>
        <w:t xml:space="preserve"> </w:t>
      </w:r>
      <w:r>
        <w:rPr>
          <w:rFonts w:hint="eastAsia"/>
        </w:rPr>
        <w:t xml:space="preserve">的渐近目标进入递推。</w:t>
      </w:r>
    </w:p>
    <w:p>
      <w:pPr>
        <w:pStyle w:val="BodyText"/>
      </w:pPr>
      <w:r>
        <w:rPr>
          <w:rFonts w:hint="eastAsia"/>
        </w:rPr>
        <w:t xml:space="preserve">同时，长期外推不再永久使用战前价格作为所有压力判断的唯一锚点。设</w:t>
      </w:r>
      <w:r>
        <w:t xml:space="preserve"> </w:t>
      </w:r>
      <m:oMath>
        <m:sSubSup>
          <m:e>
            <m:r>
              <m:t>P</m:t>
            </m:r>
          </m:e>
          <m:sub>
            <m:r>
              <m:t>t</m:t>
            </m:r>
          </m:sub>
          <m:sup>
            <m:r>
              <m:rPr>
                <m:sty m:val="p"/>
              </m:rPr>
              <m:t>r</m:t>
            </m:r>
            <m:r>
              <m:rPr>
                <m:sty m:val="p"/>
              </m:rPr>
              <m:t>e</m:t>
            </m:r>
            <m:r>
              <m:rPr>
                <m:sty m:val="p"/>
              </m:rPr>
              <m:t>f</m:t>
            </m:r>
          </m:sup>
        </m:sSubSup>
      </m:oMath>
      <w:r>
        <w:t xml:space="preserve"> </w:t>
      </w:r>
      <w:r>
        <w:rPr>
          <w:rFonts w:hint="eastAsia"/>
        </w:rPr>
        <w:t xml:space="preserve">为市场适应性价格锚，60</w:t>
      </w:r>
      <w:r>
        <w:t xml:space="preserve"> </w:t>
      </w:r>
      <w:r>
        <w:rPr>
          <w:rFonts w:hint="eastAsia"/>
        </w:rPr>
        <w:t xml:space="preserve">天后若高油价持续，该锚点按较小速度向上一期价格移动：</w:t>
      </w:r>
    </w:p>
    <w:p>
      <w:pPr>
        <w:pStyle w:val="BodyText"/>
      </w:pPr>
      <m:oMathPara>
        <m:oMathParaPr>
          <m:jc m:val="center"/>
        </m:oMathParaPr>
        <m:oMath>
          <m:sSubSup>
            <m:e>
              <m:r>
                <m:t>P</m:t>
              </m:r>
            </m:e>
            <m:sub>
              <m:r>
                <m:t>t</m:t>
              </m:r>
            </m:sub>
            <m:sup>
              <m:r>
                <m:rPr>
                  <m:sty m:val="p"/>
                </m:rPr>
                <m:t>r</m:t>
              </m:r>
              <m:r>
                <m:rPr>
                  <m:sty m:val="p"/>
                </m:rPr>
                <m:t>e</m:t>
              </m:r>
              <m:r>
                <m:rPr>
                  <m:sty m:val="p"/>
                </m:rPr>
                <m:t>f</m:t>
              </m:r>
            </m:sup>
          </m:sSubSup>
          <m:r>
            <m:rPr>
              <m:sty m:val="p"/>
            </m:rPr>
            <m:t>=</m:t>
          </m:r>
          <m:sSubSup>
            <m:e>
              <m:r>
                <m:t>P</m:t>
              </m:r>
            </m:e>
            <m:sub>
              <m:r>
                <m:t>t</m:t>
              </m:r>
              <m:r>
                <m:rPr>
                  <m:sty m:val="p"/>
                </m:rPr>
                <m:t>−</m:t>
              </m:r>
              <m:r>
                <m:t>1</m:t>
              </m:r>
            </m:sub>
            <m:sup>
              <m:r>
                <m:rPr>
                  <m:sty m:val="p"/>
                </m:rPr>
                <m:t>r</m:t>
              </m:r>
              <m:r>
                <m:rPr>
                  <m:sty m:val="p"/>
                </m:rPr>
                <m:t>e</m:t>
              </m:r>
              <m:r>
                <m:rPr>
                  <m:sty m:val="p"/>
                </m:rPr>
                <m:t>f</m:t>
              </m:r>
            </m:sup>
          </m:sSubSup>
          <m:r>
            <m:rPr>
              <m:sty m:val="p"/>
            </m:rPr>
            <m:t>+</m:t>
          </m:r>
          <m:sSub>
            <m:e>
              <m:r>
                <m:t>α</m:t>
              </m:r>
            </m:e>
            <m:sub>
              <m:r>
                <m:t>P</m:t>
              </m:r>
            </m:sub>
          </m:sSub>
          <m:r>
            <m:rPr>
              <m:sty m:val="p"/>
            </m:rPr>
            <m:t>(</m:t>
          </m:r>
          <m:sSub>
            <m:e>
              <m:acc>
                <m:accPr>
                  <m:chr m:val="̂"/>
                </m:accPr>
                <m:e>
                  <m:r>
                    <m:t>P</m:t>
                  </m:r>
                </m:e>
              </m:acc>
            </m:e>
            <m:sub>
              <m:r>
                <m:t>t</m:t>
              </m:r>
              <m:r>
                <m:rPr>
                  <m:sty m:val="p"/>
                </m:rPr>
                <m:t>−</m:t>
              </m:r>
              <m:r>
                <m:t>1</m:t>
              </m:r>
            </m:sub>
          </m:sSub>
          <m:r>
            <m:rPr>
              <m:sty m:val="p"/>
            </m:rPr>
            <m:t>−</m:t>
          </m:r>
          <m:sSubSup>
            <m:e>
              <m:r>
                <m:t>P</m:t>
              </m:r>
            </m:e>
            <m:sub>
              <m:r>
                <m:t>t</m:t>
              </m:r>
              <m:r>
                <m:rPr>
                  <m:sty m:val="p"/>
                </m:rPr>
                <m:t>−</m:t>
              </m:r>
              <m:r>
                <m:t>1</m:t>
              </m:r>
            </m:sub>
            <m:sup>
              <m:r>
                <m:rPr>
                  <m:sty m:val="p"/>
                </m:rPr>
                <m:t>r</m:t>
              </m:r>
              <m:r>
                <m:rPr>
                  <m:sty m:val="p"/>
                </m:rPr>
                <m:t>e</m:t>
              </m:r>
              <m:r>
                <m:rPr>
                  <m:sty m:val="p"/>
                </m:rPr>
                <m:t>f</m:t>
              </m:r>
            </m:sup>
          </m:sSubSup>
          <m:r>
            <m:rPr>
              <m:sty m:val="p"/>
            </m:rPr>
            <m:t>)</m:t>
          </m:r>
          <m:r>
            <m:rPr>
              <m:sty m:val="p"/>
            </m:rPr>
            <m:t>,</m:t>
          </m:r>
          <m:r>
            <m:t> </m:t>
          </m:r>
          <m:sSub>
            <m:e>
              <m:r>
                <m:t>α</m:t>
              </m:r>
            </m:e>
            <m:sub>
              <m:r>
                <m:t>P</m:t>
              </m:r>
            </m:sub>
          </m:sSub>
          <m:r>
            <m:rPr>
              <m:sty m:val="p"/>
            </m:rPr>
            <m:t>=</m:t>
          </m:r>
          <m:r>
            <m:t>0.035</m:t>
          </m:r>
          <m:r>
            <m:rPr>
              <m:sty m:val="p"/>
            </m:rPr>
            <m:t>.</m:t>
          </m:r>
        </m:oMath>
      </m:oMathPara>
    </w:p>
    <w:p>
      <w:pPr>
        <w:pStyle w:val="FirstParagraph"/>
      </w:pPr>
      <w:r>
        <w:rPr>
          <w:rFonts w:hint="eastAsia"/>
        </w:rPr>
        <w:t xml:space="preserve">需求价格比、SPR</w:t>
      </w:r>
      <w:r>
        <w:t xml:space="preserve"> </w:t>
      </w:r>
      <w:r>
        <w:rPr>
          <w:rFonts w:hint="eastAsia"/>
        </w:rPr>
        <w:t xml:space="preserve">价格压力、绕道利用率和商业库存释放压力均使用</w:t>
      </w:r>
      <w:r>
        <w:t xml:space="preserve"> </w:t>
      </w:r>
      <m:oMath>
        <m:sSubSup>
          <m:e>
            <m:r>
              <m:t>P</m:t>
            </m:r>
          </m:e>
          <m:sub>
            <m:r>
              <m:t>t</m:t>
            </m:r>
          </m:sub>
          <m:sup>
            <m:r>
              <m:rPr>
                <m:sty m:val="p"/>
              </m:rPr>
              <m:t>r</m:t>
            </m:r>
            <m:r>
              <m:rPr>
                <m:sty m:val="p"/>
              </m:rPr>
              <m:t>e</m:t>
            </m:r>
            <m:r>
              <m:rPr>
                <m:sty m:val="p"/>
              </m:rPr>
              <m:t>f</m:t>
            </m:r>
          </m:sup>
        </m:sSubSup>
      </m:oMath>
      <w:r>
        <w:t xml:space="preserve"> </w:t>
      </w:r>
      <w:r>
        <w:rPr>
          <w:rFonts w:hint="eastAsia"/>
        </w:rPr>
        <w:t xml:space="preserve">计算；目标价格水平仍以冲击前</w:t>
      </w:r>
      <w:r>
        <w:t xml:space="preserve"> </w:t>
      </w:r>
      <m:oMath>
        <m:sSub>
          <m:e>
            <m:r>
              <m:t>P</m:t>
            </m:r>
          </m:e>
          <m:sub>
            <m:r>
              <m:t>0</m:t>
            </m:r>
          </m:sub>
        </m:sSub>
      </m:oMath>
      <w:r>
        <w:t xml:space="preserve"> </w:t>
      </w:r>
      <w:r>
        <w:rPr>
          <w:rFonts w:hint="eastAsia"/>
        </w:rPr>
        <w:t xml:space="preserve">为基准。这样既保留赛题的冲击起点，又避免</w:t>
      </w:r>
      <w:r>
        <w:t xml:space="preserve"> 60–180 </w:t>
      </w:r>
      <w:r>
        <w:rPr>
          <w:rFonts w:hint="eastAsia"/>
        </w:rPr>
        <w:t xml:space="preserve">天内市场永远被锁定在战前心理锚上。</w:t>
      </w:r>
    </w:p>
    <w:p>
      <w:pPr>
        <w:pStyle w:val="BodyText"/>
      </w:pPr>
      <w:r>
        <w:rPr>
          <w:rFonts w:hint="eastAsia"/>
        </w:rPr>
        <w:t xml:space="preserve">记中长期外推期第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。在短期冲击模型的基础上，中长期供需缺口可写为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为其他产油国增产或替代供应增量。考虑到现实中的政策反馈机制，本文设置</w:t>
      </w:r>
      <w:r>
        <w:t xml:space="preserve"> SPR </w:t>
      </w:r>
      <w:r>
        <w:rPr>
          <w:rFonts w:hint="eastAsia"/>
        </w:rPr>
        <w:t xml:space="preserve">的实际释放量为缺口与价格压力的自适应函数：</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为长期持续后的政策收缩系数。二者定义为</w:t>
      </w:r>
    </w:p>
    <w:p>
      <w:pPr>
        <w:pStyle w:val="BodyText"/>
      </w:pPr>
      <m:oMathPara>
        <m:oMathParaPr>
          <m:jc m:val="center"/>
        </m:oMathParaPr>
        <m:oMath>
          <m:sSub>
            <m:e>
              <m:r>
                <m:t>λ</m:t>
              </m:r>
            </m:e>
            <m:sub>
              <m:r>
                <m:t>t</m:t>
              </m:r>
            </m:sub>
          </m:sSub>
          <m:r>
            <m:rPr>
              <m:sty m:val="p"/>
            </m:rPr>
            <m:t>=</m:t>
          </m:r>
          <m:r>
            <m:rPr>
              <m:sty m:val="p"/>
            </m:rPr>
            <m:t>c</m:t>
          </m:r>
          <m:r>
            <m:rPr>
              <m:sty m:val="p"/>
            </m:rPr>
            <m:t>l</m:t>
          </m:r>
          <m:r>
            <m:rPr>
              <m:sty m:val="p"/>
            </m:rPr>
            <m:t>i</m:t>
          </m:r>
          <m:r>
            <m:rPr>
              <m:sty m:val="p"/>
            </m:rPr>
            <m:t>p</m:t>
          </m:r>
          <m:d>
            <m:dPr>
              <m:begChr m:val="["/>
              <m:sepChr m:val=""/>
              <m:endChr m:val="]"/>
              <m:grow/>
            </m:dPr>
            <m:e>
              <m:sSub>
                <m:e>
                  <m:r>
                    <m:t>λ</m:t>
                  </m:r>
                </m:e>
                <m:sub>
                  <m:r>
                    <m:t>0</m:t>
                  </m:r>
                </m:sub>
              </m:sSub>
              <m:r>
                <m:rPr>
                  <m:sty m:val="p"/>
                </m:rPr>
                <m:t>+</m:t>
              </m:r>
              <m:sSub>
                <m:e>
                  <m:r>
                    <m:t>λ</m:t>
                  </m:r>
                </m:e>
                <m:sub>
                  <m:r>
                    <m:t>G</m:t>
                  </m:r>
                </m:sub>
              </m:sSub>
              <m:f>
                <m:fPr>
                  <m:type m:val="bar"/>
                </m:fPr>
                <m:num>
                  <m:r>
                    <m:rPr>
                      <m:sty m:val="p"/>
                    </m:rPr>
                    <m:t>max</m:t>
                  </m:r>
                  <m:r>
                    <m:rPr>
                      <m:sty m:val="p"/>
                    </m:rPr>
                    <m:t>(</m:t>
                  </m:r>
                  <m:sSub>
                    <m:e>
                      <m:r>
                        <m:t>G</m:t>
                      </m:r>
                    </m:e>
                    <m:sub>
                      <m:r>
                        <m:t>t</m:t>
                      </m:r>
                      <m:r>
                        <m:rPr>
                          <m:sty m:val="p"/>
                        </m:rPr>
                        <m:t>,</m:t>
                      </m:r>
                      <m:r>
                        <m:rPr>
                          <m:sty m:val="p"/>
                        </m:rPr>
                        <m:t>p</m:t>
                      </m:r>
                      <m:r>
                        <m:rPr>
                          <m:sty m:val="p"/>
                        </m:rPr>
                        <m:t>r</m:t>
                      </m:r>
                      <m:r>
                        <m:rPr>
                          <m:sty m:val="p"/>
                        </m:rPr>
                        <m:t>e</m:t>
                      </m:r>
                    </m:sub>
                  </m:sSub>
                  <m:r>
                    <m:rPr>
                      <m:sty m:val="p"/>
                    </m:rPr>
                    <m:t>,</m:t>
                  </m:r>
                  <m:r>
                    <m:t>0</m:t>
                  </m:r>
                  <m:r>
                    <m:rPr>
                      <m:sty m:val="p"/>
                    </m:rPr>
                    <m:t>)</m:t>
                  </m:r>
                </m:num>
                <m:den>
                  <m:sSub>
                    <m:e>
                      <m:r>
                        <m:t>D</m:t>
                      </m:r>
                    </m:e>
                    <m:sub>
                      <m:r>
                        <m:t>0</m:t>
                      </m:r>
                    </m:sub>
                  </m:sSub>
                </m:den>
              </m:f>
              <m:r>
                <m:rPr>
                  <m:sty m:val="p"/>
                </m:rPr>
                <m:t>+</m:t>
              </m:r>
              <m:sSub>
                <m:e>
                  <m:r>
                    <m:t>λ</m:t>
                  </m:r>
                </m:e>
                <m:sub>
                  <m:r>
                    <m:t>P</m:t>
                  </m:r>
                </m:sub>
              </m:sSub>
              <m:r>
                <m:rPr>
                  <m:sty m:val="p"/>
                </m:rPr>
                <m:t>max</m:t>
              </m:r>
              <m:d>
                <m:dPr>
                  <m:begChr m:val="("/>
                  <m:sepChr m:val=""/>
                  <m:endChr m:val=")"/>
                  <m:grow/>
                </m:dPr>
                <m:e>
                  <m:f>
                    <m:fPr>
                      <m:type m:val="bar"/>
                    </m:fPr>
                    <m:num>
                      <m:sSub>
                        <m:e>
                          <m:acc>
                            <m:accPr>
                              <m:chr m:val="̂"/>
                            </m:accPr>
                            <m:e>
                              <m:r>
                                <m:t>P</m:t>
                              </m:r>
                            </m:e>
                          </m:acc>
                        </m:e>
                        <m:sub>
                          <m:r>
                            <m:t>t</m:t>
                          </m:r>
                        </m:sub>
                      </m:sSub>
                      <m:r>
                        <m:rPr>
                          <m:sty m:val="p"/>
                        </m:rPr>
                        <m:t>−</m:t>
                      </m:r>
                      <m:sSub>
                        <m:e>
                          <m:r>
                            <m:t>P</m:t>
                          </m:r>
                        </m:e>
                        <m:sub>
                          <m:r>
                            <m:t>0</m:t>
                          </m:r>
                        </m:sub>
                      </m:sSub>
                    </m:num>
                    <m:den>
                      <m:sSub>
                        <m:e>
                          <m:r>
                            <m:t>P</m:t>
                          </m:r>
                        </m:e>
                        <m:sub>
                          <m:r>
                            <m:t>0</m:t>
                          </m:r>
                        </m:sub>
                      </m:sSub>
                    </m:den>
                  </m:f>
                  <m:r>
                    <m:rPr>
                      <m:sty m:val="p"/>
                    </m:rPr>
                    <m:t>,</m:t>
                  </m:r>
                  <m:r>
                    <m:t>0</m:t>
                  </m:r>
                </m:e>
              </m:d>
              <m:r>
                <m:rPr>
                  <m:sty m:val="p"/>
                </m:rPr>
                <m:t>,</m:t>
              </m:r>
              <m:sSub>
                <m:e>
                  <m:r>
                    <m:t>λ</m:t>
                  </m:r>
                </m:e>
                <m:sub>
                  <m:r>
                    <m:rPr>
                      <m:sty m:val="p"/>
                    </m:rPr>
                    <m:t>min</m:t>
                  </m:r>
                </m:sub>
              </m:sSub>
              <m:r>
                <m:rPr>
                  <m:sty m:val="p"/>
                </m:rPr>
                <m:t>,</m:t>
              </m:r>
              <m:r>
                <m:t>1</m:t>
              </m:r>
            </m:e>
          </m:d>
          <m:r>
            <m:rPr>
              <m:sty m:val="p"/>
            </m:rPr>
            <m:t>,</m:t>
          </m:r>
        </m:oMath>
      </m:oMathPara>
    </w:p>
    <w:p>
      <w:pPr>
        <w:pStyle w:val="FirstParagraph"/>
      </w:pPr>
      <m:oMathPara>
        <m:oMathParaPr>
          <m:jc m:val="center"/>
        </m:oMathParaPr>
        <m:oMath>
          <m:sSub>
            <m:e>
              <m:r>
                <m:t>τ</m:t>
              </m:r>
            </m:e>
            <m:sub>
              <m:r>
                <m:t>t</m:t>
              </m:r>
            </m:sub>
          </m:sSub>
          <m:r>
            <m:rPr>
              <m:sty m:val="p"/>
            </m:rPr>
            <m:t>=</m:t>
          </m:r>
          <m:sSub>
            <m:e>
              <m:r>
                <m:t>τ</m:t>
              </m:r>
            </m:e>
            <m:sub>
              <m:r>
                <m:rPr>
                  <m:sty m:val="p"/>
                </m:rPr>
                <m:t>min</m:t>
              </m:r>
            </m:sub>
          </m:sSub>
          <m:r>
            <m:rPr>
              <m:sty m:val="p"/>
            </m:rPr>
            <m:t>+</m:t>
          </m:r>
          <m:f>
            <m:fPr>
              <m:type m:val="bar"/>
            </m:fPr>
            <m:num>
              <m:r>
                <m:t>1</m:t>
              </m:r>
              <m:r>
                <m:rPr>
                  <m:sty m:val="p"/>
                </m:rPr>
                <m:t>−</m:t>
              </m:r>
              <m:sSub>
                <m:e>
                  <m:r>
                    <m:t>τ</m:t>
                  </m:r>
                </m:e>
                <m:sub>
                  <m:r>
                    <m:rPr>
                      <m:sty m:val="p"/>
                    </m:rPr>
                    <m:t>min</m:t>
                  </m:r>
                </m:sub>
              </m:sSub>
            </m:num>
            <m:den>
              <m:r>
                <m:t>1</m:t>
              </m:r>
              <m:r>
                <m:rPr>
                  <m:sty m:val="p"/>
                </m:rPr>
                <m:t>+</m:t>
              </m:r>
              <m:r>
                <m:rPr>
                  <m:sty m:val="p"/>
                </m:rPr>
                <m:t>exp</m:t>
              </m:r>
              <m:d>
                <m:dPr>
                  <m:begChr m:val="["/>
                  <m:sepChr m:val=""/>
                  <m:endChr m:val="]"/>
                  <m:grow/>
                </m:dPr>
                <m:e>
                  <m:sSub>
                    <m:e>
                      <m:r>
                        <m:t>κ</m:t>
                      </m:r>
                    </m:e>
                    <m:sub>
                      <m:r>
                        <m:t>τ</m:t>
                      </m:r>
                    </m:sub>
                  </m:sSub>
                  <m:r>
                    <m:rPr>
                      <m:sty m:val="p"/>
                    </m:rPr>
                    <m:t>(</m:t>
                  </m:r>
                  <m:r>
                    <m:t>t</m:t>
                  </m:r>
                  <m:r>
                    <m:rPr>
                      <m:sty m:val="p"/>
                    </m:rPr>
                    <m:t>−</m:t>
                  </m:r>
                  <m:sSub>
                    <m:e>
                      <m:r>
                        <m:t>t</m:t>
                      </m:r>
                    </m:e>
                    <m:sub>
                      <m:r>
                        <m:rPr>
                          <m:sty m:val="p"/>
                        </m:rPr>
                        <m:t>s</m:t>
                      </m:r>
                      <m:r>
                        <m:rPr>
                          <m:sty m:val="p"/>
                        </m:rPr>
                        <m:t>h</m:t>
                      </m:r>
                      <m:r>
                        <m:rPr>
                          <m:sty m:val="p"/>
                        </m:rPr>
                        <m:t>r</m:t>
                      </m:r>
                      <m:r>
                        <m:rPr>
                          <m:sty m:val="p"/>
                        </m:rPr>
                        <m:t>i</m:t>
                      </m:r>
                      <m:r>
                        <m:rPr>
                          <m:sty m:val="p"/>
                        </m:rPr>
                        <m:t>n</m:t>
                      </m:r>
                      <m:r>
                        <m:rPr>
                          <m:sty m:val="p"/>
                        </m:rPr>
                        <m:t>k</m:t>
                      </m:r>
                    </m:sub>
                  </m:sSub>
                  <m:r>
                    <m:rPr>
                      <m:sty m:val="p"/>
                    </m:rPr>
                    <m:t>)</m:t>
                  </m:r>
                </m:e>
              </m:d>
            </m:den>
          </m:f>
          <m:r>
            <m:rPr>
              <m:sty m:val="p"/>
            </m:rPr>
            <m:t>.</m:t>
          </m:r>
        </m:oMath>
      </m:oMathPara>
    </w:p>
    <w:p>
      <w:pPr>
        <w:pStyle w:val="FirstParagraph"/>
      </w:pPr>
      <w:r>
        <w:rPr>
          <w:rFonts w:hint="eastAsia"/>
        </w:rPr>
        <w:t xml:space="preserve">其中</w:t>
      </w:r>
      <w:r>
        <w:t xml:space="preserve"> </w:t>
      </w:r>
      <m:oMath>
        <m:r>
          <m:rPr>
            <m:sty m:val="p"/>
          </m:rPr>
          <m:t>c</m:t>
        </m:r>
        <m:r>
          <m:rPr>
            <m:sty m:val="p"/>
          </m:rPr>
          <m:t>l</m:t>
        </m:r>
        <m:r>
          <m:rPr>
            <m:sty m:val="p"/>
          </m:rPr>
          <m:t>i</m:t>
        </m:r>
        <m:r>
          <m:rPr>
            <m:sty m:val="p"/>
          </m:rPr>
          <m:t>p</m:t>
        </m:r>
        <m:r>
          <m:rPr>
            <m:sty m:val="p"/>
          </m:rPr>
          <m:t>(</m:t>
        </m:r>
        <m:r>
          <m:t>x</m:t>
        </m:r>
        <m:r>
          <m:rPr>
            <m:sty m:val="p"/>
          </m:rPr>
          <m:t>,</m:t>
        </m:r>
        <m:r>
          <m:t>a</m:t>
        </m:r>
        <m:r>
          <m:rPr>
            <m:sty m:val="p"/>
          </m:rPr>
          <m:t>,</m:t>
        </m:r>
        <m:r>
          <m:t>b</m:t>
        </m:r>
        <m:r>
          <m:rPr>
            <m:sty m:val="p"/>
          </m:rPr>
          <m:t>)</m:t>
        </m:r>
        <m:r>
          <m:rPr>
            <m:sty m:val="p"/>
          </m:rPr>
          <m:t>=</m:t>
        </m:r>
        <m:r>
          <m:rPr>
            <m:sty m:val="p"/>
          </m:rPr>
          <m:t>min</m:t>
        </m:r>
        <m:r>
          <m:rPr>
            <m:sty m:val="p"/>
          </m:rPr>
          <m:t>{</m:t>
        </m:r>
        <m:r>
          <m:rPr>
            <m:sty m:val="p"/>
          </m:rPr>
          <m:t>max</m:t>
        </m:r>
        <m:r>
          <m:rPr>
            <m:sty m:val="p"/>
          </m:rPr>
          <m:t>(</m:t>
        </m:r>
        <m:r>
          <m:t>x</m:t>
        </m:r>
        <m:r>
          <m:rPr>
            <m:sty m:val="p"/>
          </m:rPr>
          <m:t>,</m:t>
        </m:r>
        <m:r>
          <m:t>a</m:t>
        </m:r>
        <m:r>
          <m:rPr>
            <m:sty m:val="p"/>
          </m:rPr>
          <m:t>)</m:t>
        </m:r>
        <m:r>
          <m:rPr>
            <m:sty m:val="p"/>
          </m:rPr>
          <m:t>,</m:t>
        </m:r>
        <m:r>
          <m:t>b</m:t>
        </m:r>
        <m:r>
          <m:rPr>
            <m:sty m:val="p"/>
          </m:rPr>
          <m:t>}</m:t>
        </m:r>
      </m:oMath>
      <w:r>
        <w:rPr>
          <w:rFonts w:hint="eastAsia"/>
        </w:rPr>
        <w:t xml:space="preserve">，</w:t>
      </w:r>
      <m:oMath>
        <m:sSub>
          <m:e>
            <m:r>
              <m:t>t</m:t>
            </m:r>
          </m:e>
          <m:sub>
            <m:r>
              <m:rPr>
                <m:sty m:val="p"/>
              </m:rPr>
              <m:t>s</m:t>
            </m:r>
            <m:r>
              <m:rPr>
                <m:sty m:val="p"/>
              </m:rPr>
              <m:t>h</m:t>
            </m:r>
            <m:r>
              <m:rPr>
                <m:sty m:val="p"/>
              </m:rPr>
              <m:t>r</m:t>
            </m:r>
            <m:r>
              <m:rPr>
                <m:sty m:val="p"/>
              </m:rPr>
              <m:t>i</m:t>
            </m:r>
            <m:r>
              <m:rPr>
                <m:sty m:val="p"/>
              </m:rPr>
              <m:t>n</m:t>
            </m:r>
            <m:r>
              <m:rPr>
                <m:sty m:val="p"/>
              </m:rPr>
              <m:t>k</m:t>
            </m:r>
          </m:sub>
        </m:sSub>
      </m:oMath>
      <w:r>
        <w:t xml:space="preserve"> </w:t>
      </w:r>
      <w:r>
        <w:rPr>
          <w:rFonts w:hint="eastAsia"/>
        </w:rPr>
        <w:t xml:space="preserve">对应表中</w:t>
      </w:r>
      <w:r>
        <w:t xml:space="preserve"> SPR </w:t>
      </w:r>
      <w:r>
        <w:rPr>
          <w:rFonts w:hint="eastAsia"/>
        </w:rPr>
        <w:t xml:space="preserve">收缩起点。上述定义使</w:t>
      </w:r>
      <w:r>
        <w:t xml:space="preserve"> SPR </w:t>
      </w:r>
      <w:r>
        <w:rPr>
          <w:rFonts w:hint="eastAsia"/>
        </w:rPr>
        <w:t xml:space="preserve">在缺口较大、价格压力较高时保持较强释放；当长期封锁进入政策收缩期且缺口逐步闭合时，</w:t>
      </w:r>
      <m:oMath>
        <m:sSub>
          <m:e>
            <m:r>
              <m:t>τ</m:t>
            </m:r>
          </m:e>
          <m:sub>
            <m:r>
              <m:t>t</m:t>
            </m:r>
          </m:sub>
        </m:sSub>
      </m:oMath>
      <w:r>
        <w:t xml:space="preserve"> </w:t>
      </w:r>
      <w:r>
        <w:rPr>
          <w:rFonts w:hint="eastAsia"/>
        </w:rPr>
        <w:t xml:space="preserve">平滑下降，实际释放量转向缺口驱动。因此，当缺口已基本闭合时，SPR</w:t>
      </w:r>
      <w:r>
        <w:t xml:space="preserve"> </w:t>
      </w:r>
      <w:r>
        <w:rPr>
          <w:rFonts w:hint="eastAsia"/>
        </w:rPr>
        <w:t xml:space="preserve">不会继续按上限满额释放。</w:t>
      </w:r>
    </w:p>
    <w:p>
      <w:pPr>
        <w:pStyle w:val="BodyText"/>
      </w:pPr>
      <w:r>
        <w:rPr>
          <w:rFonts w:hint="eastAsia"/>
        </w:rPr>
        <w:t xml:space="preserve">中长期价格递推采用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短期和中长期风险项的方向不同，并不是前后矛盾。短期窗口内，市场需要完成突发封锁的信息吸收，风险溢价表现为建立和再定价；中长期窗口内，市场已经观察到</w:t>
      </w:r>
      <w:r>
        <w:t xml:space="preserve"> </w:t>
      </w:r>
      <w:r>
        <w:rPr>
          <w:rFonts w:hint="eastAsia"/>
        </w:rPr>
        <w:t xml:space="preserve">SPR、库存、绕道和供需调整是否有效，因此风险项应随未解决缺口和信心恢复而逐步衰减。换言之，短期冲击模型回答</w:t>
      </w:r>
      <w:r>
        <w:rPr>
          <w:rFonts w:hint="eastAsia"/>
        </w:rPr>
        <w:t xml:space="preserve">“冲击如何形成价格平台”</w:t>
      </w:r>
      <w:r>
        <w:rPr>
          <w:rFonts w:hint="eastAsia"/>
        </w:rPr>
        <w:t xml:space="preserve">，中长期油价调节模型回答</w:t>
      </w:r>
      <w:r>
        <w:rPr>
          <w:rFonts w:hint="eastAsia"/>
        </w:rPr>
        <w:t xml:space="preserve">“平台在政策缓冲和需求调整后如何回归，尾部风险在哪里重新抬升”</w:t>
      </w:r>
      <w:r>
        <w:t xml:space="preserve">。</w:t>
      </w:r>
    </w:p>
    <w:p>
      <w:pPr>
        <w:pStyle w:val="BodyText"/>
      </w:pPr>
      <w:r>
        <w:t xml:space="preserve">Y S[table-format=2.3] L</w:t>
      </w:r>
      <w:r>
        <w:t xml:space="preserve">2.2cm</w:t>
      </w:r>
      <w:r>
        <w:t xml:space="preserve"> </w:t>
      </w:r>
      <w:r>
        <w:t xml:space="preserve">Y</w:t>
      </w:r>
      <w:r>
        <w:t xml:space="preserve"> </w:t>
      </w:r>
      <w:r>
        <w:rPr>
          <w:rFonts w:hint="eastAsia"/>
        </w:rPr>
        <w:t xml:space="preserve">机制参数</w:t>
      </w:r>
      <w:r>
        <w:t xml:space="preserve"> &amp;</w:t>
      </w:r>
      <w:r>
        <w:t xml:space="preserve"> </w:t>
      </w:r>
      <w:r>
        <w:rPr>
          <w:rFonts w:hint="eastAsia"/>
        </w:rPr>
        <w:t xml:space="preserve">基准值</w:t>
      </w:r>
      <w:r>
        <w:t xml:space="preserve"> </w:t>
      </w:r>
      <w:r>
        <w:t xml:space="preserve">&amp; </w:t>
      </w:r>
      <w:r>
        <w:rPr>
          <w:rFonts w:hint="eastAsia"/>
        </w:rPr>
        <w:t xml:space="preserve">扰动范围</w:t>
      </w:r>
      <w:r>
        <w:t xml:space="preserve"> &amp; </w:t>
      </w:r>
      <w:r>
        <w:rPr>
          <w:rFonts w:hint="eastAsia"/>
        </w:rPr>
        <w:t xml:space="preserve">含义与边界</w:t>
      </w:r>
      <w:r>
        <w:br/>
      </w:r>
      <w:r>
        <w:t xml:space="preserve">SPR </w:t>
      </w:r>
      <w:r>
        <w:rPr>
          <w:rFonts w:hint="eastAsia"/>
        </w:rPr>
        <w:t xml:space="preserve">收缩起点</w:t>
      </w:r>
      <w:r>
        <w:t xml:space="preserve"> &amp; 75 &amp; 60–105 &amp; SPR </w:t>
      </w:r>
      <w:r>
        <w:rPr>
          <w:rFonts w:hint="eastAsia"/>
        </w:rPr>
        <w:t xml:space="preserve">从应急计划释放转向缺口驱动收缩的开始时间</w:t>
      </w:r>
      <w:r>
        <w:br/>
      </w:r>
      <w:r>
        <w:rPr>
          <w:rFonts w:hint="eastAsia"/>
        </w:rPr>
        <w:t xml:space="preserve">冲击不确定性占比</w:t>
      </w:r>
      <w:r>
        <w:t xml:space="preserve"> &amp; 0.45 &amp; 0.25–0.65 &amp; </w:t>
      </w:r>
      <w:r>
        <w:rPr>
          <w:rFonts w:hint="eastAsia"/>
        </w:rPr>
        <w:t xml:space="preserve">前期冲击再定价在长期不确定性中的贡献，不作为外部官方统计量</w:t>
      </w:r>
      <w:r>
        <w:br/>
      </w:r>
      <w:r>
        <w:rPr>
          <w:rFonts w:hint="eastAsia"/>
        </w:rPr>
        <w:t xml:space="preserve">制度风险占比</w:t>
      </w:r>
      <w:r>
        <w:t xml:space="preserve"> &amp; 0.90 &amp; 0.50–1.30 &amp; </w:t>
      </w:r>
      <w:r>
        <w:rPr>
          <w:rFonts w:hint="eastAsia"/>
        </w:rPr>
        <w:t xml:space="preserve">持续封锁状态对长期风险溢价的贡献强度</w:t>
      </w:r>
      <w:r>
        <w:br/>
      </w:r>
      <w:r>
        <w:rPr>
          <w:rFonts w:hint="eastAsia"/>
        </w:rPr>
        <w:t xml:space="preserve">信心恢复后风险底座</w:t>
      </w:r>
      <w:r>
        <w:t xml:space="preserve"> &amp; 0.40 &amp; 0.20–0.60 &amp; </w:t>
      </w:r>
      <w:r>
        <w:rPr>
          <w:rFonts w:hint="eastAsia"/>
        </w:rPr>
        <w:t xml:space="preserve">缓冲机制被市场确认后仍保留的制度风险比例</w:t>
      </w:r>
      <w:r>
        <w:br/>
      </w:r>
      <w:r>
        <w:rPr>
          <w:rFonts w:hint="eastAsia"/>
        </w:rPr>
        <w:t xml:space="preserve">过剩供给回归强度</w:t>
      </w:r>
      <w:r>
        <w:t xml:space="preserve"> &amp; 1.35 &amp; 0.80–2.20 &amp; </w:t>
      </w:r>
      <w:r>
        <w:rPr>
          <w:rFonts w:hint="eastAsia"/>
        </w:rPr>
        <w:t xml:space="preserve">供给超过需求时向下修正目标价格的机制强度</w:t>
      </w:r>
      <w:r>
        <w:br/>
      </w:r>
      <w:r>
        <w:rPr>
          <w:rFonts w:hint="eastAsia"/>
        </w:rPr>
        <w:t xml:space="preserve">封锁风险衰减速度</w:t>
      </w:r>
      <w:r>
        <w:t xml:space="preserve"> &amp; 0.004 &amp; 0.002–0.008 &amp; </w:t>
      </w:r>
      <w:r>
        <w:rPr>
          <w:rFonts w:hint="eastAsia"/>
        </w:rPr>
        <w:t xml:space="preserve">封锁风险溢价随时间被市场吸收的日度速度</w:t>
      </w:r>
      <w:r>
        <w:br/>
      </w:r>
    </w:p>
    <w:bookmarkEnd w:id="49"/>
    <w:bookmarkStart w:id="50" w:name="中长期参数来源与校验边界"/>
    <w:p>
      <w:pPr>
        <w:pStyle w:val="Heading3"/>
      </w:pPr>
      <w:r>
        <w:rPr>
          <w:rFonts w:hint="eastAsia"/>
        </w:rPr>
        <w:t xml:space="preserve">中长期参数来源与校验边界</w:t>
      </w:r>
    </w:p>
    <w:p>
      <w:pPr>
        <w:pStyle w:val="FirstParagraph"/>
      </w:pPr>
      <w:r>
        <w:rPr>
          <w:rFonts w:hint="eastAsia"/>
        </w:rPr>
        <w:t xml:space="preserve">中长期油价调节模型中的部分参数用于描述恢复速度、政策收缩和制度风险衰减。本文对中长期参数采用三条约束：方向来自赛题机制或能源市场逻辑；数值作为基准情景假设进入；关键参数进入扰动区间、敏感性排序或蒙特卡洛检验。中长期参数来源与校验方式见</w:t>
      </w:r>
      <w:hyperlink w:anchor="tab:long-parameter-audit">
        <w:r>
          <w:rPr>
            <w:rStyle w:val="Hyperlink"/>
          </w:rPr>
          <w:t xml:space="preserve">[tab:long-parameter-audit]</w:t>
        </w:r>
      </w:hyperlink>
      <w:r>
        <w:t xml:space="preserve">。</w:t>
      </w:r>
    </w:p>
    <w:p>
      <w:pPr>
        <w:pStyle w:val="BodyText"/>
      </w:pPr>
      <w:r>
        <w:t xml:space="preserve">L</w:t>
      </w:r>
      <w:r>
        <w:t xml:space="preserve">2.6cm</w:t>
      </w:r>
      <w:r>
        <w:t xml:space="preserve">Y Y</w:t>
      </w:r>
      <w:r>
        <w:t xml:space="preserve"> </w:t>
      </w:r>
      <w:r>
        <w:rPr>
          <w:rFonts w:hint="eastAsia"/>
        </w:rPr>
        <w:t xml:space="preserve">参数组</w:t>
      </w:r>
      <w:r>
        <w:t xml:space="preserve"> &amp; </w:t>
      </w:r>
      <w:r>
        <w:rPr>
          <w:rFonts w:hint="eastAsia"/>
        </w:rPr>
        <w:t xml:space="preserve">来源逻辑</w:t>
      </w:r>
      <w:r>
        <w:t xml:space="preserve"> &amp; </w:t>
      </w:r>
      <w:r>
        <w:rPr>
          <w:rFonts w:hint="eastAsia"/>
        </w:rPr>
        <w:t xml:space="preserve">校验方式</w:t>
      </w:r>
      <w:r>
        <w:br/>
      </w:r>
      <w:r>
        <w:t xml:space="preserve">SPR </w:t>
      </w:r>
      <w:r>
        <w:rPr>
          <w:rFonts w:hint="eastAsia"/>
        </w:rPr>
        <w:t xml:space="preserve">收缩与释放强度</w:t>
      </w:r>
      <w:r>
        <w:t xml:space="preserve"> &amp; </w:t>
      </w:r>
      <w:r>
        <w:rPr>
          <w:rFonts w:hint="eastAsia"/>
        </w:rPr>
        <w:t xml:space="preserve">来自赛题</w:t>
      </w:r>
      <w:r>
        <w:t xml:space="preserve"> SPR </w:t>
      </w:r>
      <w:r>
        <w:rPr>
          <w:rFonts w:hint="eastAsia"/>
        </w:rPr>
        <w:t xml:space="preserve">缓冲机制，并加入长期封锁下不能无限满额释放的政策约束。</w:t>
      </w:r>
      <w:r>
        <w:t xml:space="preserve"> &amp; </w:t>
      </w:r>
      <w:r>
        <w:rPr>
          <w:rFonts w:hint="eastAsia"/>
        </w:rPr>
        <w:t xml:space="preserve">在</w:t>
      </w:r>
      <w:r>
        <w:t xml:space="preserve"> 60–105 </w:t>
      </w:r>
      <w:r>
        <w:rPr>
          <w:rFonts w:hint="eastAsia"/>
        </w:rPr>
        <w:t xml:space="preserve">天范围内扰动，检验第</w:t>
      </w:r>
      <w:r>
        <w:t xml:space="preserve"> 180 </w:t>
      </w:r>
      <w:r>
        <w:rPr>
          <w:rFonts w:hint="eastAsia"/>
        </w:rPr>
        <w:t xml:space="preserve">天价格和尾部峰值。</w:t>
      </w:r>
      <w:r>
        <w:br/>
      </w:r>
      <w:r>
        <w:rPr>
          <w:rFonts w:hint="eastAsia"/>
        </w:rPr>
        <w:t xml:space="preserve">冲击不确定性与制度风险</w:t>
      </w:r>
      <w:r>
        <w:t xml:space="preserve"> &amp; </w:t>
      </w:r>
      <w:r>
        <w:rPr>
          <w:rFonts w:hint="eastAsia"/>
        </w:rPr>
        <w:t xml:space="preserve">来自封锁未解除时保险、航运、二次升级和政策协调失败的持续风险。</w:t>
      </w:r>
      <w:r>
        <w:t xml:space="preserve"> &amp; </w:t>
      </w:r>
      <w:r>
        <w:rPr>
          <w:rFonts w:hint="eastAsia"/>
        </w:rPr>
        <w:t xml:space="preserve">与</w:t>
      </w:r>
      <w:r>
        <w:t xml:space="preserve"> </w:t>
      </w:r>
      <w:r>
        <w:rPr>
          <w:rFonts w:hint="eastAsia"/>
        </w:rPr>
        <w:t xml:space="preserve">GPR、OVX、蒙特卡洛和状态转移结果合读，不作为同步拟合因子。</w:t>
      </w:r>
      <w:r>
        <w:br/>
      </w:r>
      <w:r>
        <w:rPr>
          <w:rFonts w:hint="eastAsia"/>
        </w:rPr>
        <w:t xml:space="preserve">封锁风险衰减速度</w:t>
      </w:r>
      <w:r>
        <w:t xml:space="preserve"> &amp; </w:t>
      </w:r>
      <w:r>
        <w:rPr>
          <w:rFonts w:hint="eastAsia"/>
        </w:rPr>
        <w:t xml:space="preserve">表示市场对封锁信息和政策缓冲确认的消化速度。</w:t>
      </w:r>
      <w:r>
        <w:t xml:space="preserve"> &amp; </w:t>
      </w:r>
      <w:r>
        <w:rPr>
          <w:rFonts w:hint="eastAsia"/>
        </w:rPr>
        <w:t xml:space="preserve">设置</w:t>
      </w:r>
      <w:r>
        <w:t xml:space="preserve"> 0.002–0.008 </w:t>
      </w:r>
      <w:r>
        <w:rPr>
          <w:rFonts w:hint="eastAsia"/>
        </w:rPr>
        <w:t xml:space="preserve">日衰减率区间，并在敏感性分析中单独排序。</w:t>
      </w:r>
      <w:r>
        <w:br/>
      </w:r>
      <w:r>
        <w:rPr>
          <w:rFonts w:hint="eastAsia"/>
        </w:rPr>
        <w:t xml:space="preserve">过剩供给回归强度</w:t>
      </w:r>
      <w:r>
        <w:t xml:space="preserve"> &amp; </w:t>
      </w:r>
      <w:r>
        <w:rPr>
          <w:rFonts w:hint="eastAsia"/>
        </w:rPr>
        <w:t xml:space="preserve">表示缓冲、增产和需求调整后，目标价格向下修正的速度。</w:t>
      </w:r>
      <w:r>
        <w:t xml:space="preserve"> &amp; </w:t>
      </w:r>
      <w:r>
        <w:rPr>
          <w:rFonts w:hint="eastAsia"/>
        </w:rPr>
        <w:t xml:space="preserve">通过扰动区间和情景曲线检验，防止中性路径被人为拉直。</w:t>
      </w:r>
      <w:r>
        <w:br/>
      </w:r>
      <w:r>
        <w:rPr>
          <w:rFonts w:hint="eastAsia"/>
        </w:rPr>
        <w:t xml:space="preserve">增产与绕道恢复</w:t>
      </w:r>
      <w:r>
        <w:t xml:space="preserve"> &amp; </w:t>
      </w:r>
      <w:r>
        <w:rPr>
          <w:rFonts w:hint="eastAsia"/>
        </w:rPr>
        <w:t xml:space="preserve">来自赛题要求的增产、运输瓶颈和绕道能力，并用</w:t>
      </w:r>
      <w:r>
        <w:t xml:space="preserve"> JODI </w:t>
      </w:r>
      <w:r>
        <w:rPr>
          <w:rFonts w:hint="eastAsia"/>
        </w:rPr>
        <w:t xml:space="preserve">多国数据作数量级校验。</w:t>
      </w:r>
      <w:r>
        <w:t xml:space="preserve"> &amp; </w:t>
      </w:r>
      <w:r>
        <w:rPr>
          <w:rFonts w:hint="eastAsia"/>
        </w:rPr>
        <w:t xml:space="preserve">用于长期条件外推；JODI</w:t>
      </w:r>
      <w:r>
        <w:t xml:space="preserve"> </w:t>
      </w:r>
      <w:r>
        <w:rPr>
          <w:rFonts w:hint="eastAsia"/>
        </w:rPr>
        <w:t xml:space="preserve">按多国上报口径解释，不等同完整全球总量。</w:t>
      </w:r>
      <w:r>
        <w:br/>
      </w:r>
    </w:p>
    <w:p>
      <w:pPr>
        <w:pStyle w:val="BodyText"/>
      </w:pPr>
      <w:r>
        <w:rPr>
          <w:rFonts w:hint="eastAsia"/>
          <w:b/>
          <w:bCs/>
        </w:rPr>
        <w:t xml:space="preserve">结论</w:t>
      </w:r>
      <w:r>
        <w:rPr>
          <w:rFonts w:hint="eastAsia"/>
        </w:rPr>
        <w:t xml:space="preserve">中长期参数用于描述机制强弱和恢复速度。本文把这些参数显式列出、放入扰动区间，并用敏感性和蒙特卡洛结果报告其不确定性。</w:t>
      </w:r>
    </w:p>
    <w:p>
      <w:pPr>
        <w:pStyle w:val="BodyText"/>
      </w:pPr>
      <w:r>
        <w:t xml:space="preserve">l S[table-format=4.0] S[table-format=3.0] S[table-format=3.0] S[table-format=-1.2] S[table-format=1.2] S[table-format=1.2]</w:t>
      </w:r>
      <w:r>
        <w:t xml:space="preserve"> </w:t>
      </w:r>
      <w:r>
        <w:rPr>
          <w:rFonts w:hint="eastAsia"/>
        </w:rPr>
        <w:t xml:space="preserve">情景</w:t>
      </w:r>
      <w:r>
        <w:t xml:space="preserve"> &amp;</w:t>
      </w:r>
      <w:r>
        <w:t xml:space="preserve"> </w:t>
      </w:r>
      <w:r>
        <w:rPr>
          <w:rFonts w:hint="eastAsia"/>
        </w:rPr>
        <w:t xml:space="preserve">供应中断</w:t>
      </w:r>
      <w:r>
        <w:t xml:space="preserve"> </w:t>
      </w:r>
      <w:r>
        <w:t xml:space="preserve">&amp;</w:t>
      </w:r>
      <w:r>
        <w:t xml:space="preserve"> </w:t>
      </w:r>
      <w:r>
        <w:t xml:space="preserve">SPR </w:t>
      </w:r>
      <w:r>
        <w:rPr>
          <w:rFonts w:hint="eastAsia"/>
        </w:rPr>
        <w:t xml:space="preserve">上限</w:t>
      </w:r>
      <w:r>
        <w:t xml:space="preserve"> </w:t>
      </w:r>
      <w:r>
        <w:t xml:space="preserve">&amp;</w:t>
      </w:r>
      <w:r>
        <w:t xml:space="preserve"> </w:t>
      </w:r>
      <w:r>
        <w:rPr>
          <w:rFonts w:hint="eastAsia"/>
        </w:rPr>
        <w:t xml:space="preserve">绕道能力</w:t>
      </w:r>
      <w:r>
        <w:t xml:space="preserve"> </w:t>
      </w:r>
      <w:r>
        <w:t xml:space="preserve">&amp;</w:t>
      </w:r>
      <w:r>
        <w:t xml:space="preserve"> </w:t>
      </w:r>
      <w:r>
        <w:rPr>
          <w:rFonts w:hint="eastAsia"/>
        </w:rPr>
        <w:t xml:space="preserve">长期弹性</w:t>
      </w:r>
      <w:r>
        <w:t xml:space="preserve"> </w:t>
      </w:r>
      <w:r>
        <w:t xml:space="preserve">&amp;</w:t>
      </w:r>
      <w:r>
        <w:t xml:space="preserve"> </w:t>
      </w:r>
      <w:r>
        <w:rPr>
          <w:rFonts w:hint="eastAsia"/>
        </w:rPr>
        <w:t xml:space="preserve">恐慌衰减</w:t>
      </w:r>
      <w:r>
        <w:t xml:space="preserve"> </w:t>
      </w:r>
      <w:r>
        <w:t xml:space="preserve">&amp;</w:t>
      </w:r>
      <w:r>
        <w:t xml:space="preserve"> </w:t>
      </w:r>
      <w:r>
        <w:rPr>
          <w:rFonts w:hint="eastAsia"/>
        </w:rPr>
        <w:t xml:space="preserve">风险权重</w:t>
      </w:r>
      <w:r>
        <w:br/>
      </w:r>
      <w:r>
        <w:rPr>
          <w:rFonts w:hint="eastAsia"/>
        </w:rPr>
        <w:t xml:space="preserve">乐观</w:t>
      </w:r>
      <w:r>
        <w:t xml:space="preserve"> &amp; 1400 &amp; 700 &amp; 300 &amp; -0.25 &amp; 0.12 &amp; 2.02</w:t>
      </w:r>
      <w:r>
        <w:br/>
      </w:r>
      <w:r>
        <w:rPr>
          <w:rFonts w:hint="eastAsia"/>
        </w:rPr>
        <w:t xml:space="preserve">中性</w:t>
      </w:r>
      <w:r>
        <w:t xml:space="preserve"> &amp; 1493 &amp; 670 &amp; 237 &amp; -0.25 &amp; 0.11 &amp; 2.46</w:t>
      </w:r>
      <w:r>
        <w:br/>
      </w:r>
      <w:r>
        <w:rPr>
          <w:rFonts w:hint="eastAsia"/>
        </w:rPr>
        <w:t xml:space="preserve">悲观</w:t>
      </w:r>
      <w:r>
        <w:t xml:space="preserve"> &amp; 1800 &amp; 200 &amp; 150 &amp; -0.10 &amp; 0.04 &amp; 3.32</w:t>
      </w:r>
      <w:r>
        <w:br/>
      </w:r>
    </w:p>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“中长期参数约束层”</w:t>
      </w:r>
      <w:r>
        <w:rPr>
          <w:rFonts w:hint="eastAsia"/>
        </w:rPr>
        <w:t xml:space="preserve">。具体做法是由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w:t>
      </w:r>
      <w:hyperlink w:anchor="tab:official-factor-multipliers">
        <w:r>
          <w:rPr>
            <w:rStyle w:val="Hyperlink"/>
          </w:rPr>
          <w:t xml:space="preserve">[tab:official-factor-multipliers]</w:t>
        </w:r>
      </w:hyperlink>
      <w:r>
        <w:t xml:space="preserve">。</w:t>
      </w:r>
    </w:p>
    <w:p>
      <w:pPr>
        <w:pStyle w:val="BodyText"/>
      </w:pPr>
      <w:r>
        <w:t xml:space="preserve">Y S[table-format=1.4] Y</w:t>
      </w:r>
      <w:r>
        <w:t xml:space="preserve"> </w:t>
      </w:r>
      <w:r>
        <w:rPr>
          <w:rFonts w:hint="eastAsia"/>
        </w:rPr>
        <w:t xml:space="preserve">约束因子</w:t>
      </w:r>
      <w:r>
        <w:t xml:space="preserve"> &amp;</w:t>
      </w:r>
      <w:r>
        <w:t xml:space="preserve"> </w:t>
      </w:r>
      <w:r>
        <w:rPr>
          <w:rFonts w:hint="eastAsia"/>
        </w:rPr>
        <w:t xml:space="preserve">乘数</w:t>
      </w:r>
      <w:r>
        <w:t xml:space="preserve"> </w:t>
      </w:r>
      <w:r>
        <w:t xml:space="preserve">&amp; </w:t>
      </w:r>
      <w:r>
        <w:rPr>
          <w:rFonts w:hint="eastAsia"/>
        </w:rPr>
        <w:t xml:space="preserve">解释</w:t>
      </w:r>
      <w:r>
        <w:br/>
      </w:r>
      <w:r>
        <w:rPr>
          <w:rFonts w:hint="eastAsia"/>
        </w:rPr>
        <w:t xml:space="preserve">绕道和替代贸易恢复能力</w:t>
      </w:r>
      <w:r>
        <w:t xml:space="preserve"> &amp; 0.9725 &amp; JODI </w:t>
      </w:r>
      <w:r>
        <w:rPr>
          <w:rFonts w:hint="eastAsia"/>
        </w:rPr>
        <w:t xml:space="preserve">进出口同口径收缩，说明替代贸易恢复不宜过度乐观</w:t>
      </w:r>
      <w:r>
        <w:br/>
      </w:r>
      <w:r>
        <w:rPr>
          <w:rFonts w:hint="eastAsia"/>
        </w:rPr>
        <w:t xml:space="preserve">商业库存日缓冲上限</w:t>
      </w:r>
      <w:r>
        <w:t xml:space="preserve"> &amp; 1.0739 &amp; JODI </w:t>
      </w:r>
      <w:r>
        <w:rPr>
          <w:rFonts w:hint="eastAsia"/>
        </w:rPr>
        <w:t xml:space="preserve">原油/成品油库存和</w:t>
      </w:r>
      <w:r>
        <w:t xml:space="preserve"> EIA </w:t>
      </w:r>
      <w:r>
        <w:rPr>
          <w:rFonts w:hint="eastAsia"/>
        </w:rPr>
        <w:t xml:space="preserve">商业库存均提供缓冲数量级支撑</w:t>
      </w:r>
      <w:r>
        <w:br/>
      </w:r>
      <w:r>
        <w:rPr>
          <w:rFonts w:hint="eastAsia"/>
        </w:rPr>
        <w:t xml:space="preserve">长期需求收缩幅度</w:t>
      </w:r>
      <w:r>
        <w:t xml:space="preserve"> &amp; 0.9560 &amp; JODI </w:t>
      </w:r>
      <w:r>
        <w:rPr>
          <w:rFonts w:hint="eastAsia"/>
        </w:rPr>
        <w:t xml:space="preserve">与</w:t>
      </w:r>
      <w:r>
        <w:t xml:space="preserve"> OPEC </w:t>
      </w:r>
      <w:r>
        <w:rPr>
          <w:rFonts w:hint="eastAsia"/>
        </w:rPr>
        <w:t xml:space="preserve">均显示需求韧性，需求破坏不宜设得过强</w:t>
      </w:r>
      <w:r>
        <w:br/>
      </w:r>
      <w:r>
        <w:rPr>
          <w:rFonts w:hint="eastAsia"/>
        </w:rPr>
        <w:t xml:space="preserve">长期需求弹性绝对值</w:t>
      </w:r>
      <w:r>
        <w:t xml:space="preserve"> &amp; 0.9750 &amp; </w:t>
      </w:r>
      <w:r>
        <w:rPr>
          <w:rFonts w:hint="eastAsia"/>
        </w:rPr>
        <w:t xml:space="preserve">高价下需求会调整，但</w:t>
      </w:r>
      <w:r>
        <w:t xml:space="preserve"> OPEC </w:t>
      </w:r>
      <w:r>
        <w:rPr>
          <w:rFonts w:hint="eastAsia"/>
        </w:rPr>
        <w:t xml:space="preserve">正常需求增长使长期弹性略收敛</w:t>
      </w:r>
      <w:r>
        <w:br/>
      </w:r>
      <w:r>
        <w:t xml:space="preserve">SPR </w:t>
      </w:r>
      <w:r>
        <w:rPr>
          <w:rFonts w:hint="eastAsia"/>
        </w:rPr>
        <w:t xml:space="preserve">释放上限可信度</w:t>
      </w:r>
      <w:r>
        <w:t xml:space="preserve"> &amp; 0.9672 &amp; EIA </w:t>
      </w:r>
      <w:r>
        <w:rPr>
          <w:rFonts w:hint="eastAsia"/>
        </w:rPr>
        <w:t xml:space="preserve">美国</w:t>
      </w:r>
      <w:r>
        <w:t xml:space="preserve"> SPR </w:t>
      </w:r>
      <w:r>
        <w:rPr>
          <w:rFonts w:hint="eastAsia"/>
        </w:rPr>
        <w:t xml:space="preserve">实际释放较温和，因此全球协调释放上限作小幅折扣</w:t>
      </w:r>
      <w:r>
        <w:br/>
      </w:r>
      <w:r>
        <w:rPr>
          <w:rFonts w:hint="eastAsia"/>
        </w:rPr>
        <w:t xml:space="preserve">贸易收缩风险权重</w:t>
      </w:r>
      <w:r>
        <w:t xml:space="preserve"> &amp; 1.0833 &amp; JODI </w:t>
      </w:r>
      <w:r>
        <w:rPr>
          <w:rFonts w:hint="eastAsia"/>
        </w:rPr>
        <w:t xml:space="preserve">进出口收缩、OPEC</w:t>
      </w:r>
      <w:r>
        <w:t xml:space="preserve"> DoC </w:t>
      </w:r>
      <w:r>
        <w:rPr>
          <w:rFonts w:hint="eastAsia"/>
        </w:rPr>
        <w:t xml:space="preserve">需求差额和</w:t>
      </w:r>
      <w:r>
        <w:t xml:space="preserve"> OVX </w:t>
      </w:r>
      <w:r>
        <w:rPr>
          <w:rFonts w:hint="eastAsia"/>
        </w:rPr>
        <w:t xml:space="preserve">风险读数共同抬升尾部风险</w:t>
      </w:r>
      <w:r>
        <w:br/>
      </w:r>
      <w:r>
        <w:rPr>
          <w:rFonts w:hint="eastAsia"/>
        </w:rPr>
        <w:t xml:space="preserve">长期不确定性强度</w:t>
      </w:r>
      <w:r>
        <w:t xml:space="preserve"> &amp; 1.0749 &amp; </w:t>
      </w:r>
      <w:r>
        <w:rPr>
          <w:rFonts w:hint="eastAsia"/>
        </w:rPr>
        <w:t xml:space="preserve">贸易收缩、下半年需求差额峰值和</w:t>
      </w:r>
      <w:r>
        <w:t xml:space="preserve"> OVX </w:t>
      </w:r>
      <w:r>
        <w:rPr>
          <w:rFonts w:hint="eastAsia"/>
        </w:rPr>
        <w:t xml:space="preserve">隐含波动率使制度风险上调</w:t>
      </w:r>
      <w:r>
        <w:br/>
      </w:r>
    </w:p>
    <w:bookmarkEnd w:id="50"/>
    <w:bookmarkStart w:id="65" w:name="预测结果"/>
    <w:p>
      <w:pPr>
        <w:pStyle w:val="Heading3"/>
      </w:pPr>
      <w:r>
        <w:rPr>
          <w:rFonts w:hint="eastAsia"/>
        </w:rPr>
        <w:t xml:space="preserve">预测结果</w:t>
      </w:r>
    </w:p>
    <w:p>
      <w:pPr>
        <w:pStyle w:val="FirstParagraph"/>
      </w:pPr>
      <w:r>
        <w:t xml:space="preserve">l S[table-format=3.2] S[table-format=3.2] S[table-format=3.2] S[table-format=3.2] S[table-format=3.2] S[table-format=3.2] l</w:t>
      </w:r>
      <w:r>
        <w:t xml:space="preserve"> </w:t>
      </w:r>
      <w:r>
        <w:rPr>
          <w:rFonts w:hint="eastAsia"/>
        </w:rPr>
        <w:t xml:space="preserve">情景</w:t>
      </w:r>
      <w:r>
        <w:t xml:space="preserve"> &amp;</w:t>
      </w:r>
      <w:r>
        <w:t xml:space="preserve"> </w:t>
      </w:r>
      <w:r>
        <w:rPr>
          <w:rFonts w:hint="eastAsia"/>
        </w:rPr>
        <w:t xml:space="preserve">第60天</w:t>
      </w:r>
      <w:r>
        <w:t xml:space="preserve"> </w:t>
      </w:r>
      <w:r>
        <w:t xml:space="preserve">&amp;</w:t>
      </w:r>
      <w:r>
        <w:t xml:space="preserve"> </w:t>
      </w:r>
      <w:r>
        <w:rPr>
          <w:rFonts w:hint="eastAsia"/>
        </w:rPr>
        <w:t xml:space="preserve">第90天</w:t>
      </w:r>
      <w:r>
        <w:t xml:space="preserve"> </w:t>
      </w:r>
      <w:r>
        <w:t xml:space="preserve">&amp;</w:t>
      </w:r>
      <w:r>
        <w:t xml:space="preserve"> </w:t>
      </w:r>
      <w:r>
        <w:rPr>
          <w:rFonts w:hint="eastAsia"/>
        </w:rPr>
        <w:t xml:space="preserve">第120天</w:t>
      </w:r>
      <w:r>
        <w:t xml:space="preserve"> </w:t>
      </w:r>
      <w:r>
        <w:t xml:space="preserve">&amp;</w:t>
      </w:r>
      <w:r>
        <w:t xml:space="preserve"> </w:t>
      </w:r>
      <w:r>
        <w:rPr>
          <w:rFonts w:hint="eastAsia"/>
        </w:rPr>
        <w:t xml:space="preserve">第180天</w:t>
      </w:r>
      <w:r>
        <w:t xml:space="preserve"> </w:t>
      </w:r>
      <w:r>
        <w:t xml:space="preserve">&amp;</w:t>
      </w:r>
      <w:r>
        <w:t xml:space="preserve"> </w:t>
      </w:r>
      <w:r>
        <w:rPr>
          <w:rFonts w:hint="eastAsia"/>
        </w:rPr>
        <w:t xml:space="preserve">外推期最高价</w:t>
      </w:r>
      <w:r>
        <w:t xml:space="preserve"> </w:t>
      </w:r>
      <w:r>
        <w:t xml:space="preserve">&amp;</w:t>
      </w:r>
      <w:r>
        <w:t xml:space="preserve"> </w:t>
      </w:r>
      <w:r>
        <w:rPr>
          <w:rFonts w:hint="eastAsia"/>
        </w:rPr>
        <w:t xml:space="preserve">外推期均价</w:t>
      </w:r>
      <w:r>
        <w:t xml:space="preserve"> </w:t>
      </w:r>
      <w:r>
        <w:t xml:space="preserve">&amp; </w:t>
      </w:r>
      <w:r>
        <w:rPr>
          <w:rFonts w:hint="eastAsia"/>
        </w:rPr>
        <w:t xml:space="preserve">风险</w:t>
      </w:r>
      <w:r>
        <w:br/>
      </w:r>
      <w:r>
        <w:rPr>
          <w:rFonts w:hint="eastAsia"/>
        </w:rPr>
        <w:t xml:space="preserve">乐观</w:t>
      </w:r>
      <w:r>
        <w:t xml:space="preserve"> &amp; 109.63 &amp; 93.50 &amp; 90.76 &amp; 86.26 &amp; 104.65 &amp; 90.82 &amp; </w:t>
      </w:r>
      <w:r>
        <w:rPr>
          <w:rFonts w:hint="eastAsia"/>
        </w:rPr>
        <w:t xml:space="preserve">低</w:t>
      </w:r>
      <w:r>
        <w:br/>
      </w:r>
      <w:r>
        <w:rPr>
          <w:rFonts w:hint="eastAsia"/>
        </w:rPr>
        <w:t xml:space="preserve">中性</w:t>
      </w:r>
      <w:r>
        <w:t xml:space="preserve"> &amp; 109.63 &amp; 104.24 &amp; 97.30 &amp; 97.82 &amp; 110.87 &amp; 98.84 &amp; </w:t>
      </w:r>
      <w:r>
        <w:rPr>
          <w:rFonts w:hint="eastAsia"/>
        </w:rPr>
        <w:t xml:space="preserve">高</w:t>
      </w:r>
      <w:r>
        <w:br/>
      </w:r>
      <w:r>
        <w:rPr>
          <w:rFonts w:hint="eastAsia"/>
        </w:rPr>
        <w:t xml:space="preserve">悲观</w:t>
      </w:r>
      <w:r>
        <w:t xml:space="preserve"> &amp; 109.63 &amp; 133.85 &amp; 125.86 &amp; 121.64 &amp; 137.75 &amp; 127.70 &amp; </w:t>
      </w:r>
      <w:r>
        <w:rPr>
          <w:rFonts w:hint="eastAsia"/>
        </w:rPr>
        <w:t xml:space="preserve">高</w:t>
      </w:r>
      <w:r>
        <w:br/>
      </w:r>
    </w:p>
    <w:p>
      <w:pPr>
        <w:pStyle w:val="BodyText"/>
      </w:pPr>
      <w:hyperlink w:anchor="fig:long-term-fan">
        <w:r>
          <w:rPr>
            <w:rStyle w:val="Hyperlink"/>
          </w:rPr>
          <w:t xml:space="preserve">4</w:t>
        </w:r>
      </w:hyperlink>
      <w:r>
        <w:t xml:space="preserve"> </w:t>
      </w:r>
      <w:r>
        <w:rPr>
          <w:rFonts w:hint="eastAsia"/>
        </w:rPr>
        <w:t xml:space="preserve">给出中长期油价调节模型的主图。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进一步地，本文用</w:t>
      </w:r>
      <w:r>
        <w:t xml:space="preserve"> SPR </w:t>
      </w:r>
      <w:r>
        <w:rPr>
          <w:rFonts w:hint="eastAsia"/>
        </w:rPr>
        <w:t xml:space="preserve">剩余预算、库存消耗、剩余缺口、绕道瓶颈和高价压力生成物理状态压力，并用</w:t>
      </w:r>
      <w:r>
        <w:t xml:space="preserve"> GPR </w:t>
      </w:r>
      <w:r>
        <w:rPr>
          <w:rFonts w:hint="eastAsia"/>
        </w:rPr>
        <w:t xml:space="preserve">事件月历史分位数、OVX</w:t>
      </w:r>
      <w:r>
        <w:t xml:space="preserve"> </w:t>
      </w:r>
      <w:r>
        <w:rPr>
          <w:rFonts w:hint="eastAsia"/>
        </w:rPr>
        <w:t xml:space="preserve">冲突窗口历史分位数以及滞后</w:t>
      </w:r>
      <w:r>
        <w:t xml:space="preserve"> OVX </w:t>
      </w:r>
      <w:r>
        <w:rPr>
          <w:rFonts w:hint="eastAsia"/>
        </w:rPr>
        <w:t xml:space="preserve">与实现波动率相关性生成市场风险压力，共同温和提高早中期升级概率。这样得到的中长期图由中心路径、状态概率和尾部区间共同构成。</w:t>
      </w:r>
    </w:p>
    <w:bookmarkStart w:id="54" w:name="fig:long-term-fan"/>
    <w:p>
      <w:pPr>
        <w:pStyle w:val="CaptionedFigure"/>
      </w:pPr>
      <w:r>
        <w:drawing>
          <wp:inline>
            <wp:extent cx="5334000" cy="2833687"/>
            <wp:effectExtent b="0" l="0" r="0" t="0"/>
            <wp:docPr descr="" title="" id="52" name="Picture"/>
            <a:graphic>
              <a:graphicData uri="http://schemas.openxmlformats.org/drawingml/2006/picture">
                <pic:pic>
                  <pic:nvPicPr>
                    <pic:cNvPr descr="蒙特卡洛情景树高级组合图.png" id="53" name="Picture"/>
                    <pic:cNvPicPr>
                      <a:picLocks noChangeArrowheads="1" noChangeAspect="1"/>
                    </pic:cNvPicPr>
                  </pic:nvPicPr>
                  <pic:blipFill>
                    <a:blip r:embed="rId51"/>
                    <a:stretch>
                      <a:fillRect/>
                    </a:stretch>
                  </pic:blipFill>
                  <pic:spPr bwMode="auto">
                    <a:xfrm>
                      <a:off x="0" y="0"/>
                      <a:ext cx="5334000" cy="2833687"/>
                    </a:xfrm>
                    <a:prstGeom prst="rect">
                      <a:avLst/>
                    </a:prstGeom>
                    <a:noFill/>
                    <a:ln w="9525">
                      <a:noFill/>
                      <a:headEnd/>
                      <a:tailEnd/>
                    </a:ln>
                  </pic:spPr>
                </pic:pic>
              </a:graphicData>
            </a:graphic>
          </wp:inline>
        </w:drawing>
      </w:r>
    </w:p>
    <w:p>
      <w:pPr>
        <w:pStyle w:val="ImageCaption"/>
      </w:pPr>
      <w:r>
        <w:rPr>
          <w:rFonts w:hint="eastAsia"/>
        </w:rPr>
        <w:t xml:space="preserve">中长期油价调节模型蒙特卡洛情景树</w:t>
      </w:r>
    </w:p>
    <w:bookmarkEnd w:id="54"/>
    <w:p>
      <w:pPr>
        <w:pStyle w:val="CaptionedFigure"/>
      </w:pPr>
      <w:r>
        <w:drawing>
          <wp:inline>
            <wp:extent cx="5013960" cy="2757678"/>
            <wp:effectExtent b="0" l="0" r="0" t="0"/>
            <wp:docPr descr="" title="" id="56" name="Picture"/>
            <a:graphic>
              <a:graphicData uri="http://schemas.openxmlformats.org/drawingml/2006/picture">
                <pic:pic>
                  <pic:nvPicPr>
                    <pic:cNvPr descr="短期拟合与长期预测总览.png" id="57" name="Picture"/>
                    <pic:cNvPicPr>
                      <a:picLocks noChangeArrowheads="1" noChangeAspect="1"/>
                    </pic:cNvPicPr>
                  </pic:nvPicPr>
                  <pic:blipFill>
                    <a:blip r:embed="rId55"/>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短期冲击模型与中长期油价调节模型总览</w:t>
      </w:r>
    </w:p>
    <w:p>
      <w:pPr>
        <w:pStyle w:val="BodyText"/>
      </w:pPr>
      <w:r>
        <w:rPr>
          <w:rFonts w:hint="eastAsia"/>
        </w:rPr>
        <w:t xml:space="preserve">三状态马尔可夫链的基础转移矩阵设为</w:t>
      </w:r>
    </w:p>
    <w:p>
      <w:pPr>
        <w:pStyle w:val="BodyText"/>
      </w:pPr>
      <m:oMathPara>
        <m:oMathParaPr>
          <m:jc m:val="center"/>
        </m:oMathParaPr>
        <m:oMath>
          <m:sSub>
            <m:e>
              <m:r>
                <m:t>M</m:t>
              </m:r>
            </m:e>
            <m:sub>
              <m:r>
                <m:t>0</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0.478</m:t>
                    </m:r>
                  </m:e>
                  <m:e>
                    <m:r>
                      <m:t>0.522</m:t>
                    </m:r>
                  </m:e>
                  <m:e>
                    <m:r>
                      <m:t>0.000</m:t>
                    </m:r>
                  </m:e>
                </m:mr>
                <m:mr>
                  <m:e>
                    <m:r>
                      <m:t>0.065</m:t>
                    </m:r>
                  </m:e>
                  <m:e>
                    <m:r>
                      <m:t>0.880</m:t>
                    </m:r>
                  </m:e>
                  <m:e>
                    <m:r>
                      <m:t>0.055</m:t>
                    </m:r>
                  </m:e>
                </m:mr>
                <m:mr>
                  <m:e>
                    <m:r>
                      <m:t>0.000</m:t>
                    </m:r>
                  </m:e>
                  <m:e>
                    <m:r>
                      <m:t>0.255</m:t>
                    </m:r>
                  </m:e>
                  <m:e>
                    <m:r>
                      <m:t>0.745</m:t>
                    </m:r>
                  </m:e>
                </m:mr>
              </m:m>
            </m:e>
          </m:d>
          <m:r>
            <m:rPr>
              <m:sty m:val="p"/>
            </m:rPr>
            <m:t>,</m:t>
          </m:r>
          <m:r>
            <m:t> </m:t>
          </m:r>
          <m:r>
            <m:rPr>
              <m:nor/>
              <m:sty m:val="p"/>
            </m:rPr>
            <m:t>行、列顺序均为 </m:t>
          </m:r>
          <m:r>
            <m:rPr>
              <m:sty m:val="p"/>
            </m:rPr>
            <m:t>(</m:t>
          </m:r>
          <m:r>
            <m:rPr>
              <m:nor/>
              <m:sty m:val="p"/>
            </m:rPr>
            <m:t>缓和</m:t>
          </m:r>
          <m:r>
            <m:rPr>
              <m:sty m:val="p"/>
            </m:rPr>
            <m:t>,</m:t>
          </m:r>
          <m:r>
            <m:rPr>
              <m:nor/>
              <m:sty m:val="p"/>
            </m:rPr>
            <m:t>维持</m:t>
          </m:r>
          <m:r>
            <m:rPr>
              <m:sty m:val="p"/>
            </m:rPr>
            <m:t>,</m:t>
          </m:r>
          <m:r>
            <m:rPr>
              <m:nor/>
              <m:sty m:val="p"/>
            </m:rPr>
            <m:t>升级</m:t>
          </m:r>
          <m:r>
            <m:rPr>
              <m:sty m:val="p"/>
            </m:rPr>
            <m:t>)</m:t>
          </m:r>
          <m:r>
            <m:rPr>
              <m:sty m:val="p"/>
            </m:rPr>
            <m:t>.</m:t>
          </m:r>
        </m:oMath>
      </m:oMathPara>
    </w:p>
    <w:p>
      <w:pPr>
        <w:pStyle w:val="FirstParagraph"/>
      </w:pPr>
      <w:r>
        <w:rPr>
          <w:rFonts w:hint="eastAsia"/>
        </w:rPr>
        <w:t xml:space="preserve">矩阵含义见</w:t>
      </w:r>
      <w:hyperlink w:anchor="tab:state-transition-matrix">
        <w:r>
          <w:rPr>
            <w:rStyle w:val="Hyperlink"/>
          </w:rPr>
          <w:t xml:space="preserve">[tab:state-transition-matrix]</w:t>
        </w:r>
      </w:hyperlink>
      <w:r>
        <w:rPr>
          <w:rFonts w:hint="eastAsia"/>
        </w:rPr>
        <w:t xml:space="preserve">。基础矩阵由</w:t>
      </w:r>
      <w:r>
        <w:t xml:space="preserve"> 2017–2025 </w:t>
      </w:r>
      <w:r>
        <w:rPr>
          <w:rFonts w:hint="eastAsia"/>
        </w:rPr>
        <w:t xml:space="preserve">年附件历史价格状态序列校准得到：维持状态是最常见的中间状态，升级状态具有较强惯性，缓和状态则容易回到维持状态。外部风险读数通过综合压力</w:t>
      </w:r>
      <w:r>
        <w:t xml:space="preserve"> </w:t>
      </w:r>
      <m:oMath>
        <m:r>
          <m:t>q</m:t>
        </m:r>
        <m:r>
          <m:rPr>
            <m:sty m:val="p"/>
          </m:rPr>
          <m:t>∈</m:t>
        </m:r>
        <m:r>
          <m:rPr>
            <m:sty m:val="p"/>
          </m:rPr>
          <m:t>[</m:t>
        </m:r>
        <m:r>
          <m:t>0</m:t>
        </m:r>
        <m:r>
          <m:rPr>
            <m:sty m:val="p"/>
          </m:rPr>
          <m:t>,</m:t>
        </m:r>
        <m:r>
          <m:t>1</m:t>
        </m:r>
        <m:r>
          <m:rPr>
            <m:sty m:val="p"/>
          </m:rPr>
          <m:t>]</m:t>
        </m:r>
      </m:oMath>
      <w:r>
        <w:t xml:space="preserve"> </w:t>
      </w:r>
      <w:r>
        <w:rPr>
          <w:rFonts w:hint="eastAsia"/>
        </w:rPr>
        <w:t xml:space="preserve">进入时变矩阵：</w:t>
      </w:r>
    </w:p>
    <w:p>
      <w:pPr>
        <w:pStyle w:val="BodyText"/>
      </w:pPr>
      <m:oMathPara>
        <m:oMathParaPr>
          <m:jc m:val="center"/>
        </m:oMathParaPr>
        <m:oMath>
          <m:r>
            <m:t>q</m:t>
          </m:r>
          <m:r>
            <m:rPr>
              <m:sty m:val="p"/>
            </m:rPr>
            <m:t>=</m:t>
          </m:r>
          <m:r>
            <m:t>0.6</m:t>
          </m:r>
          <m:sSub>
            <m:e>
              <m:r>
                <m:t>q</m:t>
              </m:r>
            </m:e>
            <m:sub>
              <m:r>
                <m:rPr>
                  <m:sty m:val="p"/>
                </m:rPr>
                <m:t>O</m:t>
              </m:r>
              <m:r>
                <m:rPr>
                  <m:sty m:val="p"/>
                </m:rPr>
                <m:t>V</m:t>
              </m:r>
              <m:r>
                <m:rPr>
                  <m:sty m:val="p"/>
                </m:rPr>
                <m:t>X</m:t>
              </m:r>
            </m:sub>
          </m:sSub>
          <m:r>
            <m:rPr>
              <m:sty m:val="p"/>
            </m:rPr>
            <m:t>+</m:t>
          </m:r>
          <m:r>
            <m:t>0.4</m:t>
          </m:r>
          <m:sSub>
            <m:e>
              <m:r>
                <m:t>q</m:t>
              </m:r>
            </m:e>
            <m:sub>
              <m:r>
                <m:rPr>
                  <m:sty m:val="p"/>
                </m:rPr>
                <m:t>G</m:t>
              </m:r>
              <m:r>
                <m:rPr>
                  <m:sty m:val="p"/>
                </m:rPr>
                <m:t>P</m:t>
              </m:r>
              <m:r>
                <m:rPr>
                  <m:sty m:val="p"/>
                </m:rPr>
                <m:t>R</m:t>
              </m:r>
            </m:sub>
          </m:sSub>
          <m:r>
            <m:rPr>
              <m:sty m:val="p"/>
            </m:rPr>
            <m:t>,</m:t>
          </m:r>
          <m:r>
            <m:t> </m:t>
          </m:r>
          <m:sSub>
            <m:e>
              <m:r>
                <m:t>d</m:t>
              </m:r>
            </m:e>
            <m:sub>
              <m:r>
                <m:t>t</m:t>
              </m:r>
            </m:sub>
          </m:sSub>
          <m:r>
            <m:rPr>
              <m:sty m:val="p"/>
            </m:rPr>
            <m:t>=</m:t>
          </m:r>
          <m:r>
            <m:rPr>
              <m:sty m:val="p"/>
            </m:rPr>
            <m:t>c</m:t>
          </m:r>
          <m:r>
            <m:rPr>
              <m:sty m:val="p"/>
            </m:rPr>
            <m:t>l</m:t>
          </m:r>
          <m:r>
            <m:rPr>
              <m:sty m:val="p"/>
            </m:rPr>
            <m:t>i</m:t>
          </m:r>
          <m:r>
            <m:rPr>
              <m:sty m:val="p"/>
            </m:rPr>
            <m:t>p</m:t>
          </m:r>
          <m:d>
            <m:dPr>
              <m:begChr m:val="("/>
              <m:sepChr m:val=""/>
              <m:endChr m:val=")"/>
              <m:grow/>
            </m:dPr>
            <m:e>
              <m:r>
                <m:t>1</m:t>
              </m:r>
              <m:r>
                <m:rPr>
                  <m:sty m:val="p"/>
                </m:rPr>
                <m:t>−</m:t>
              </m:r>
              <m:f>
                <m:fPr>
                  <m:type m:val="bar"/>
                </m:fPr>
                <m:num>
                  <m:r>
                    <m:t>t</m:t>
                  </m:r>
                  <m:r>
                    <m:rPr>
                      <m:sty m:val="p"/>
                    </m:rPr>
                    <m:t>−</m:t>
                  </m:r>
                  <m:r>
                    <m:t>60</m:t>
                  </m:r>
                </m:num>
                <m:den>
                  <m:r>
                    <m:t>150</m:t>
                  </m:r>
                </m:den>
              </m:f>
              <m:r>
                <m:rPr>
                  <m:sty m:val="p"/>
                </m:rPr>
                <m:t>,</m:t>
              </m:r>
              <m:r>
                <m:t>0.25</m:t>
              </m:r>
              <m:r>
                <m:rPr>
                  <m:sty m:val="p"/>
                </m:rPr>
                <m:t>,</m:t>
              </m:r>
              <m:r>
                <m:t>1</m:t>
              </m:r>
            </m:e>
          </m:d>
          <m:r>
            <m:rPr>
              <m:sty m:val="p"/>
            </m:rPr>
            <m:t>,</m:t>
          </m:r>
          <m:r>
            <m:t> </m:t>
          </m:r>
          <m:sSub>
            <m:e>
              <m:r>
                <m:t>r</m:t>
              </m:r>
            </m:e>
            <m:sub>
              <m:r>
                <m:t>t</m:t>
              </m:r>
            </m:sub>
          </m:sSub>
          <m:r>
            <m:rPr>
              <m:sty m:val="p"/>
            </m:rPr>
            <m:t>=</m:t>
          </m:r>
          <m:r>
            <m:t>0.75</m:t>
          </m:r>
          <m:r>
            <m:t>q</m:t>
          </m:r>
          <m:sSub>
            <m:e>
              <m:r>
                <m:t>d</m:t>
              </m:r>
            </m:e>
            <m:sub>
              <m:r>
                <m:t>t</m:t>
              </m:r>
            </m:sub>
          </m:sSub>
          <m:r>
            <m:rPr>
              <m:sty m:val="p"/>
            </m:rPr>
            <m:t>,</m:t>
          </m:r>
        </m:oMath>
      </m:oMathPara>
    </w:p>
    <w:p>
      <w:pPr>
        <w:pStyle w:val="FirstParagraph"/>
      </w:pPr>
      <w:r>
        <w:rPr>
          <w:rFonts w:hint="eastAsia"/>
        </w:rPr>
        <w:t xml:space="preserve">其中</w:t>
      </w:r>
      <w:r>
        <w:t xml:space="preserve"> </w:t>
      </w:r>
      <m:oMath>
        <m:sSub>
          <m:e>
            <m:r>
              <m:t>q</m:t>
            </m:r>
          </m:e>
          <m:sub>
            <m:r>
              <m:rPr>
                <m:sty m:val="p"/>
              </m:rPr>
              <m:t>O</m:t>
            </m:r>
            <m:r>
              <m:rPr>
                <m:sty m:val="p"/>
              </m:rPr>
              <m:t>V</m:t>
            </m:r>
            <m:r>
              <m:rPr>
                <m:sty m:val="p"/>
              </m:rPr>
              <m:t>X</m:t>
            </m:r>
          </m:sub>
        </m:sSub>
      </m:oMath>
      <w:r>
        <w:t xml:space="preserve"> </w:t>
      </w:r>
      <w:r>
        <w:rPr>
          <w:rFonts w:hint="eastAsia"/>
        </w:rPr>
        <w:t xml:space="preserve">由</w:t>
      </w:r>
      <w:r>
        <w:t xml:space="preserve"> OVX </w:t>
      </w:r>
      <w:r>
        <w:rPr>
          <w:rFonts w:hint="eastAsia"/>
        </w:rPr>
        <w:t xml:space="preserve">冲突窗口历史分位数和滞后</w:t>
      </w:r>
      <w:r>
        <w:t xml:space="preserve"> OVX </w:t>
      </w:r>
      <w:r>
        <w:rPr>
          <w:rFonts w:hint="eastAsia"/>
        </w:rPr>
        <w:t xml:space="preserve">与</w:t>
      </w:r>
      <w:r>
        <w:t xml:space="preserve"> 7 </w:t>
      </w:r>
      <w:r>
        <w:rPr>
          <w:rFonts w:hint="eastAsia"/>
        </w:rPr>
        <w:t xml:space="preserve">日实现波动率相关性计算，</w:t>
      </w:r>
      <m:oMath>
        <m:sSub>
          <m:e>
            <m:r>
              <m:t>q</m:t>
            </m:r>
          </m:e>
          <m:sub>
            <m:r>
              <m:rPr>
                <m:sty m:val="p"/>
              </m:rPr>
              <m:t>G</m:t>
            </m:r>
            <m:r>
              <m:rPr>
                <m:sty m:val="p"/>
              </m:rPr>
              <m:t>P</m:t>
            </m:r>
            <m:r>
              <m:rPr>
                <m:sty m:val="p"/>
              </m:rPr>
              <m:t>R</m:t>
            </m:r>
          </m:sub>
        </m:sSub>
      </m:oMath>
      <w:r>
        <w:t xml:space="preserve"> </w:t>
      </w:r>
      <w:r>
        <w:rPr>
          <w:rFonts w:hint="eastAsia"/>
        </w:rPr>
        <w:t xml:space="preserve">由</w:t>
      </w:r>
      <w:r>
        <w:t xml:space="preserve"> GPR </w:t>
      </w:r>
      <w:r>
        <w:rPr>
          <w:rFonts w:hint="eastAsia"/>
        </w:rPr>
        <w:t xml:space="preserve">事件月历史分位数计算。本项目实算得到</w:t>
      </w:r>
      <w:r>
        <w:t xml:space="preserve"> </w:t>
      </w:r>
      <m:oMath>
        <m:r>
          <m:t>q</m:t>
        </m:r>
        <m:r>
          <m:rPr>
            <m:sty m:val="p"/>
          </m:rPr>
          <m:t>=</m:t>
        </m:r>
        <m:r>
          <m:t>0.831</m:t>
        </m:r>
      </m:oMath>
      <w:r>
        <w:rPr>
          <w:rFonts w:hint="eastAsia"/>
        </w:rPr>
        <w:t xml:space="preserve">。同时定义物理压力</w:t>
      </w:r>
      <w:r>
        <w:t xml:space="preserve"> </w:t>
      </w:r>
      <m:oMath>
        <m:sSub>
          <m:e>
            <m:r>
              <m:t>h</m:t>
            </m:r>
          </m:e>
          <m:sub>
            <m:r>
              <m:t>t</m:t>
            </m:r>
          </m:sub>
        </m:sSub>
        <m:r>
          <m:rPr>
            <m:sty m:val="p"/>
          </m:rPr>
          <m:t>∈</m:t>
        </m:r>
        <m:r>
          <m:rPr>
            <m:sty m:val="p"/>
          </m:rPr>
          <m:t>[</m:t>
        </m:r>
        <m:r>
          <m:t>0</m:t>
        </m:r>
        <m:r>
          <m:rPr>
            <m:sty m:val="p"/>
          </m:rPr>
          <m:t>,</m:t>
        </m:r>
        <m:r>
          <m:t>1</m:t>
        </m:r>
        <m:r>
          <m:rPr>
            <m:sty m:val="p"/>
          </m:rPr>
          <m:t>]</m:t>
        </m:r>
      </m:oMath>
      <w:r>
        <w:rPr>
          <w:rFonts w:hint="eastAsia"/>
        </w:rPr>
        <w:t xml:space="preserve">，由悲观中心路径中的剩余缺口、SPR</w:t>
      </w:r>
      <w:r>
        <w:t xml:space="preserve"> </w:t>
      </w:r>
      <w:r>
        <w:rPr>
          <w:rFonts w:hint="eastAsia"/>
        </w:rPr>
        <w:t xml:space="preserve">预算消耗、库存消耗、高价压力、绕道瓶颈和</w:t>
      </w:r>
      <w:r>
        <w:t xml:space="preserve"> SPR </w:t>
      </w:r>
      <w:r>
        <w:rPr>
          <w:rFonts w:hint="eastAsia"/>
        </w:rPr>
        <w:t xml:space="preserve">耗尽压力加权得到；定义恢复证据</w:t>
      </w:r>
      <w:r>
        <w:t xml:space="preserve"> </w:t>
      </w:r>
      <m:oMath>
        <m:sSub>
          <m:e>
            <m:r>
              <m:t>g</m:t>
            </m:r>
          </m:e>
          <m:sub>
            <m:r>
              <m:t>t</m:t>
            </m:r>
          </m:sub>
        </m:sSub>
        <m:r>
          <m:rPr>
            <m:sty m:val="p"/>
          </m:rPr>
          <m:t>∈</m:t>
        </m:r>
        <m:r>
          <m:rPr>
            <m:sty m:val="p"/>
          </m:rPr>
          <m:t>[</m:t>
        </m:r>
        <m:r>
          <m:t>0</m:t>
        </m:r>
        <m:r>
          <m:rPr>
            <m:sty m:val="p"/>
          </m:rPr>
          <m:t>,</m:t>
        </m:r>
        <m:r>
          <m:t>1</m:t>
        </m:r>
        <m:r>
          <m:rPr>
            <m:sty m:val="p"/>
          </m:rPr>
          <m:t>]</m:t>
        </m:r>
      </m:oMath>
      <w:r>
        <w:rPr>
          <w:rFonts w:hint="eastAsia"/>
        </w:rPr>
        <w:t xml:space="preserve">，由缺口缓解、SPR</w:t>
      </w:r>
      <w:r>
        <w:t xml:space="preserve"> </w:t>
      </w:r>
      <w:r>
        <w:rPr>
          <w:rFonts w:hint="eastAsia"/>
        </w:rPr>
        <w:t xml:space="preserve">与库存剩余、高价压力回落和耗尽压力下降共同决定。为避免直接在线性概率上加减后再裁剪，本文先将基础矩阵第</w:t>
      </w:r>
      <w:r>
        <w:t xml:space="preserve"> </w:t>
      </w:r>
      <m:oMath>
        <m:r>
          <m:t>i</m:t>
        </m:r>
      </m:oMath>
      <w:r>
        <w:t xml:space="preserve"> </w:t>
      </w:r>
      <w:r>
        <w:rPr>
          <w:rFonts w:hint="eastAsia"/>
        </w:rPr>
        <w:t xml:space="preserve">行</w:t>
      </w:r>
      <w:r>
        <w:t xml:space="preserve"> </w:t>
      </w:r>
      <m:oMath>
        <m:sSub>
          <m:e>
            <m:r>
              <m:t>m</m:t>
            </m:r>
          </m:e>
          <m:sub>
            <m:r>
              <m:t>i</m:t>
            </m:r>
          </m:sub>
        </m:sSub>
      </m:oMath>
      <w:r>
        <w:t xml:space="preserve"> </w:t>
      </w:r>
      <w:r>
        <w:rPr>
          <w:rFonts w:hint="eastAsia"/>
        </w:rPr>
        <w:t xml:space="preserve">映射到</w:t>
      </w:r>
      <w:r>
        <w:t xml:space="preserve"> logit </w:t>
      </w:r>
      <w:r>
        <w:rPr>
          <w:rFonts w:hint="eastAsia"/>
        </w:rPr>
        <w:t xml:space="preserve">空间：</w:t>
      </w:r>
    </w:p>
    <w:p>
      <w:pPr>
        <w:pStyle w:val="BodyText"/>
      </w:pPr>
      <m:oMathPara>
        <m:oMathParaPr>
          <m:jc m:val="center"/>
        </m:oMathParaPr>
        <m:oMath>
          <m:sSubSup>
            <m:e>
              <m:r>
                <m:t>ℓ</m:t>
              </m:r>
            </m:e>
            <m:sub>
              <m:r>
                <m:t>i</m:t>
              </m:r>
              <m:r>
                <m:rPr>
                  <m:sty m:val="p"/>
                </m:rPr>
                <m:t>,</m:t>
              </m:r>
              <m:r>
                <m:t>k</m:t>
              </m:r>
            </m:sub>
            <m:sup>
              <m:r>
                <m:rPr>
                  <m:sty m:val="p"/>
                </m:rPr>
                <m:t>(</m:t>
              </m:r>
              <m:r>
                <m:t>0</m:t>
              </m:r>
              <m:r>
                <m:rPr>
                  <m:sty m:val="p"/>
                </m:rPr>
                <m:t>)</m:t>
              </m:r>
            </m:sup>
          </m:sSubSup>
          <m:r>
            <m:rPr>
              <m:sty m:val="p"/>
            </m:rPr>
            <m:t>=</m:t>
          </m:r>
          <m:r>
            <m:rPr>
              <m:sty m:val="p"/>
            </m:rPr>
            <m:t>log</m:t>
          </m:r>
          <m:r>
            <m:rPr>
              <m:sty m:val="p"/>
            </m:rPr>
            <m:t>{</m:t>
          </m:r>
          <m:r>
            <m:rPr>
              <m:sty m:val="p"/>
            </m:rPr>
            <m:t>max</m:t>
          </m:r>
          <m:r>
            <m:rPr>
              <m:sty m:val="p"/>
            </m:rPr>
            <m:t>(</m:t>
          </m:r>
          <m:sSub>
            <m:e>
              <m:r>
                <m:t>m</m:t>
              </m:r>
            </m:e>
            <m:sub>
              <m:r>
                <m:t>i</m:t>
              </m:r>
              <m:r>
                <m:rPr>
                  <m:sty m:val="p"/>
                </m:rPr>
                <m:t>,</m:t>
              </m:r>
              <m:r>
                <m:t>k</m:t>
              </m:r>
            </m:sub>
          </m:sSub>
          <m:r>
            <m:rPr>
              <m:sty m:val="p"/>
            </m:rPr>
            <m:t>,</m:t>
          </m:r>
          <m:sSup>
            <m:e>
              <m:r>
                <m:t>10</m:t>
              </m:r>
            </m:e>
            <m:sup>
              <m:r>
                <m:rPr>
                  <m:sty m:val="p"/>
                </m:rPr>
                <m:t>−</m:t>
              </m:r>
              <m:r>
                <m:t>6</m:t>
              </m:r>
            </m:sup>
          </m:sSup>
          <m:r>
            <m:rPr>
              <m:sty m:val="p"/>
            </m:rPr>
            <m:t>)</m:t>
          </m:r>
          <m:r>
            <m:rPr>
              <m:sty m:val="p"/>
            </m:rPr>
            <m:t>}</m:t>
          </m:r>
          <m:r>
            <m:rPr>
              <m:sty m:val="p"/>
            </m:rPr>
            <m:t>,</m:t>
          </m:r>
          <m:r>
            <m:t> </m:t>
          </m:r>
          <m:r>
            <m:t>k</m:t>
          </m:r>
          <m:r>
            <m:rPr>
              <m:sty m:val="p"/>
            </m:rPr>
            <m:t>∈</m:t>
          </m:r>
          <m:r>
            <m:rPr>
              <m:sty m:val="p"/>
            </m:rPr>
            <m:t>{</m:t>
          </m:r>
          <m:r>
            <m:t>C</m:t>
          </m:r>
          <m:r>
            <m:rPr>
              <m:sty m:val="p"/>
            </m:rPr>
            <m:t>,</m:t>
          </m:r>
          <m:r>
            <m:t>N</m:t>
          </m:r>
          <m:r>
            <m:rPr>
              <m:sty m:val="p"/>
            </m:rPr>
            <m:t>,</m:t>
          </m:r>
          <m:r>
            <m:t>E</m:t>
          </m:r>
          <m:r>
            <m:rPr>
              <m:sty m:val="p"/>
            </m:rPr>
            <m:t>}</m:t>
          </m:r>
          <m:r>
            <m:rPr>
              <m:sty m:val="p"/>
            </m:rPr>
            <m:t>,</m:t>
          </m:r>
        </m:oMath>
      </m:oMathPara>
    </w:p>
    <w:p>
      <w:pPr>
        <w:pStyle w:val="FirstParagraph"/>
      </w:pPr>
      <w:r>
        <w:rPr>
          <w:rFonts w:hint="eastAsia"/>
        </w:rPr>
        <w:t xml:space="preserve">再在</w:t>
      </w:r>
      <w:r>
        <w:t xml:space="preserve"> logit </w:t>
      </w:r>
      <w:r>
        <w:rPr>
          <w:rFonts w:hint="eastAsia"/>
        </w:rPr>
        <w:t xml:space="preserve">空间叠加风险压力与物理压力：</w:t>
      </w:r>
    </w:p>
    <w:p>
      <w:pPr>
        <w:pStyle w:val="BodyText"/>
      </w:pPr>
      <m:oMathPara>
        <m:oMathParaPr>
          <m:jc m:val="center"/>
        </m:oMathParaPr>
        <m:oMath>
          <m:sSub>
            <m:e>
              <m:acc>
                <m:accPr>
                  <m:chr m:val="̃"/>
                </m:accPr>
                <m:e>
                  <m:r>
                    <m:t>ℓ</m:t>
                  </m:r>
                </m:e>
              </m:acc>
            </m:e>
            <m:sub>
              <m:r>
                <m:t>i</m:t>
              </m:r>
              <m:r>
                <m:rPr>
                  <m:sty m:val="p"/>
                </m:rPr>
                <m:t>,</m:t>
              </m:r>
              <m:r>
                <m:t>E</m:t>
              </m:r>
            </m:sub>
          </m:sSub>
          <m:r>
            <m:rPr>
              <m:sty m:val="p"/>
            </m:rPr>
            <m:t>(</m:t>
          </m:r>
          <m:r>
            <m:t>t</m:t>
          </m:r>
          <m:r>
            <m:rPr>
              <m:sty m:val="p"/>
            </m:rPr>
            <m:t>)</m:t>
          </m:r>
          <m:r>
            <m:rPr>
              <m:sty m:val="p"/>
            </m:rPr>
            <m:t>=</m:t>
          </m:r>
          <m:sSubSup>
            <m:e>
              <m:r>
                <m:t>ℓ</m:t>
              </m:r>
            </m:e>
            <m:sub>
              <m:r>
                <m:t>i</m:t>
              </m:r>
              <m:r>
                <m:rPr>
                  <m:sty m:val="p"/>
                </m:rPr>
                <m:t>,</m:t>
              </m:r>
              <m:r>
                <m:t>E</m:t>
              </m:r>
            </m:sub>
            <m:sup>
              <m:r>
                <m:rPr>
                  <m:sty m:val="p"/>
                </m:rPr>
                <m:t>(</m:t>
              </m:r>
              <m:r>
                <m:t>0</m:t>
              </m:r>
              <m:r>
                <m:rPr>
                  <m:sty m:val="p"/>
                </m:rPr>
                <m:t>)</m:t>
              </m:r>
            </m:sup>
          </m:sSubSup>
          <m:r>
            <m:rPr>
              <m:sty m:val="p"/>
            </m:rPr>
            <m:t>+</m:t>
          </m:r>
          <m:r>
            <m:t>0.16</m:t>
          </m:r>
          <m:sSub>
            <m:e>
              <m:r>
                <m:t>r</m:t>
              </m:r>
            </m:e>
            <m:sub>
              <m:r>
                <m:t>t</m:t>
              </m:r>
            </m:sub>
          </m:sSub>
          <m:r>
            <m:rPr>
              <m:sty m:val="p"/>
            </m:rPr>
            <m:t>+</m:t>
          </m:r>
          <m:r>
            <m:t>0.24</m:t>
          </m:r>
          <m:r>
            <m:rPr>
              <m:sty m:val="p"/>
            </m:rPr>
            <m:t>(</m:t>
          </m:r>
          <m:r>
            <m:t>0.8</m:t>
          </m:r>
          <m:sSub>
            <m:e>
              <m:r>
                <m:t>h</m:t>
              </m:r>
            </m:e>
            <m:sub>
              <m:r>
                <m:t>t</m:t>
              </m:r>
            </m:sub>
          </m:sSub>
          <m:r>
            <m:rPr>
              <m:sty m:val="p"/>
            </m:rPr>
            <m:t>)</m:t>
          </m:r>
          <m:r>
            <m:rPr>
              <m:sty m:val="p"/>
            </m:rPr>
            <m:t>,</m:t>
          </m:r>
          <m:r>
            <m:t> </m:t>
          </m:r>
          <m:sSub>
            <m:e>
              <m:acc>
                <m:accPr>
                  <m:chr m:val="̃"/>
                </m:accPr>
                <m:e>
                  <m:r>
                    <m:t>ℓ</m:t>
                  </m:r>
                </m:e>
              </m:acc>
            </m:e>
            <m:sub>
              <m:r>
                <m:t>i</m:t>
              </m:r>
              <m:r>
                <m:rPr>
                  <m:sty m:val="p"/>
                </m:rPr>
                <m:t>,</m:t>
              </m:r>
              <m:r>
                <m:t>C</m:t>
              </m:r>
            </m:sub>
          </m:sSub>
          <m:r>
            <m:rPr>
              <m:sty m:val="p"/>
            </m:rPr>
            <m:t>(</m:t>
          </m:r>
          <m:r>
            <m:t>t</m:t>
          </m:r>
          <m:r>
            <m:rPr>
              <m:sty m:val="p"/>
            </m:rPr>
            <m:t>)</m:t>
          </m:r>
          <m:r>
            <m:rPr>
              <m:sty m:val="p"/>
            </m:rPr>
            <m:t>=</m:t>
          </m:r>
          <m:sSubSup>
            <m:e>
              <m:r>
                <m:t>ℓ</m:t>
              </m:r>
            </m:e>
            <m:sub>
              <m:r>
                <m:t>i</m:t>
              </m:r>
              <m:r>
                <m:rPr>
                  <m:sty m:val="p"/>
                </m:rPr>
                <m:t>,</m:t>
              </m:r>
              <m:r>
                <m:t>C</m:t>
              </m:r>
            </m:sub>
            <m:sup>
              <m:r>
                <m:rPr>
                  <m:sty m:val="p"/>
                </m:rPr>
                <m:t>(</m:t>
              </m:r>
              <m:r>
                <m:t>0</m:t>
              </m:r>
              <m:r>
                <m:rPr>
                  <m:sty m:val="p"/>
                </m:rPr>
                <m:t>)</m:t>
              </m:r>
            </m:sup>
          </m:sSubSup>
          <m:r>
            <m:rPr>
              <m:sty m:val="p"/>
            </m:rPr>
            <m:t>−</m:t>
          </m:r>
          <m:r>
            <m:t>0.11</m:t>
          </m:r>
          <m:sSub>
            <m:e>
              <m:r>
                <m:t>r</m:t>
              </m:r>
            </m:e>
            <m:sub>
              <m:r>
                <m:t>t</m:t>
              </m:r>
            </m:sub>
          </m:sSub>
          <m:r>
            <m:rPr>
              <m:sty m:val="p"/>
            </m:rPr>
            <m:t>−</m:t>
          </m:r>
          <m:r>
            <m:t>0.18</m:t>
          </m:r>
          <m:r>
            <m:rPr>
              <m:sty m:val="p"/>
            </m:rPr>
            <m:t>(</m:t>
          </m:r>
          <m:r>
            <m:t>0.8</m:t>
          </m:r>
          <m:sSub>
            <m:e>
              <m:r>
                <m:t>h</m:t>
              </m:r>
            </m:e>
            <m:sub>
              <m:r>
                <m:t>t</m:t>
              </m:r>
            </m:sub>
          </m:sSub>
          <m:r>
            <m:rPr>
              <m:sty m:val="p"/>
            </m:rPr>
            <m:t>)</m:t>
          </m:r>
          <m:r>
            <m:rPr>
              <m:sty m:val="p"/>
            </m:rPr>
            <m:t>,</m:t>
          </m:r>
        </m:oMath>
      </m:oMathPara>
    </w:p>
    <w:p>
      <w:pPr>
        <w:pStyle w:val="FirstParagraph"/>
      </w:pPr>
      <w:r>
        <w:rPr>
          <w:rFonts w:hint="eastAsia"/>
        </w:rPr>
        <w:t xml:space="preserve">其中</w:t>
      </w:r>
      <w:r>
        <w:t xml:space="preserve"> </w:t>
      </w:r>
      <m:oMath>
        <m:r>
          <m:t>E</m:t>
        </m:r>
      </m:oMath>
      <w:r>
        <w:t xml:space="preserve"> </w:t>
      </w:r>
      <w:r>
        <w:rPr>
          <w:rFonts w:hint="eastAsia"/>
        </w:rPr>
        <w:t xml:space="preserve">表示升级列，</w:t>
      </w:r>
      <m:oMath>
        <m:r>
          <m:t>C</m:t>
        </m:r>
      </m:oMath>
      <w:r>
        <w:t xml:space="preserve"> </w:t>
      </w:r>
      <w:r>
        <w:rPr>
          <w:rFonts w:hint="eastAsia"/>
        </w:rPr>
        <w:t xml:space="preserve">表示缓和列；若当前已处于升级状态，则升级列额外增加</w:t>
      </w:r>
      <w:r>
        <w:t xml:space="preserve"> </w:t>
      </w:r>
      <m:oMath>
        <m:r>
          <m:t>0.07</m:t>
        </m:r>
        <m:sSub>
          <m:e>
            <m:r>
              <m:t>r</m:t>
            </m:r>
          </m:e>
          <m:sub>
            <m:r>
              <m:t>t</m:t>
            </m:r>
          </m:sub>
        </m:sSub>
        <m:r>
          <m:rPr>
            <m:sty m:val="p"/>
          </m:rPr>
          <m:t>+</m:t>
        </m:r>
        <m:r>
          <m:t>0.11</m:t>
        </m:r>
        <m:r>
          <m:rPr>
            <m:sty m:val="p"/>
          </m:rPr>
          <m:t>(</m:t>
        </m:r>
        <m:r>
          <m:t>0.8</m:t>
        </m:r>
        <m:sSub>
          <m:e>
            <m:r>
              <m:t>h</m:t>
            </m:r>
          </m:e>
          <m:sub>
            <m:r>
              <m:t>t</m:t>
            </m:r>
          </m:sub>
        </m:sSub>
        <m:r>
          <m:rPr>
            <m:sty m:val="p"/>
          </m:rPr>
          <m:t>)</m:t>
        </m:r>
      </m:oMath>
      <w:r>
        <w:t xml:space="preserve"> </w:t>
      </w:r>
      <w:r>
        <w:rPr>
          <w:rFonts w:hint="eastAsia"/>
        </w:rPr>
        <w:t xml:space="preserve">的状态惯性项；若当前处于缓和状态，则维持列增加</w:t>
      </w:r>
      <w:r>
        <w:t xml:space="preserve"> </w:t>
      </w:r>
      <m:oMath>
        <m:r>
          <m:t>0.04</m:t>
        </m:r>
        <m:sSub>
          <m:e>
            <m:r>
              <m:t>r</m:t>
            </m:r>
          </m:e>
          <m:sub>
            <m:r>
              <m:t>t</m:t>
            </m:r>
          </m:sub>
        </m:sSub>
      </m:oMath>
      <w:r>
        <w:rPr>
          <w:rFonts w:hint="eastAsia"/>
        </w:rPr>
        <w:t xml:space="preserve">。第</w:t>
      </w:r>
      <w:r>
        <w:t xml:space="preserve"> 120 </w:t>
      </w:r>
      <w:r>
        <w:rPr>
          <w:rFonts w:hint="eastAsia"/>
        </w:rPr>
        <w:t xml:space="preserve">天和第</w:t>
      </w:r>
      <w:r>
        <w:t xml:space="preserve"> 150 </w:t>
      </w:r>
      <w:r>
        <w:rPr>
          <w:rFonts w:hint="eastAsia"/>
        </w:rPr>
        <w:t xml:space="preserve">天后不再按日历时间机械提高缓和概率，而是设置</w:t>
      </w:r>
    </w:p>
    <w:p>
      <w:pPr>
        <w:pStyle w:val="BodyText"/>
      </w:pPr>
      <m:oMathPara>
        <m:oMathParaPr>
          <m:jc m:val="center"/>
        </m:oMathParaPr>
        <m:oMath>
          <m:sSub>
            <m:e>
              <m:r>
                <m:t>λ</m:t>
              </m:r>
            </m:e>
            <m:sub>
              <m:r>
                <m:t>t</m:t>
              </m:r>
            </m:sub>
          </m:sSub>
          <m:r>
            <m:rPr>
              <m:sty m:val="p"/>
            </m:rPr>
            <m:t>=</m:t>
          </m:r>
          <m:r>
            <m:t>0.75</m:t>
          </m:r>
          <m:r>
            <m:rPr>
              <m:sty m:val="p"/>
            </m:rPr>
            <m:t>⋅</m:t>
          </m:r>
          <m:r>
            <m:rPr>
              <m:sty m:val="p"/>
            </m:rPr>
            <m:t>c</m:t>
          </m:r>
          <m:r>
            <m:rPr>
              <m:sty m:val="p"/>
            </m:rPr>
            <m:t>l</m:t>
          </m:r>
          <m:r>
            <m:rPr>
              <m:sty m:val="p"/>
            </m:rPr>
            <m:t>i</m:t>
          </m:r>
          <m:r>
            <m:rPr>
              <m:sty m:val="p"/>
            </m:rPr>
            <m:t>p</m:t>
          </m:r>
          <m:d>
            <m:dPr>
              <m:begChr m:val="("/>
              <m:sepChr m:val=""/>
              <m:endChr m:val=")"/>
              <m:grow/>
            </m:dPr>
            <m:e>
              <m:f>
                <m:fPr>
                  <m:type m:val="bar"/>
                </m:fPr>
                <m:num>
                  <m:sSub>
                    <m:e>
                      <m:r>
                        <m:t>g</m:t>
                      </m:r>
                    </m:e>
                    <m:sub>
                      <m:r>
                        <m:t>t</m:t>
                      </m:r>
                    </m:sub>
                  </m:sSub>
                  <m:r>
                    <m:rPr>
                      <m:sty m:val="p"/>
                    </m:rPr>
                    <m:t>−</m:t>
                  </m:r>
                  <m:r>
                    <m:t>0.45</m:t>
                  </m:r>
                </m:num>
                <m:den>
                  <m:r>
                    <m:t>0.35</m:t>
                  </m:r>
                </m:den>
              </m:f>
              <m:r>
                <m:rPr>
                  <m:sty m:val="p"/>
                </m:rPr>
                <m:t>,</m:t>
              </m:r>
              <m:r>
                <m:t>0</m:t>
              </m:r>
              <m:r>
                <m:rPr>
                  <m:sty m:val="p"/>
                </m:rPr>
                <m:t>,</m:t>
              </m:r>
              <m:r>
                <m:t>1</m:t>
              </m:r>
            </m:e>
          </m:d>
          <m:r>
            <m:rPr>
              <m:sty m:val="p"/>
            </m:rPr>
            <m:t>⋅</m:t>
          </m:r>
          <m:r>
            <m:rPr>
              <m:sty m:val="p"/>
            </m:rPr>
            <m:t>c</m:t>
          </m:r>
          <m:r>
            <m:rPr>
              <m:sty m:val="p"/>
            </m:rPr>
            <m:t>l</m:t>
          </m:r>
          <m:r>
            <m:rPr>
              <m:sty m:val="p"/>
            </m:rPr>
            <m:t>i</m:t>
          </m:r>
          <m:r>
            <m:rPr>
              <m:sty m:val="p"/>
            </m:rPr>
            <m:t>p</m:t>
          </m:r>
          <m:r>
            <m:rPr>
              <m:sty m:val="p"/>
            </m:rPr>
            <m:t>(</m:t>
          </m:r>
          <m:r>
            <m:t>1</m:t>
          </m:r>
          <m:r>
            <m:rPr>
              <m:sty m:val="p"/>
            </m:rPr>
            <m:t>−</m:t>
          </m:r>
          <m:r>
            <m:t>0.75</m:t>
          </m:r>
          <m:r>
            <m:rPr>
              <m:sty m:val="p"/>
            </m:rPr>
            <m:t>⋅</m:t>
          </m:r>
          <m:r>
            <m:t>0.8</m:t>
          </m:r>
          <m:sSub>
            <m:e>
              <m:r>
                <m:t>h</m:t>
              </m:r>
            </m:e>
            <m:sub>
              <m:r>
                <m:t>t</m:t>
              </m:r>
            </m:sub>
          </m:sSub>
          <m:r>
            <m:rPr>
              <m:sty m:val="p"/>
            </m:rPr>
            <m:t>,</m:t>
          </m:r>
          <m:r>
            <m:t>0</m:t>
          </m:r>
          <m:r>
            <m:rPr>
              <m:sty m:val="p"/>
            </m:rPr>
            <m:t>,</m:t>
          </m:r>
          <m:r>
            <m:t>1</m:t>
          </m:r>
          <m:r>
            <m:rPr>
              <m:sty m:val="p"/>
            </m:rPr>
            <m:t>)</m:t>
          </m:r>
          <m:r>
            <m:rPr>
              <m:sty m:val="p"/>
            </m:rPr>
            <m:t>,</m:t>
          </m:r>
        </m:oMath>
      </m:oMathPara>
    </w:p>
    <w:p>
      <w:pPr>
        <w:pStyle w:val="FirstParagraph"/>
      </w:pPr>
      <w:r>
        <w:rPr>
          <w:rFonts w:hint="eastAsia"/>
        </w:rPr>
        <w:t xml:space="preserve">并仅在</w:t>
      </w:r>
      <w:r>
        <w:t xml:space="preserve"> </w:t>
      </w:r>
      <m:oMath>
        <m:sSub>
          <m:e>
            <m:r>
              <m:t>λ</m:t>
            </m:r>
          </m:e>
          <m:sub>
            <m:r>
              <m:t>t</m:t>
            </m:r>
          </m:sub>
        </m:sSub>
        <m:r>
          <m:rPr>
            <m:sty m:val="p"/>
          </m:rPr>
          <m:t>&gt;</m:t>
        </m:r>
        <m:r>
          <m:t>0</m:t>
        </m:r>
      </m:oMath>
      <w:r>
        <w:t xml:space="preserve"> </w:t>
      </w:r>
      <w:r>
        <w:rPr>
          <w:rFonts w:hint="eastAsia"/>
        </w:rPr>
        <w:t xml:space="preserve">时提高缓和倾向、压低升级倾向。最终时变概率由</w:t>
      </w:r>
    </w:p>
    <w:p>
      <w:pPr>
        <w:pStyle w:val="BodyText"/>
      </w:pPr>
      <m:oMathPara>
        <m:oMathParaPr>
          <m:jc m:val="center"/>
        </m:oMathParaPr>
        <m:oMath>
          <m:sSub>
            <m:e>
              <m:r>
                <m:t>m</m:t>
              </m:r>
            </m:e>
            <m:sub>
              <m:r>
                <m:t>i</m:t>
              </m:r>
              <m:r>
                <m:rPr>
                  <m:sty m:val="p"/>
                </m:rPr>
                <m:t>,</m:t>
              </m:r>
              <m:r>
                <m:t>k</m:t>
              </m:r>
            </m:sub>
          </m:sSub>
          <m:r>
            <m:rPr>
              <m:sty m:val="p"/>
            </m:rPr>
            <m:t>(</m:t>
          </m:r>
          <m:r>
            <m:t>t</m:t>
          </m:r>
          <m:r>
            <m:rPr>
              <m:sty m:val="p"/>
            </m:rPr>
            <m:t>)</m:t>
          </m:r>
          <m:r>
            <m:rPr>
              <m:sty m:val="p"/>
            </m:rPr>
            <m:t>=</m:t>
          </m:r>
          <m:f>
            <m:fPr>
              <m:type m:val="bar"/>
            </m:fPr>
            <m:num>
              <m:r>
                <m:rPr>
                  <m:sty m:val="p"/>
                </m:rPr>
                <m:t>exp</m:t>
              </m:r>
              <m:r>
                <m:rPr>
                  <m:sty m:val="p"/>
                </m:rPr>
                <m:t>{</m:t>
              </m:r>
              <m:sSub>
                <m:e>
                  <m:acc>
                    <m:accPr>
                      <m:chr m:val="̃"/>
                    </m:accPr>
                    <m:e>
                      <m:r>
                        <m:t>ℓ</m:t>
                      </m:r>
                    </m:e>
                  </m:acc>
                </m:e>
                <m:sub>
                  <m:r>
                    <m:t>i</m:t>
                  </m:r>
                  <m:r>
                    <m:rPr>
                      <m:sty m:val="p"/>
                    </m:rPr>
                    <m:t>,</m:t>
                  </m:r>
                  <m:r>
                    <m:t>k</m:t>
                  </m:r>
                </m:sub>
              </m:sSub>
              <m:r>
                <m:rPr>
                  <m:sty m:val="p"/>
                </m:rPr>
                <m:t>(</m:t>
              </m:r>
              <m:r>
                <m:t>t</m:t>
              </m:r>
              <m:r>
                <m:rPr>
                  <m:sty m:val="p"/>
                </m:rPr>
                <m:t>)</m:t>
              </m:r>
              <m:r>
                <m:rPr>
                  <m:sty m:val="p"/>
                </m:rPr>
                <m:t>}</m:t>
              </m:r>
            </m:num>
            <m:den>
              <m:nary>
                <m:naryPr>
                  <m:chr m:val="∑"/>
                  <m:limLoc m:val="undOvr"/>
                  <m:subHide m:val="off"/>
                  <m:supHide m:val="on"/>
                </m:naryPr>
                <m:sub>
                  <m:r>
                    <m:t>j</m:t>
                  </m:r>
                </m:sub>
                <m:sup>
                  <m:r>
                    <m:t>​</m:t>
                  </m:r>
                </m:sup>
                <m:e>
                  <m:r>
                    <m:rPr>
                      <m:sty m:val="p"/>
                    </m:rPr>
                    <m:t>exp</m:t>
                  </m:r>
                </m:e>
              </m:nary>
              <m:r>
                <m:rPr>
                  <m:sty m:val="p"/>
                </m:rPr>
                <m:t>{</m:t>
              </m:r>
              <m:sSub>
                <m:e>
                  <m:acc>
                    <m:accPr>
                      <m:chr m:val="̃"/>
                    </m:accPr>
                    <m:e>
                      <m:r>
                        <m:t>ℓ</m:t>
                      </m:r>
                    </m:e>
                  </m:acc>
                </m:e>
                <m:sub>
                  <m:r>
                    <m:t>i</m:t>
                  </m:r>
                  <m:r>
                    <m:rPr>
                      <m:sty m:val="p"/>
                    </m:rPr>
                    <m:t>,</m:t>
                  </m:r>
                  <m:r>
                    <m:t>j</m:t>
                  </m:r>
                </m:sub>
              </m:sSub>
              <m:r>
                <m:rPr>
                  <m:sty m:val="p"/>
                </m:rPr>
                <m:t>(</m:t>
              </m:r>
              <m:r>
                <m:t>t</m:t>
              </m:r>
              <m:r>
                <m:rPr>
                  <m:sty m:val="p"/>
                </m:rPr>
                <m:t>)</m:t>
              </m:r>
              <m:r>
                <m:rPr>
                  <m:sty m:val="p"/>
                </m:rPr>
                <m:t>}</m:t>
              </m:r>
            </m:den>
          </m:f>
        </m:oMath>
      </m:oMathPara>
    </w:p>
    <w:p>
      <w:pPr>
        <w:pStyle w:val="FirstParagraph"/>
      </w:pPr>
      <w:r>
        <w:rPr>
          <w:rFonts w:hint="eastAsia"/>
        </w:rPr>
        <w:t xml:space="preserve">得到。这一</w:t>
      </w:r>
      <w:r>
        <w:t xml:space="preserve"> logit–softmax </w:t>
      </w:r>
      <w:r>
        <w:rPr>
          <w:rFonts w:hint="eastAsia"/>
        </w:rPr>
        <w:t xml:space="preserve">设定使状态转移始终位于合法概率单纯形内，同时避免</w:t>
      </w:r>
      <w:r>
        <w:rPr>
          <w:rFonts w:hint="eastAsia"/>
        </w:rPr>
        <w:t xml:space="preserve">“概率直接加减再裁剪”</w:t>
      </w:r>
      <w:r>
        <w:rPr>
          <w:rFonts w:hint="eastAsia"/>
        </w:rPr>
        <w:t xml:space="preserve">的人为边界效应。</w:t>
      </w:r>
      <w:hyperlink w:anchor="tab:state-transition-snapshot">
        <w:r>
          <w:rPr>
            <w:rStyle w:val="Hyperlink"/>
          </w:rPr>
          <w:t xml:space="preserve">3</w:t>
        </w:r>
      </w:hyperlink>
      <w:r>
        <w:t xml:space="preserve"> </w:t>
      </w:r>
      <w:r>
        <w:rPr>
          <w:rFonts w:hint="eastAsia"/>
        </w:rPr>
        <w:t xml:space="preserve">给出从</w:t>
      </w:r>
      <w:r>
        <w:rPr>
          <w:rFonts w:hint="eastAsia"/>
        </w:rPr>
        <w:t xml:space="preserve">“维持”</w:t>
      </w:r>
      <w:r>
        <w:rPr>
          <w:rFonts w:hint="eastAsia"/>
        </w:rPr>
        <w:t xml:space="preserve">状态出发时的关键外推日概率快照。</w:t>
      </w:r>
    </w:p>
    <w:p>
      <w:pPr>
        <w:pStyle w:val="BodyText"/>
      </w:pPr>
      <w:r>
        <w:t xml:space="preserve">0.45</w:t>
      </w:r>
    </w:p>
    <w:bookmarkStart w:id="58" w:name="tab:state-transition-snapshot"/>
    <w:p>
      <w:pPr>
        <w:pStyle w:val="TableCaption"/>
      </w:pPr>
      <w:r>
        <w:rPr>
          <w:rFonts w:hint="eastAsia"/>
        </w:rPr>
        <w:t xml:space="preserve">当前状态为</w:t>
      </w:r>
      <w:r>
        <w:rPr>
          <w:rFonts w:hint="eastAsia"/>
        </w:rPr>
        <w:t xml:space="preserve">“维持”</w:t>
      </w:r>
    </w:p>
    <w:tbl>
      <w:tblPr>
        <w:tblStyle w:val="Table"/>
        <w:tblW w:type="auto" w:w="0"/>
        <w:tblLook w:firstRow="1" w:lastRow="0" w:firstColumn="0" w:lastColumn="0" w:noHBand="0" w:noVBand="0" w:val="0020"/>
        <w:tblCaption w:val="当前状态为“维持”"/>
      </w:tblPr>
      <w:tblGrid>
        <w:gridCol w:w="1980"/>
        <w:gridCol w:w="1980"/>
        <w:gridCol w:w="1980"/>
        <w:gridCol w:w="1980"/>
      </w:tblGrid>
      <w:tr>
        <w:trPr>
          <w:tblHeader w:val="on"/>
        </w:trPr>
        <w:tc>
          <w:tcPr/>
          <w:p>
            <w:pPr>
              <w:pStyle w:val="Compact"/>
              <w:jc w:val="left"/>
            </w:pPr>
            <w:r>
              <w:rPr>
                <w:rFonts w:hint="eastAsia"/>
              </w:rPr>
              <w:t xml:space="preserve">状态</w:t>
            </w:r>
          </w:p>
        </w:tc>
        <w:tc>
          <w:tcPr/>
          <w:p>
            <w:pPr>
              <w:pStyle w:val="Compact"/>
              <w:jc w:val="right"/>
            </w:pPr>
            <w:r>
              <w:rPr>
                <w:rFonts w:hint="eastAsia"/>
              </w:rPr>
              <w:t xml:space="preserve">缓和</w:t>
            </w:r>
          </w:p>
        </w:tc>
        <w:tc>
          <w:tcPr/>
          <w:p>
            <w:pPr>
              <w:pStyle w:val="Compact"/>
              <w:jc w:val="right"/>
            </w:pPr>
            <w:r>
              <w:rPr>
                <w:rFonts w:hint="eastAsia"/>
              </w:rPr>
              <w:t xml:space="preserve">维持</w:t>
            </w:r>
          </w:p>
        </w:tc>
        <w:tc>
          <w:tcPr/>
          <w:p>
            <w:pPr>
              <w:pStyle w:val="Compact"/>
              <w:jc w:val="right"/>
            </w:pPr>
            <w:r>
              <w:rPr>
                <w:rFonts w:hint="eastAsia"/>
              </w:rPr>
              <w:t xml:space="preserve">升级</w:t>
            </w:r>
          </w:p>
        </w:tc>
      </w:tr>
      <w:tr>
        <w:tc>
          <w:tcPr/>
          <w:p>
            <w:pPr>
              <w:pStyle w:val="Compact"/>
              <w:jc w:val="left"/>
            </w:pPr>
            <w:r>
              <w:rPr>
                <w:rFonts w:hint="eastAsia"/>
              </w:rPr>
              <w:t xml:space="preserve">缓和</w:t>
            </w:r>
          </w:p>
        </w:tc>
        <w:tc>
          <w:tcPr/>
          <w:p>
            <w:pPr>
              <w:pStyle w:val="Compact"/>
              <w:jc w:val="right"/>
            </w:pPr>
            <w:r>
              <w:t xml:space="preserve">0.478</w:t>
            </w:r>
          </w:p>
        </w:tc>
        <w:tc>
          <w:tcPr/>
          <w:p>
            <w:pPr>
              <w:pStyle w:val="Compact"/>
              <w:jc w:val="right"/>
            </w:pPr>
            <w:r>
              <w:t xml:space="preserve">0.522</w:t>
            </w:r>
          </w:p>
        </w:tc>
        <w:tc>
          <w:tcPr/>
          <w:p>
            <w:pPr>
              <w:pStyle w:val="Compact"/>
              <w:jc w:val="right"/>
            </w:pPr>
            <w:r>
              <w:t xml:space="preserve">0.000</w:t>
            </w:r>
          </w:p>
        </w:tc>
      </w:tr>
      <w:tr>
        <w:tc>
          <w:tcPr/>
          <w:p>
            <w:pPr>
              <w:pStyle w:val="Compact"/>
              <w:jc w:val="left"/>
            </w:pPr>
            <w:r>
              <w:rPr>
                <w:rFonts w:hint="eastAsia"/>
              </w:rPr>
              <w:t xml:space="preserve">维持</w:t>
            </w:r>
          </w:p>
        </w:tc>
        <w:tc>
          <w:tcPr/>
          <w:p>
            <w:pPr>
              <w:pStyle w:val="Compact"/>
              <w:jc w:val="right"/>
            </w:pPr>
            <w:r>
              <w:t xml:space="preserve">0.065</w:t>
            </w:r>
          </w:p>
        </w:tc>
        <w:tc>
          <w:tcPr/>
          <w:p>
            <w:pPr>
              <w:pStyle w:val="Compact"/>
              <w:jc w:val="right"/>
            </w:pPr>
            <w:r>
              <w:t xml:space="preserve">0.880</w:t>
            </w:r>
          </w:p>
        </w:tc>
        <w:tc>
          <w:tcPr/>
          <w:p>
            <w:pPr>
              <w:pStyle w:val="Compact"/>
              <w:jc w:val="right"/>
            </w:pPr>
            <w:r>
              <w:t xml:space="preserve">0.055</w:t>
            </w:r>
          </w:p>
        </w:tc>
      </w:tr>
      <w:tr>
        <w:tc>
          <w:tcPr/>
          <w:p>
            <w:pPr>
              <w:pStyle w:val="Compact"/>
              <w:jc w:val="left"/>
            </w:pPr>
            <w:r>
              <w:rPr>
                <w:rFonts w:hint="eastAsia"/>
              </w:rPr>
              <w:t xml:space="preserve">升级</w:t>
            </w:r>
          </w:p>
        </w:tc>
        <w:tc>
          <w:tcPr/>
          <w:p>
            <w:pPr>
              <w:pStyle w:val="Compact"/>
              <w:jc w:val="right"/>
            </w:pPr>
            <w:r>
              <w:t xml:space="preserve">0.000</w:t>
            </w:r>
          </w:p>
        </w:tc>
        <w:tc>
          <w:tcPr/>
          <w:p>
            <w:pPr>
              <w:pStyle w:val="Compact"/>
              <w:jc w:val="right"/>
            </w:pPr>
            <w:r>
              <w:t xml:space="preserve">0.255</w:t>
            </w:r>
          </w:p>
        </w:tc>
        <w:tc>
          <w:tcPr/>
          <w:p>
            <w:pPr>
              <w:pStyle w:val="Compact"/>
              <w:jc w:val="right"/>
            </w:pPr>
            <w:r>
              <w:t xml:space="preserve">0.745</w:t>
            </w:r>
          </w:p>
        </w:tc>
      </w:tr>
    </w:tbl>
    <w:bookmarkEnd w:id="58"/>
    <w:p>
      <w:pPr>
        <w:pStyle w:val="BodyText"/>
      </w:pPr>
      <w:r>
        <w:t xml:space="preserve">0.50</w:t>
      </w:r>
    </w:p>
    <w:bookmarkStart w:id="59" w:name="tab:state-transition-snapshot"/>
    <w:p>
      <w:pPr>
        <w:pStyle w:val="TableCaption"/>
      </w:pPr>
      <w:r>
        <w:rPr>
          <w:rFonts w:hint="eastAsia"/>
        </w:rPr>
        <w:t xml:space="preserve">当前状态为</w:t>
      </w:r>
      <w:r>
        <w:rPr>
          <w:rFonts w:hint="eastAsia"/>
        </w:rPr>
        <w:t xml:space="preserve">“维持”</w:t>
      </w:r>
    </w:p>
    <w:tbl>
      <w:tblPr>
        <w:tblStyle w:val="Table"/>
        <w:tblW w:type="auto" w:w="0"/>
        <w:tblLook w:firstRow="1" w:lastRow="0" w:firstColumn="0" w:lastColumn="0" w:noHBand="0" w:noVBand="0" w:val="0020"/>
        <w:tblCaption w:val="当前状态为“维持”"/>
      </w:tblPr>
      <w:tblGrid>
        <w:gridCol w:w="1980"/>
        <w:gridCol w:w="1980"/>
        <w:gridCol w:w="1980"/>
        <w:gridCol w:w="1980"/>
      </w:tblGrid>
      <w:tr>
        <w:trPr>
          <w:tblHeader w:val="on"/>
        </w:trPr>
        <w:tc>
          <w:tcPr/>
          <w:p>
            <w:pPr>
              <w:pStyle w:val="Compact"/>
              <w:jc w:val="right"/>
            </w:pPr>
            <w:r>
              <w:rPr>
                <w:rFonts w:hint="eastAsia"/>
              </w:rPr>
              <w:t xml:space="preserve">外推日</w:t>
            </w:r>
          </w:p>
        </w:tc>
        <w:tc>
          <w:tcPr/>
          <w:p>
            <w:pPr>
              <w:pStyle w:val="Compact"/>
              <w:jc w:val="right"/>
            </w:pPr>
            <w:r>
              <w:rPr>
                <w:rFonts w:hint="eastAsia"/>
              </w:rPr>
              <w:t xml:space="preserve">缓和</w:t>
            </w:r>
          </w:p>
        </w:tc>
        <w:tc>
          <w:tcPr/>
          <w:p>
            <w:pPr>
              <w:pStyle w:val="Compact"/>
              <w:jc w:val="right"/>
            </w:pPr>
            <w:r>
              <w:rPr>
                <w:rFonts w:hint="eastAsia"/>
              </w:rPr>
              <w:t xml:space="preserve">维持</w:t>
            </w:r>
          </w:p>
        </w:tc>
        <w:tc>
          <w:tcPr/>
          <w:p>
            <w:pPr>
              <w:pStyle w:val="Compact"/>
              <w:jc w:val="right"/>
            </w:pPr>
            <w:r>
              <w:rPr>
                <w:rFonts w:hint="eastAsia"/>
              </w:rPr>
              <w:t xml:space="preserve">升级</w:t>
            </w:r>
          </w:p>
        </w:tc>
      </w:tr>
      <w:tr>
        <w:tc>
          <w:tcPr/>
          <w:p>
            <w:pPr>
              <w:pStyle w:val="Compact"/>
              <w:jc w:val="right"/>
            </w:pPr>
            <w:r>
              <w:t xml:space="preserve">60</w:t>
            </w:r>
          </w:p>
        </w:tc>
        <w:tc>
          <w:tcPr/>
          <w:p>
            <w:pPr>
              <w:pStyle w:val="Compact"/>
              <w:jc w:val="right"/>
            </w:pPr>
            <w:r>
              <w:t xml:space="preserve">0.060</w:t>
            </w:r>
          </w:p>
        </w:tc>
        <w:tc>
          <w:tcPr/>
          <w:p>
            <w:pPr>
              <w:pStyle w:val="Compact"/>
              <w:jc w:val="right"/>
            </w:pPr>
            <w:r>
              <w:t xml:space="preserve">0.879</w:t>
            </w:r>
          </w:p>
        </w:tc>
        <w:tc>
          <w:tcPr/>
          <w:p>
            <w:pPr>
              <w:pStyle w:val="Compact"/>
              <w:jc w:val="right"/>
            </w:pPr>
            <w:r>
              <w:t xml:space="preserve">0.061</w:t>
            </w:r>
          </w:p>
        </w:tc>
      </w:tr>
      <w:tr>
        <w:tc>
          <w:tcPr/>
          <w:p>
            <w:pPr>
              <w:pStyle w:val="Compact"/>
              <w:jc w:val="right"/>
            </w:pPr>
            <w:r>
              <w:t xml:space="preserve">90</w:t>
            </w:r>
          </w:p>
        </w:tc>
        <w:tc>
          <w:tcPr/>
          <w:p>
            <w:pPr>
              <w:pStyle w:val="Compact"/>
              <w:jc w:val="right"/>
            </w:pPr>
            <w:r>
              <w:t xml:space="preserve">0.057</w:t>
            </w:r>
          </w:p>
        </w:tc>
        <w:tc>
          <w:tcPr/>
          <w:p>
            <w:pPr>
              <w:pStyle w:val="Compact"/>
              <w:jc w:val="right"/>
            </w:pPr>
            <w:r>
              <w:t xml:space="preserve">0.878</w:t>
            </w:r>
          </w:p>
        </w:tc>
        <w:tc>
          <w:tcPr/>
          <w:p>
            <w:pPr>
              <w:pStyle w:val="Compact"/>
              <w:jc w:val="right"/>
            </w:pPr>
            <w:r>
              <w:t xml:space="preserve">0.065</w:t>
            </w:r>
          </w:p>
        </w:tc>
      </w:tr>
      <w:tr>
        <w:tc>
          <w:tcPr/>
          <w:p>
            <w:pPr>
              <w:pStyle w:val="Compact"/>
              <w:jc w:val="right"/>
            </w:pPr>
            <w:r>
              <w:t xml:space="preserve">120</w:t>
            </w:r>
          </w:p>
        </w:tc>
        <w:tc>
          <w:tcPr/>
          <w:p>
            <w:pPr>
              <w:pStyle w:val="Compact"/>
              <w:jc w:val="right"/>
            </w:pPr>
            <w:r>
              <w:t xml:space="preserve">0.060</w:t>
            </w:r>
          </w:p>
        </w:tc>
        <w:tc>
          <w:tcPr/>
          <w:p>
            <w:pPr>
              <w:pStyle w:val="Compact"/>
              <w:jc w:val="right"/>
            </w:pPr>
            <w:r>
              <w:t xml:space="preserve">0.878</w:t>
            </w:r>
          </w:p>
        </w:tc>
        <w:tc>
          <w:tcPr/>
          <w:p>
            <w:pPr>
              <w:pStyle w:val="Compact"/>
              <w:jc w:val="right"/>
            </w:pPr>
            <w:r>
              <w:t xml:space="preserve">0.062</w:t>
            </w:r>
          </w:p>
        </w:tc>
      </w:tr>
      <w:tr>
        <w:tc>
          <w:tcPr/>
          <w:p>
            <w:pPr>
              <w:pStyle w:val="Compact"/>
              <w:jc w:val="right"/>
            </w:pPr>
            <w:r>
              <w:t xml:space="preserve">150</w:t>
            </w:r>
          </w:p>
        </w:tc>
        <w:tc>
          <w:tcPr/>
          <w:p>
            <w:pPr>
              <w:pStyle w:val="Compact"/>
              <w:jc w:val="right"/>
            </w:pPr>
            <w:r>
              <w:t xml:space="preserve">0.057</w:t>
            </w:r>
          </w:p>
        </w:tc>
        <w:tc>
          <w:tcPr/>
          <w:p>
            <w:pPr>
              <w:pStyle w:val="Compact"/>
              <w:jc w:val="right"/>
            </w:pPr>
            <w:r>
              <w:t xml:space="preserve">0.878</w:t>
            </w:r>
          </w:p>
        </w:tc>
        <w:tc>
          <w:tcPr/>
          <w:p>
            <w:pPr>
              <w:pStyle w:val="Compact"/>
              <w:jc w:val="right"/>
            </w:pPr>
            <w:r>
              <w:t xml:space="preserve">0.065</w:t>
            </w:r>
          </w:p>
        </w:tc>
      </w:tr>
      <w:tr>
        <w:tc>
          <w:tcPr/>
          <w:p>
            <w:pPr>
              <w:pStyle w:val="Compact"/>
              <w:jc w:val="right"/>
            </w:pPr>
            <w:r>
              <w:t xml:space="preserve">180</w:t>
            </w:r>
          </w:p>
        </w:tc>
        <w:tc>
          <w:tcPr/>
          <w:p>
            <w:pPr>
              <w:pStyle w:val="Compact"/>
              <w:jc w:val="right"/>
            </w:pPr>
            <w:r>
              <w:t xml:space="preserve">0.058</w:t>
            </w:r>
          </w:p>
        </w:tc>
        <w:tc>
          <w:tcPr/>
          <w:p>
            <w:pPr>
              <w:pStyle w:val="Compact"/>
              <w:jc w:val="right"/>
            </w:pPr>
            <w:r>
              <w:t xml:space="preserve">0.878</w:t>
            </w:r>
          </w:p>
        </w:tc>
        <w:tc>
          <w:tcPr/>
          <w:p>
            <w:pPr>
              <w:pStyle w:val="Compact"/>
              <w:jc w:val="right"/>
            </w:pPr>
            <w:r>
              <w:t xml:space="preserve">0.064</w:t>
            </w:r>
          </w:p>
        </w:tc>
      </w:tr>
    </w:tbl>
    <w:bookmarkEnd w:id="59"/>
    <w:p>
      <w:pPr>
        <w:pStyle w:val="BodyText"/>
      </w:pPr>
      <w:hyperlink w:anchor="tab:state-transition-snapshot">
        <w:r>
          <w:rPr>
            <w:rStyle w:val="Hyperlink"/>
          </w:rPr>
          <w:t xml:space="preserve">3</w:t>
        </w:r>
      </w:hyperlink>
      <w:r>
        <w:t xml:space="preserve"> </w:t>
      </w:r>
      <w:r>
        <w:rPr>
          <w:rFonts w:hint="eastAsia"/>
        </w:rPr>
        <w:t xml:space="preserve">显示，在物理压力、OVX</w:t>
      </w:r>
      <w:r>
        <w:t xml:space="preserve"> </w:t>
      </w:r>
      <w:r>
        <w:rPr>
          <w:rFonts w:hint="eastAsia"/>
        </w:rPr>
        <w:t xml:space="preserve">和</w:t>
      </w:r>
      <w:r>
        <w:t xml:space="preserve"> GPR </w:t>
      </w:r>
      <w:r>
        <w:rPr>
          <w:rFonts w:hint="eastAsia"/>
        </w:rPr>
        <w:t xml:space="preserve">风险读数共同约束下，早期仍保留一定升级概率；第</w:t>
      </w:r>
      <w:r>
        <w:t xml:space="preserve"> 120 </w:t>
      </w:r>
      <w:r>
        <w:rPr>
          <w:rFonts w:hint="eastAsia"/>
        </w:rPr>
        <w:t xml:space="preserve">天后若悲观路径中</w:t>
      </w:r>
      <w:r>
        <w:t xml:space="preserve"> SPR </w:t>
      </w:r>
      <w:r>
        <w:rPr>
          <w:rFonts w:hint="eastAsia"/>
        </w:rPr>
        <w:t xml:space="preserve">预算耗尽、剩余缺口仍存在，缓和概率不会因为时间推进而自动上升。因此，状态转移模型并不是把长期价格强行拉成随机噪声，而是在三情景中心路径之上加入</w:t>
      </w:r>
      <w:r>
        <w:rPr>
          <w:rFonts w:hint="eastAsia"/>
        </w:rPr>
        <w:t xml:space="preserve">“资源约束影响尾部、后期仍可能跳涨”</w:t>
      </w:r>
      <w:r>
        <w:rPr>
          <w:rFonts w:hint="eastAsia"/>
        </w:rPr>
        <w:t xml:space="preserve">的事件状态结构。</w:t>
      </w:r>
    </w:p>
    <w:bookmarkStart w:id="63" w:name="fig:state-transition-fan"/>
    <w:p>
      <w:pPr>
        <w:pStyle w:val="CaptionedFigure"/>
      </w:pPr>
      <w:r>
        <w:drawing>
          <wp:inline>
            <wp:extent cx="4693920" cy="3420992"/>
            <wp:effectExtent b="0" l="0" r="0" t="0"/>
            <wp:docPr descr="" title="" id="61" name="Picture"/>
            <a:graphic>
              <a:graphicData uri="http://schemas.openxmlformats.org/drawingml/2006/picture">
                <pic:pic>
                  <pic:nvPicPr>
                    <pic:cNvPr descr="长期状态转移情景树.png" id="62" name="Picture"/>
                    <pic:cNvPicPr>
                      <a:picLocks noChangeArrowheads="1" noChangeAspect="1"/>
                    </pic:cNvPicPr>
                  </pic:nvPicPr>
                  <pic:blipFill>
                    <a:blip r:embed="rId60"/>
                    <a:stretch>
                      <a:fillRect/>
                    </a:stretch>
                  </pic:blipFill>
                  <pic:spPr bwMode="auto">
                    <a:xfrm>
                      <a:off x="0" y="0"/>
                      <a:ext cx="4693920" cy="3420992"/>
                    </a:xfrm>
                    <a:prstGeom prst="rect">
                      <a:avLst/>
                    </a:prstGeom>
                    <a:noFill/>
                    <a:ln w="9525">
                      <a:noFill/>
                      <a:headEnd/>
                      <a:tailEnd/>
                    </a:ln>
                  </pic:spPr>
                </pic:pic>
              </a:graphicData>
            </a:graphic>
          </wp:inline>
        </w:drawing>
      </w:r>
    </w:p>
    <w:p>
      <w:pPr>
        <w:pStyle w:val="ImageCaption"/>
      </w:pPr>
      <w:r>
        <w:rPr>
          <w:rFonts w:hint="eastAsia"/>
        </w:rPr>
        <w:t xml:space="preserve">长期状态转移情景树</w:t>
      </w:r>
    </w:p>
    <w:bookmarkEnd w:id="63"/>
    <w:bookmarkStart w:id="64" w:name="tab:state-risk-ablation"/>
    <w:p>
      <w:pPr>
        <w:pStyle w:val="TableCaption"/>
      </w:pPr>
      <w:r>
        <w:rPr>
          <w:rFonts w:hint="eastAsia"/>
        </w:rPr>
        <w:t xml:space="preserve">物理压力与</w:t>
      </w:r>
      <w:r>
        <w:t xml:space="preserve"> GPR/OVX </w:t>
      </w:r>
      <w:r>
        <w:rPr>
          <w:rFonts w:hint="eastAsia"/>
        </w:rPr>
        <w:t xml:space="preserve">风险约束消融结果</w:t>
      </w:r>
    </w:p>
    <w:tbl>
      <w:tblPr>
        <w:tblStyle w:val="Table"/>
        <w:tblW w:type="auto" w:w="0"/>
        <w:tblLook w:firstRow="1" w:lastRow="0" w:firstColumn="0" w:lastColumn="0" w:noHBand="0" w:noVBand="0" w:val="0020"/>
        <w:tblCaption w:val="物理压力与 GPR/OVX 风险约束消融结果"/>
      </w:tblPr>
      <w:tblGrid>
        <w:gridCol w:w="1584"/>
        <w:gridCol w:w="1584"/>
        <w:gridCol w:w="1584"/>
        <w:gridCol w:w="1584"/>
        <w:gridCol w:w="1584"/>
      </w:tblGrid>
      <w:tr>
        <w:trPr>
          <w:tblHeader w:val="on"/>
        </w:trPr>
        <w:tc>
          <w:tcPr/>
          <w:p>
            <w:pPr>
              <w:pStyle w:val="Compact"/>
              <w:jc w:val="left"/>
            </w:pPr>
            <w:r>
              <w:rPr>
                <w:rFonts w:hint="eastAsia"/>
              </w:rPr>
              <w:t xml:space="preserve">模型设定</w:t>
            </w:r>
          </w:p>
        </w:tc>
        <w:tc>
          <w:tcPr/>
          <w:p>
            <w:pPr>
              <w:pStyle w:val="Compact"/>
              <w:jc w:val="right"/>
            </w:pPr>
            <w:r>
              <w:rPr>
                <w:rFonts w:hint="eastAsia"/>
              </w:rPr>
              <w:t xml:space="preserve">突破</w:t>
            </w:r>
            <w:r>
              <w:t xml:space="preserve"> 120 </w:t>
            </w:r>
            <w:r>
              <w:rPr>
                <w:rFonts w:hint="eastAsia"/>
              </w:rPr>
              <w:t xml:space="preserve">概率</w:t>
            </w:r>
          </w:p>
        </w:tc>
        <w:tc>
          <w:tcPr/>
          <w:p>
            <w:pPr>
              <w:pStyle w:val="Compact"/>
              <w:jc w:val="right"/>
            </w:pPr>
            <w:r>
              <w:rPr>
                <w:rFonts w:hint="eastAsia"/>
              </w:rPr>
              <w:t xml:space="preserve">突破</w:t>
            </w:r>
            <w:r>
              <w:t xml:space="preserve"> 130 </w:t>
            </w:r>
            <w:r>
              <w:rPr>
                <w:rFonts w:hint="eastAsia"/>
              </w:rPr>
              <w:t xml:space="preserve">概率</w:t>
            </w:r>
          </w:p>
        </w:tc>
        <w:tc>
          <w:tcPr/>
          <w:p>
            <w:pPr>
              <w:pStyle w:val="Compact"/>
              <w:jc w:val="right"/>
            </w:pPr>
            <w:r>
              <w:rPr>
                <w:rFonts w:hint="eastAsia"/>
              </w:rPr>
              <w:t xml:space="preserve">最高价</w:t>
            </w:r>
            <w:r>
              <w:t xml:space="preserve"> P95</w:t>
            </w:r>
          </w:p>
        </w:tc>
        <w:tc>
          <w:tcPr/>
          <w:p>
            <w:pPr>
              <w:pStyle w:val="Compact"/>
              <w:jc w:val="right"/>
            </w:pPr>
            <w:r>
              <w:rPr>
                <w:rFonts w:hint="eastAsia"/>
              </w:rPr>
              <w:t xml:space="preserve">第</w:t>
            </w:r>
            <w:r>
              <w:t xml:space="preserve"> 180 </w:t>
            </w:r>
            <w:r>
              <w:rPr>
                <w:rFonts w:hint="eastAsia"/>
              </w:rPr>
              <w:t xml:space="preserve">天</w:t>
            </w:r>
            <w:r>
              <w:t xml:space="preserve"> P95</w:t>
            </w:r>
          </w:p>
        </w:tc>
      </w:tr>
      <w:tr>
        <w:tc>
          <w:tcPr/>
          <w:p>
            <w:pPr>
              <w:pStyle w:val="Compact"/>
              <w:jc w:val="left"/>
            </w:pPr>
            <w:r>
              <w:rPr>
                <w:rFonts w:hint="eastAsia"/>
              </w:rPr>
              <w:t xml:space="preserve">历史基础矩阵</w:t>
            </w:r>
          </w:p>
        </w:tc>
        <w:tc>
          <w:tcPr/>
          <w:p>
            <w:pPr>
              <w:pStyle w:val="Compact"/>
              <w:jc w:val="right"/>
            </w:pPr>
            <w:r>
              <w:t xml:space="preserve">73.5%</w:t>
            </w:r>
          </w:p>
        </w:tc>
        <w:tc>
          <w:tcPr/>
          <w:p>
            <w:pPr>
              <w:pStyle w:val="Compact"/>
              <w:jc w:val="right"/>
            </w:pPr>
            <w:r>
              <w:t xml:space="preserve">22.5%</w:t>
            </w:r>
          </w:p>
        </w:tc>
        <w:tc>
          <w:tcPr/>
          <w:p>
            <w:pPr>
              <w:pStyle w:val="Compact"/>
              <w:jc w:val="right"/>
            </w:pPr>
            <w:r>
              <w:t xml:space="preserve">135.78</w:t>
            </w:r>
          </w:p>
        </w:tc>
        <w:tc>
          <w:tcPr/>
          <w:p>
            <w:pPr>
              <w:pStyle w:val="Compact"/>
              <w:jc w:val="right"/>
            </w:pPr>
            <w:r>
              <w:t xml:space="preserve">113.61</w:t>
            </w:r>
          </w:p>
        </w:tc>
      </w:tr>
      <w:tr>
        <w:tc>
          <w:tcPr/>
          <w:p>
            <w:pPr>
              <w:pStyle w:val="Compact"/>
              <w:jc w:val="left"/>
            </w:pPr>
            <w:r>
              <w:rPr>
                <w:rFonts w:hint="eastAsia"/>
              </w:rPr>
              <w:t xml:space="preserve">历史基础矩阵</w:t>
            </w:r>
            <w:r>
              <w:t xml:space="preserve"> + </w:t>
            </w:r>
            <w:r>
              <w:rPr>
                <w:rFonts w:hint="eastAsia"/>
              </w:rPr>
              <w:t xml:space="preserve">物理压力约束</w:t>
            </w:r>
          </w:p>
        </w:tc>
        <w:tc>
          <w:tcPr/>
          <w:p>
            <w:pPr>
              <w:pStyle w:val="Compact"/>
              <w:jc w:val="right"/>
            </w:pPr>
            <w:r>
              <w:t xml:space="preserve">80.7%</w:t>
            </w:r>
          </w:p>
        </w:tc>
        <w:tc>
          <w:tcPr/>
          <w:p>
            <w:pPr>
              <w:pStyle w:val="Compact"/>
              <w:jc w:val="right"/>
            </w:pPr>
            <w:r>
              <w:t xml:space="preserve">26.8%</w:t>
            </w:r>
          </w:p>
        </w:tc>
        <w:tc>
          <w:tcPr/>
          <w:p>
            <w:pPr>
              <w:pStyle w:val="Compact"/>
              <w:jc w:val="right"/>
            </w:pPr>
            <w:r>
              <w:t xml:space="preserve">136.88</w:t>
            </w:r>
          </w:p>
        </w:tc>
        <w:tc>
          <w:tcPr/>
          <w:p>
            <w:pPr>
              <w:pStyle w:val="Compact"/>
              <w:jc w:val="right"/>
            </w:pPr>
            <w:r>
              <w:t xml:space="preserve">115.78</w:t>
            </w:r>
          </w:p>
        </w:tc>
      </w:tr>
      <w:tr>
        <w:tc>
          <w:tcPr/>
          <w:p>
            <w:pPr>
              <w:pStyle w:val="Compact"/>
              <w:jc w:val="left"/>
            </w:pPr>
            <w:r>
              <w:rPr>
                <w:rFonts w:hint="eastAsia"/>
              </w:rPr>
              <w:t xml:space="preserve">历史基础矩阵</w:t>
            </w:r>
            <w:r>
              <w:t xml:space="preserve"> + </w:t>
            </w:r>
            <w:r>
              <w:rPr>
                <w:rFonts w:hint="eastAsia"/>
              </w:rPr>
              <w:t xml:space="preserve">物理压力</w:t>
            </w:r>
            <w:r>
              <w:t xml:space="preserve"> + GPR/OVX </w:t>
            </w:r>
            <w:r>
              <w:rPr>
                <w:rFonts w:hint="eastAsia"/>
              </w:rPr>
              <w:t xml:space="preserve">风险约束</w:t>
            </w:r>
          </w:p>
        </w:tc>
        <w:tc>
          <w:tcPr/>
          <w:p>
            <w:pPr>
              <w:pStyle w:val="Compact"/>
              <w:jc w:val="right"/>
            </w:pPr>
            <w:r>
              <w:t xml:space="preserve">85.4%</w:t>
            </w:r>
          </w:p>
        </w:tc>
        <w:tc>
          <w:tcPr/>
          <w:p>
            <w:pPr>
              <w:pStyle w:val="Compact"/>
              <w:jc w:val="right"/>
            </w:pPr>
            <w:r>
              <w:t xml:space="preserve">34.6%</w:t>
            </w:r>
          </w:p>
        </w:tc>
        <w:tc>
          <w:tcPr/>
          <w:p>
            <w:pPr>
              <w:pStyle w:val="Compact"/>
              <w:jc w:val="right"/>
            </w:pPr>
            <w:r>
              <w:t xml:space="preserve">137.62</w:t>
            </w:r>
          </w:p>
        </w:tc>
        <w:tc>
          <w:tcPr/>
          <w:p>
            <w:pPr>
              <w:pStyle w:val="Compact"/>
              <w:jc w:val="right"/>
            </w:pPr>
            <w:r>
              <w:t xml:space="preserve">116.21</w:t>
            </w:r>
          </w:p>
        </w:tc>
      </w:tr>
    </w:tbl>
    <w:bookmarkEnd w:id="64"/>
    <w:p>
      <w:pPr>
        <w:pStyle w:val="BodyText"/>
      </w:pPr>
      <w:hyperlink w:anchor="tab:state-risk-ablation">
        <w:r>
          <w:rPr>
            <w:rStyle w:val="Hyperlink"/>
          </w:rPr>
          <w:t xml:space="preserve">4</w:t>
        </w:r>
      </w:hyperlink>
      <w:r>
        <w:t xml:space="preserve"> </w:t>
      </w:r>
      <w:r>
        <w:rPr>
          <w:rFonts w:hint="eastAsia"/>
        </w:rPr>
        <w:t xml:space="preserve">进一步说明，物理压力会抬升第</w:t>
      </w:r>
      <w:r>
        <w:t xml:space="preserve"> 180 </w:t>
      </w:r>
      <w:r>
        <w:rPr>
          <w:rFonts w:hint="eastAsia"/>
        </w:rPr>
        <w:t xml:space="preserve">天上尾分位，GPR/OVX</w:t>
      </w:r>
      <w:r>
        <w:t xml:space="preserve"> </w:t>
      </w:r>
      <w:r>
        <w:rPr>
          <w:rFonts w:hint="eastAsia"/>
        </w:rPr>
        <w:t xml:space="preserve">风险约束则进一步提高进入高价平台的条件概率。这符合二者的经济含义：SPR、库存和剩余缺口决定长期尾部是否有物理支撑，GPR</w:t>
      </w:r>
      <w:r>
        <w:t xml:space="preserve"> </w:t>
      </w:r>
      <w:r>
        <w:rPr>
          <w:rFonts w:hint="eastAsia"/>
        </w:rPr>
        <w:t xml:space="preserve">和</w:t>
      </w:r>
      <w:r>
        <w:t xml:space="preserve"> OVX </w:t>
      </w:r>
      <w:r>
        <w:rPr>
          <w:rFonts w:hint="eastAsia"/>
        </w:rPr>
        <w:t xml:space="preserve">则更接近地缘风险与市场隐含波动率变量，适合约束状态切换和尾部风险，而不应被解释为短期方向价格预测器。</w:t>
      </w:r>
    </w:p>
    <w:p>
      <w:pPr>
        <w:pStyle w:val="BodyText"/>
      </w:pPr>
      <w:r>
        <w:rPr>
          <w:rFonts w:hint="eastAsia"/>
        </w:rPr>
        <w:t xml:space="preserve">结果显示，中性情景下价格在</w:t>
      </w:r>
      <w:r>
        <w:t xml:space="preserve"> 180 </w:t>
      </w:r>
      <w:r>
        <w:rPr>
          <w:rFonts w:hint="eastAsia"/>
        </w:rPr>
        <w:t xml:space="preserve">天附近回落至约</w:t>
      </w:r>
      <w:r>
        <w:t xml:space="preserve"> 97.82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137.75 </w:t>
      </w:r>
      <w:r>
        <w:rPr>
          <w:rFonts w:hint="eastAsia"/>
        </w:rPr>
        <w:t xml:space="preserve">美元/桶的高点；由于</w:t>
      </w:r>
      <w:r>
        <w:t xml:space="preserve"> SPR </w:t>
      </w:r>
      <w:r>
        <w:rPr>
          <w:rFonts w:hint="eastAsia"/>
        </w:rPr>
        <w:t xml:space="preserve">等效预算耗尽，第</w:t>
      </w:r>
      <w:r>
        <w:t xml:space="preserve"> 180 </w:t>
      </w:r>
      <w:r>
        <w:rPr>
          <w:rFonts w:hint="eastAsia"/>
        </w:rPr>
        <w:t xml:space="preserve">天悲观价格抬升至约</w:t>
      </w:r>
      <w:r>
        <w:t xml:space="preserve"> 121.64 </w:t>
      </w:r>
      <w:r>
        <w:rPr>
          <w:rFonts w:hint="eastAsia"/>
        </w:rPr>
        <w:t xml:space="preserve">美元/桶。</w:t>
      </w:r>
      <w:hyperlink w:anchor="fig:state-transition-fan">
        <w:r>
          <w:rPr>
            <w:rStyle w:val="Hyperlink"/>
          </w:rPr>
          <w:t xml:space="preserve">5</w:t>
        </w:r>
      </w:hyperlink>
      <w:r>
        <w:t xml:space="preserve"> </w:t>
      </w:r>
      <w:r>
        <w:rPr>
          <w:rFonts w:hint="eastAsia"/>
        </w:rPr>
        <w:t xml:space="preserve">的状态转移增强模型进一步给出第</w:t>
      </w:r>
      <w:r>
        <w:t xml:space="preserve"> 180 </w:t>
      </w:r>
      <w:r>
        <w:rPr>
          <w:rFonts w:hint="eastAsia"/>
        </w:rPr>
        <w:t xml:space="preserve">天</w:t>
      </w:r>
      <w:r>
        <w:t xml:space="preserve"> 5%–95% </w:t>
      </w:r>
      <w:r>
        <w:rPr>
          <w:rFonts w:hint="eastAsia"/>
        </w:rPr>
        <w:t xml:space="preserve">条件区间</w:t>
      </w:r>
      <w:r>
        <w:t xml:space="preserve"> 90.98–116.21 </w:t>
      </w:r>
      <w:r>
        <w:rPr>
          <w:rFonts w:hint="eastAsia"/>
        </w:rPr>
        <w:t xml:space="preserve">美元/桶，外推期最高价</w:t>
      </w:r>
      <w:r>
        <w:t xml:space="preserve"> P95 </w:t>
      </w:r>
      <w:r>
        <w:rPr>
          <w:rFonts w:hint="eastAsia"/>
        </w:rPr>
        <w:t xml:space="preserve">为</w:t>
      </w:r>
      <w:r>
        <w:t xml:space="preserve"> 137.62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85.4%，说明长期结果应重点关注尾部区间和状态切换风险。</w:t>
      </w:r>
    </w:p>
    <w:p>
      <w:pPr>
        <w:pStyle w:val="TableCaption"/>
      </w:pPr>
      <w:r>
        <w:rPr>
          <w:rFonts w:hint="eastAsia"/>
        </w:rPr>
        <w:t xml:space="preserve">中长期油价调节模型的可信度评价框架</w:t>
      </w:r>
    </w:p>
    <w:tbl>
      <w:tblPr>
        <w:tblStyle w:val="Table"/>
        <w:tblW w:type="auto" w:w="0"/>
        <w:tblLook w:firstRow="1" w:lastRow="0" w:firstColumn="0" w:lastColumn="0" w:noHBand="0" w:noVBand="0" w:val="0020"/>
        <w:tblCaption w:val="中长期油价调节模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rPr>
                <w:rFonts w:hint="eastAsia"/>
              </w:rPr>
              <w:t xml:space="preserve">用于数量级和风险约束</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87.77–116.59 </w:t>
            </w:r>
            <w:r>
              <w:rPr>
                <w:rFonts w:hint="eastAsia"/>
              </w:rPr>
              <w:t xml:space="preserve">美元/桶，最高价突破</w:t>
            </w:r>
            <w:r>
              <w:t xml:space="preserve"> 120 </w:t>
            </w:r>
            <w:r>
              <w:rPr>
                <w:rFonts w:hint="eastAsia"/>
              </w:rPr>
              <w:t xml:space="preserve">概率约</w:t>
            </w:r>
            <w:r>
              <w:t xml:space="preserve"> 20.0%</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90.98–116.21 </w:t>
            </w:r>
            <w:r>
              <w:rPr>
                <w:rFonts w:hint="eastAsia"/>
              </w:rPr>
              <w:t xml:space="preserve">美元/桶，外推期最高价</w:t>
            </w:r>
            <w:r>
              <w:t xml:space="preserve"> P95 </w:t>
            </w:r>
            <w:r>
              <w:rPr>
                <w:rFonts w:hint="eastAsia"/>
              </w:rPr>
              <w:t xml:space="preserve">为</w:t>
            </w:r>
            <w:r>
              <w:t xml:space="preserve"> 137.62 </w:t>
            </w:r>
            <w:r>
              <w:rPr>
                <w:rFonts w:hint="eastAsia"/>
              </w:rPr>
              <w:t xml:space="preserve">美元/桶，突破</w:t>
            </w:r>
            <w:r>
              <w:t xml:space="preserve"> 120 </w:t>
            </w:r>
            <w:r>
              <w:rPr>
                <w:rFonts w:hint="eastAsia"/>
              </w:rPr>
              <w:t xml:space="preserve">概率约</w:t>
            </w:r>
            <w:r>
              <w:t xml:space="preserve"> 85.4%</w:t>
            </w:r>
          </w:p>
        </w:tc>
        <w:tc>
          <w:tcPr/>
          <w:p>
            <w:pPr>
              <w:pStyle w:val="Compact"/>
              <w:jc w:val="left"/>
            </w:pPr>
            <w:r>
              <w:rPr>
                <w:rFonts w:hint="eastAsia"/>
              </w:rPr>
              <w:t xml:space="preserve">用于解释平滑中心线之外的事件状态切换和短期扰动</w:t>
            </w:r>
          </w:p>
        </w:tc>
      </w:tr>
    </w:tbl>
    <w:p>
      <w:pPr>
        <w:pStyle w:val="BodyText"/>
      </w:pPr>
      <w:r>
        <w:rPr>
          <w:rFonts w:hint="eastAsia"/>
        </w:rPr>
        <w:t xml:space="preserve">从价格平衡点看，乐观情景最终回落至约</w:t>
      </w:r>
      <w:r>
        <w:t xml:space="preserve"> 86.26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97.82 </w:t>
      </w:r>
      <w:r>
        <w:rPr>
          <w:rFonts w:hint="eastAsia"/>
        </w:rPr>
        <w:t xml:space="preserve">美元/桶，更接近政策缓冲与市场风险重新平衡后的中心水平；此时商业库存和</w:t>
      </w:r>
      <w:r>
        <w:t xml:space="preserve"> SPR </w:t>
      </w:r>
      <w:r>
        <w:rPr>
          <w:rFonts w:hint="eastAsia"/>
        </w:rPr>
        <w:t xml:space="preserve">均作为缓冲参与，且物理缺口基本闭合，说明价格回落不是依赖单一政策变量机械满额托底。悲观情景第</w:t>
      </w:r>
      <w:r>
        <w:t xml:space="preserve"> 180 </w:t>
      </w:r>
      <w:r>
        <w:rPr>
          <w:rFonts w:hint="eastAsia"/>
        </w:rPr>
        <w:t xml:space="preserve">天仍为</w:t>
      </w:r>
      <w:r>
        <w:t xml:space="preserve"> 121.64 </w:t>
      </w:r>
      <w:r>
        <w:rPr>
          <w:rFonts w:hint="eastAsia"/>
        </w:rPr>
        <w:t xml:space="preserve">美元/桶，说明若供应中断规模接近上界、SPR</w:t>
      </w:r>
      <w:r>
        <w:t xml:space="preserve"> </w:t>
      </w:r>
      <w:r>
        <w:rPr>
          <w:rFonts w:hint="eastAsia"/>
        </w:rPr>
        <w:t xml:space="preserve">等效预算耗尽且制度风险溢价持续，市场仍可能维持相对高位，并保留二次跳涨尾部风险。</w:t>
      </w:r>
    </w:p>
    <w:p>
      <w:pPr>
        <w:pStyle w:val="BodyText"/>
      </w:pPr>
      <w:r>
        <w:rPr>
          <w:rFonts w:hint="eastAsia"/>
        </w:rPr>
        <w:t xml:space="preserve">中性第</w:t>
      </w:r>
      <w:r>
        <w:t xml:space="preserve"> 180 </w:t>
      </w:r>
      <w:r>
        <w:rPr>
          <w:rFonts w:hint="eastAsia"/>
        </w:rPr>
        <w:t xml:space="preserve">天物理缺口仍保留约</w:t>
      </w:r>
      <w:r>
        <w:t xml:space="preserve"> 545 </w:t>
      </w:r>
      <w:r>
        <w:rPr>
          <w:rFonts w:hint="eastAsia"/>
        </w:rPr>
        <w:t xml:space="preserve">万桶/日的尾部压力，且价格仍高于战前</w:t>
      </w:r>
      <w:r>
        <w:t xml:space="preserve"> 75 </w:t>
      </w:r>
      <w:r>
        <w:rPr>
          <w:rFonts w:hint="eastAsia"/>
        </w:rPr>
        <w:t xml:space="preserve">美元/桶，原因是模型中同时保留不确定性和制度风险溢价。该设定表示：即便政策缓冲和绕道恢复显著压低初期冲击，只要霍尔木兹封锁的制度状态没有完全解除，市场仍会对运输保险、航运安全、库存再补充和再次升级风险给出残余溢价。因此</w:t>
      </w:r>
      <w:r>
        <w:t xml:space="preserve"> 97.82 </w:t>
      </w:r>
      <w:r>
        <w:rPr>
          <w:rFonts w:hint="eastAsia"/>
        </w:rPr>
        <w:t xml:space="preserve">美元/桶应理解为</w:t>
      </w:r>
      <w:r>
        <w:rPr>
          <w:rFonts w:hint="eastAsia"/>
        </w:rPr>
        <w:t xml:space="preserve">“物理缓冲显著生效但制度风险尚未完全消失”</w:t>
      </w:r>
      <w:r>
        <w:rPr>
          <w:rFonts w:hint="eastAsia"/>
        </w:rPr>
        <w:t xml:space="preserve">条件下的中心路径。</w:t>
      </w:r>
    </w:p>
    <w:p>
      <w:pPr>
        <w:pStyle w:val="BodyText"/>
      </w:pPr>
      <w:r>
        <w:rPr>
          <w:rFonts w:hint="eastAsia"/>
        </w:rPr>
        <w:t xml:space="preserve">商业库存剩余率和剩余供需缺口风险的完整图形放入附录</w:t>
      </w:r>
      <w:r>
        <w:t xml:space="preserve"> </w:t>
      </w:r>
      <w:r>
        <w:rPr>
          <w:rFonts w:hint="eastAsia"/>
        </w:rPr>
        <w:t xml:space="preserve">D。正文保留其核心结论：悲观路径的尾部风险主要来自</w:t>
      </w:r>
      <w:r>
        <w:t xml:space="preserve"> SPR </w:t>
      </w:r>
      <w:r>
        <w:rPr>
          <w:rFonts w:hint="eastAsia"/>
        </w:rPr>
        <w:t xml:space="preserve">等效预算耗尽、商业库存消耗和剩余缺口同时存在，而不是由中性路径本身决定。</w:t>
      </w:r>
    </w:p>
    <w:bookmarkEnd w:id="65"/>
    <w:bookmarkEnd w:id="66"/>
    <w:bookmarkStart w:id="81" w:name="敏感性分析与尾部风险"/>
    <w:p>
      <w:pPr>
        <w:pStyle w:val="Heading2"/>
      </w:pPr>
      <w:r>
        <w:rPr>
          <w:rFonts w:hint="eastAsia"/>
        </w:rPr>
        <w:t xml:space="preserve">敏感性分析与尾部风险</w:t>
      </w:r>
    </w:p>
    <w:p>
      <w:pPr>
        <w:pStyle w:val="FirstParagraph"/>
      </w:pPr>
      <w:r>
        <w:rPr>
          <w:rFonts w:hint="eastAsia"/>
        </w:rPr>
        <w:t xml:space="preserve">本节回答三个问题：哪些参数主导长期结果，多因素扰动下尾部风险有多大，外生风险变量和历史样本是否支持该判断。GPR、OVX、历史窗口和传统蒙特卡洛路径图放入附录，正文保留排序、区间和摘要证据。</w:t>
      </w:r>
    </w:p>
    <w:bookmarkStart w:id="75" w:name="参数敏感性与关键驱动因素"/>
    <w:p>
      <w:pPr>
        <w:pStyle w:val="Heading3"/>
      </w:pPr>
      <w:r>
        <w:rPr>
          <w:rFonts w:hint="eastAsia"/>
        </w:rPr>
        <w:t xml:space="preserve">参数敏感性与关键驱动因素</w:t>
      </w:r>
    </w:p>
    <w:p>
      <w:pPr>
        <w:pStyle w:val="FirstParagraph"/>
      </w:pPr>
      <w:r>
        <w:rPr>
          <w:rFonts w:hint="eastAsia"/>
        </w:rPr>
        <w:t xml:space="preserve">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天价格、外推期最高价和剩余供需缺口变化。设参数</w:t>
      </w:r>
      <w:r>
        <w:t xml:space="preserve"> </w:t>
      </w:r>
      <m:oMath>
        <m:sSub>
          <m:e>
            <m:r>
              <m:t>θ</m:t>
            </m:r>
          </m:e>
          <m:sub>
            <m:r>
              <m:t>j</m:t>
            </m:r>
          </m:sub>
        </m:sSub>
      </m:oMath>
      <w:r>
        <w:t xml:space="preserve"> </w:t>
      </w:r>
      <w:r>
        <w:rPr>
          <w:rFonts w:hint="eastAsia"/>
        </w:rPr>
        <w:t xml:space="preserve">在扰动集合</w:t>
      </w:r>
      <w:r>
        <w:t xml:space="preserve"> </w:t>
      </w:r>
      <m:oMath>
        <m:sSub>
          <m:e>
            <m:r>
              <m:rPr>
                <m:sty m:val="p"/>
              </m:rPr>
              <m:t>Ω</m:t>
            </m:r>
          </m:e>
          <m:sub>
            <m:r>
              <m:t>j</m:t>
            </m:r>
          </m:sub>
        </m:sSub>
        <m:r>
          <m:rPr>
            <m:sty m:val="p"/>
          </m:rPr>
          <m:t>=</m:t>
        </m:r>
        <m:r>
          <m:rPr>
            <m:sty m:val="p"/>
          </m:rPr>
          <m:t>{</m:t>
        </m:r>
        <m:sSubSup>
          <m:e>
            <m:r>
              <m:t>θ</m:t>
            </m:r>
          </m:e>
          <m:sub>
            <m:r>
              <m:t>j</m:t>
            </m:r>
          </m:sub>
          <m:sup>
            <m:r>
              <m:rPr>
                <m:sty m:val="p"/>
              </m:rPr>
              <m:t>(</m:t>
            </m:r>
            <m:r>
              <m:t>1</m:t>
            </m:r>
            <m:r>
              <m:rPr>
                <m:sty m:val="p"/>
              </m:rPr>
              <m:t>)</m:t>
            </m:r>
          </m:sup>
        </m:sSubSup>
        <m:r>
          <m:rPr>
            <m:sty m:val="p"/>
          </m:rPr>
          <m:t>,</m:t>
        </m:r>
        <m:r>
          <m:rPr>
            <m:sty m:val="p"/>
          </m:rPr>
          <m:t>…</m:t>
        </m:r>
        <m:r>
          <m:rPr>
            <m:sty m:val="p"/>
          </m:rPr>
          <m:t>,</m:t>
        </m:r>
        <m:sSubSup>
          <m:e>
            <m:r>
              <m:t>θ</m:t>
            </m:r>
          </m:e>
          <m:sub>
            <m:r>
              <m:t>j</m:t>
            </m:r>
          </m:sub>
          <m:sup>
            <m:r>
              <m:rPr>
                <m:sty m:val="p"/>
              </m:rPr>
              <m:t>(</m:t>
            </m:r>
            <m:r>
              <m:t>m</m:t>
            </m:r>
            <m:r>
              <m:rPr>
                <m:sty m:val="p"/>
              </m:rPr>
              <m:t>)</m:t>
            </m:r>
          </m:sup>
        </m:sSubSup>
        <m:r>
          <m:rPr>
            <m:sty m:val="p"/>
          </m:rPr>
          <m:t>}</m:t>
        </m:r>
      </m:oMath>
      <w:r>
        <w:t xml:space="preserve"> </w:t>
      </w:r>
      <w:r>
        <w:rPr>
          <w:rFonts w:hint="eastAsia"/>
        </w:rPr>
        <w:t xml:space="preserve">上取值，其他参数固定。记长期递推得到的第</w:t>
      </w:r>
      <w:r>
        <w:t xml:space="preserve"> 180 </w:t>
      </w:r>
      <w:r>
        <w:rPr>
          <w:rFonts w:hint="eastAsia"/>
        </w:rPr>
        <w:t xml:space="preserve">天价格、外推期最高价和第</w:t>
      </w:r>
      <w:r>
        <w:t xml:space="preserve"> 180 </w:t>
      </w:r>
      <w:r>
        <w:rPr>
          <w:rFonts w:hint="eastAsia"/>
        </w:rPr>
        <w:t xml:space="preserve">天剩余缺口分别为</w:t>
      </w:r>
      <w:r>
        <w:t xml:space="preserve"> </w:t>
      </w:r>
      <m:oMath>
        <m:sSub>
          <m:e>
            <m:r>
              <m:t>P</m:t>
            </m:r>
          </m:e>
          <m:sub>
            <m:r>
              <m:t>180</m:t>
            </m:r>
          </m:sub>
        </m:sSub>
        <m:r>
          <m:rPr>
            <m:sty m:val="p"/>
          </m:rPr>
          <m:t>(</m:t>
        </m:r>
        <m:sSubSup>
          <m:e>
            <m:r>
              <m:t>θ</m:t>
            </m:r>
          </m:e>
          <m:sub>
            <m:r>
              <m:t>j</m:t>
            </m:r>
          </m:sub>
          <m:sup>
            <m:r>
              <m:rPr>
                <m:sty m:val="p"/>
              </m:rPr>
              <m:t>(</m:t>
            </m:r>
            <m:r>
              <m:t>r</m:t>
            </m:r>
            <m:r>
              <m:rPr>
                <m:sty m:val="p"/>
              </m:rPr>
              <m:t>)</m:t>
            </m:r>
          </m:sup>
        </m:sSubSup>
        <m:r>
          <m:rPr>
            <m:sty m:val="p"/>
          </m:rPr>
          <m:t>)</m:t>
        </m:r>
      </m:oMath>
      <w:r>
        <w:t xml:space="preserve">、</w:t>
      </w:r>
      <m:oMath>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oMath>
      <w:r>
        <w:t xml:space="preserve"> </w:t>
      </w:r>
      <w:r>
        <w:rPr>
          <w:rFonts w:hint="eastAsia"/>
        </w:rPr>
        <w:t xml:space="preserve">和</w:t>
      </w:r>
      <w:r>
        <w:t xml:space="preserve"> </w:t>
      </w:r>
      <m:oMath>
        <m:sSub>
          <m:e>
            <m:r>
              <m:t>G</m:t>
            </m:r>
          </m:e>
          <m:sub>
            <m:r>
              <m:t>180</m:t>
            </m:r>
          </m:sub>
        </m:sSub>
        <m:r>
          <m:rPr>
            <m:sty m:val="p"/>
          </m:rPr>
          <m:t>(</m:t>
        </m:r>
        <m:sSubSup>
          <m:e>
            <m:r>
              <m:t>θ</m:t>
            </m:r>
          </m:e>
          <m:sub>
            <m:r>
              <m:t>j</m:t>
            </m:r>
          </m:sub>
          <m:sup>
            <m:r>
              <m:rPr>
                <m:sty m:val="p"/>
              </m:rPr>
              <m:t>(</m:t>
            </m:r>
            <m:r>
              <m:t>r</m:t>
            </m:r>
            <m:r>
              <m:rPr>
                <m:sty m:val="p"/>
              </m:rPr>
              <m:t>)</m:t>
            </m:r>
          </m:sup>
        </m:sSubSup>
        <m:r>
          <m:rPr>
            <m:sty m:val="p"/>
          </m:rPr>
          <m:t>)</m:t>
        </m:r>
      </m:oMath>
      <w:r>
        <w:rPr>
          <w:rFonts w:hint="eastAsia"/>
        </w:rPr>
        <w:t xml:space="preserve">，则响应幅度定义为</w:t>
      </w:r>
    </w:p>
    <w:p>
      <w:pPr>
        <w:pStyle w:val="BodyText"/>
      </w:pPr>
      <m:oMathPara>
        <m:oMathParaPr>
          <m:jc m:val="center"/>
        </m:oMathParaPr>
        <m:oMath>
          <m:eqArr>
            <m:e>
              <m:r>
                <m:rPr>
                  <m:sty m:val="p"/>
                </m:rPr>
                <m:t>Δ</m:t>
              </m:r>
              <m:sSubSup>
                <m:e>
                  <m:r>
                    <m:t>P</m:t>
                  </m:r>
                </m:e>
                <m:sub>
                  <m:r>
                    <m:t>180</m:t>
                  </m:r>
                </m:sub>
                <m:sup>
                  <m:r>
                    <m:rPr>
                      <m:sty m:val="p"/>
                    </m:rPr>
                    <m:t>(</m:t>
                  </m:r>
                  <m:r>
                    <m:t>j</m:t>
                  </m:r>
                  <m:r>
                    <m:rPr>
                      <m:sty m:val="p"/>
                    </m:rPr>
                    <m:t>)</m:t>
                  </m:r>
                </m:sup>
              </m:sSubSup>
              <m:r>
                <m:t>&amp;</m:t>
              </m:r>
              <m:r>
                <m:rPr>
                  <m:sty m:val="p"/>
                </m:rPr>
                <m:t>=</m:t>
              </m:r>
              <m:limLow>
                <m:e>
                  <m:r>
                    <m:rPr>
                      <m:sty m:val="p"/>
                    </m:rPr>
                    <m:t>max</m:t>
                  </m:r>
                </m:e>
                <m:lim>
                  <m:r>
                    <m:t>r</m:t>
                  </m:r>
                </m:lim>
              </m:limLow>
              <m:sSub>
                <m:e>
                  <m:r>
                    <m:t>P</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P</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e>
            <m:e>
              <m:r>
                <m:rPr>
                  <m:sty m:val="p"/>
                </m:rPr>
                <m:t>Δ</m:t>
              </m:r>
              <m:sSubSup>
                <m:e>
                  <m:r>
                    <m:t>P</m:t>
                  </m:r>
                </m:e>
                <m:sub>
                  <m:r>
                    <m:rPr>
                      <m:sty m:val="p"/>
                    </m:rPr>
                    <m:t>max</m:t>
                  </m:r>
                </m:sub>
                <m:sup>
                  <m:r>
                    <m:rPr>
                      <m:sty m:val="p"/>
                    </m:rPr>
                    <m:t>(</m:t>
                  </m:r>
                  <m:r>
                    <m:t>j</m:t>
                  </m:r>
                  <m:r>
                    <m:rPr>
                      <m:sty m:val="p"/>
                    </m:rPr>
                    <m:t>)</m:t>
                  </m:r>
                </m:sup>
              </m:sSubSup>
              <m:r>
                <m:t>&amp;</m:t>
              </m:r>
              <m:r>
                <m:rPr>
                  <m:sty m:val="p"/>
                </m:rPr>
                <m:t>=</m:t>
              </m:r>
              <m:limLow>
                <m:e>
                  <m:r>
                    <m:rPr>
                      <m:sty m:val="p"/>
                    </m:rPr>
                    <m:t>max</m:t>
                  </m:r>
                </m:e>
                <m:lim>
                  <m:r>
                    <m:t>r</m:t>
                  </m:r>
                </m:lim>
              </m:limLow>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r>
                <m:rPr>
                  <m:sty m:val="p"/>
                </m:rPr>
                <m:t>,</m:t>
              </m:r>
            </m:e>
            <m:e>
              <m:r>
                <m:rPr>
                  <m:sty m:val="p"/>
                </m:rPr>
                <m:t>Δ</m:t>
              </m:r>
              <m:sSubSup>
                <m:e>
                  <m:r>
                    <m:t>G</m:t>
                  </m:r>
                </m:e>
                <m:sub>
                  <m:r>
                    <m:t>180</m:t>
                  </m:r>
                </m:sub>
                <m:sup>
                  <m:r>
                    <m:rPr>
                      <m:sty m:val="p"/>
                    </m:rPr>
                    <m:t>(</m:t>
                  </m:r>
                  <m:r>
                    <m:t>j</m:t>
                  </m:r>
                  <m:r>
                    <m:rPr>
                      <m:sty m:val="p"/>
                    </m:rPr>
                    <m:t>)</m:t>
                  </m:r>
                </m:sup>
              </m:sSubSup>
              <m:r>
                <m:t>&amp;</m:t>
              </m:r>
              <m:r>
                <m:rPr>
                  <m:sty m:val="p"/>
                </m:rPr>
                <m:t>=</m:t>
              </m:r>
              <m:limLow>
                <m:e>
                  <m:r>
                    <m:rPr>
                      <m:sty m:val="p"/>
                    </m:rPr>
                    <m:t>max</m:t>
                  </m:r>
                </m:e>
                <m:lim>
                  <m:r>
                    <m:t>r</m:t>
                  </m:r>
                </m:lim>
              </m:limLow>
              <m:sSub>
                <m:e>
                  <m:r>
                    <m:t>G</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G</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e>
          </m:eqArr>
        </m:oMath>
      </m:oMathPara>
    </w:p>
    <w:p>
      <w:pPr>
        <w:pStyle w:val="FirstParagraph"/>
      </w:pPr>
      <w:r>
        <w:rPr>
          <w:rFonts w:hint="eastAsia"/>
        </w:rPr>
        <w:t xml:space="preserve">综合敏感度定义为</w:t>
      </w:r>
    </w:p>
    <w:p>
      <w:pPr>
        <w:pStyle w:val="BodyText"/>
      </w:pPr>
      <m:oMathPara>
        <m:oMathParaPr>
          <m:jc m:val="center"/>
        </m:oMathParaPr>
        <m:oMath>
          <m:sSub>
            <m:e>
              <m:r>
                <m:rPr>
                  <m:scr m:val="script"/>
                  <m:sty m:val="p"/>
                </m:rPr>
                <m:t>S</m:t>
              </m:r>
            </m:e>
            <m:sub>
              <m:r>
                <m:t>j</m:t>
              </m:r>
            </m:sub>
          </m:sSub>
          <m:r>
            <m:rPr>
              <m:sty m:val="p"/>
            </m:rPr>
            <m:t>=</m:t>
          </m:r>
          <m:r>
            <m:rPr>
              <m:sty m:val="p"/>
            </m:rPr>
            <m:t>Δ</m:t>
          </m:r>
          <m:sSubSup>
            <m:e>
              <m:r>
                <m:t>P</m:t>
              </m:r>
            </m:e>
            <m:sub>
              <m:r>
                <m:t>180</m:t>
              </m:r>
            </m:sub>
            <m:sup>
              <m:r>
                <m:rPr>
                  <m:sty m:val="p"/>
                </m:rPr>
                <m:t>(</m:t>
              </m:r>
              <m:r>
                <m:t>j</m:t>
              </m:r>
              <m:r>
                <m:rPr>
                  <m:sty m:val="p"/>
                </m:rPr>
                <m:t>)</m:t>
              </m:r>
            </m:sup>
          </m:sSubSup>
          <m:r>
            <m:rPr>
              <m:sty m:val="p"/>
            </m:rPr>
            <m:t>+</m:t>
          </m:r>
          <m:r>
            <m:t>0.45</m:t>
          </m:r>
          <m:r>
            <m:rPr>
              <m:sty m:val="p"/>
            </m:rPr>
            <m:t>Δ</m:t>
          </m:r>
          <m:sSubSup>
            <m:e>
              <m:r>
                <m:t>P</m:t>
              </m:r>
            </m:e>
            <m:sub>
              <m:r>
                <m:rPr>
                  <m:sty m:val="p"/>
                </m:rPr>
                <m:t>max</m:t>
              </m:r>
            </m:sub>
            <m:sup>
              <m:r>
                <m:rPr>
                  <m:sty m:val="p"/>
                </m:rPr>
                <m:t>(</m:t>
              </m:r>
              <m:r>
                <m:t>j</m:t>
              </m:r>
              <m:r>
                <m:rPr>
                  <m:sty m:val="p"/>
                </m:rPr>
                <m:t>)</m:t>
              </m:r>
            </m:sup>
          </m:sSubSup>
          <m:r>
            <m:rPr>
              <m:sty m:val="p"/>
            </m:rPr>
            <m:t>+</m:t>
          </m:r>
          <m:r>
            <m:t>0.002</m:t>
          </m:r>
          <m:r>
            <m:rPr>
              <m:sty m:val="p"/>
            </m:rPr>
            <m:t>Δ</m:t>
          </m:r>
          <m:sSubSup>
            <m:e>
              <m:r>
                <m:t>G</m:t>
              </m:r>
            </m:e>
            <m:sub>
              <m:r>
                <m:t>180</m:t>
              </m:r>
            </m:sub>
            <m:sup>
              <m:r>
                <m:rPr>
                  <m:sty m:val="p"/>
                </m:rPr>
                <m:t>(</m:t>
              </m:r>
              <m:r>
                <m:t>j</m:t>
              </m:r>
              <m:r>
                <m:rPr>
                  <m:sty m:val="p"/>
                </m:rPr>
                <m:t>)</m:t>
              </m:r>
            </m:sup>
          </m:sSubSup>
          <m:r>
            <m:rPr>
              <m:sty m:val="p"/>
            </m:rPr>
            <m:t>.</m:t>
          </m:r>
        </m:oMath>
      </m:oMathPara>
    </w:p>
    <w:p>
      <w:pPr>
        <w:pStyle w:val="FirstParagraph"/>
      </w:pPr>
      <w:r>
        <w:rPr>
          <w:rFonts w:hint="eastAsia"/>
        </w:rPr>
        <w:t xml:space="preserve">该指标兼顾终点价格、阶段峰值和供需风险；系数</w:t>
      </w:r>
      <w:r>
        <w:t xml:space="preserve"> </w:t>
      </w:r>
      <m:oMath>
        <m:r>
          <m:t>0.45</m:t>
        </m:r>
      </m:oMath>
      <w:r>
        <w:t xml:space="preserve"> </w:t>
      </w:r>
      <w:r>
        <w:rPr>
          <w:rFonts w:hint="eastAsia"/>
        </w:rPr>
        <w:t xml:space="preserve">和</w:t>
      </w:r>
      <w:r>
        <w:t xml:space="preserve"> </w:t>
      </w:r>
      <m:oMath>
        <m:r>
          <m:t>0.002</m:t>
        </m:r>
      </m:oMath>
      <w:r>
        <w:t xml:space="preserve"> </w:t>
      </w:r>
      <w:r>
        <w:rPr>
          <w:rFonts w:hint="eastAsia"/>
        </w:rPr>
        <w:t xml:space="preserve">将峰值风险和供需缺口映射到同一量级，使排序反映综合影响。</w:t>
      </w:r>
    </w:p>
    <w:p>
      <w:pPr>
        <w:pStyle w:val="BodyText"/>
      </w:pPr>
      <w:r>
        <w:t xml:space="preserve">S[table-format=2.0] Y S[table-format=2.2] S[table-format=2.2] S[table-format=2.2]</w:t>
      </w:r>
      <w:r>
        <w:t xml:space="preserve"> </w:t>
      </w:r>
      <w:r>
        <w:rPr>
          <w:rFonts w:hint="eastAsia"/>
        </w:rPr>
        <w:t xml:space="preserve">排名</w:t>
      </w:r>
      <w:r>
        <w:t xml:space="preserve"> </w:t>
      </w:r>
      <w:r>
        <w:t xml:space="preserve">&amp; </w:t>
      </w:r>
      <w:r>
        <w:rPr>
          <w:rFonts w:hint="eastAsia"/>
        </w:rPr>
        <w:t xml:space="preserve">参数</w:t>
      </w:r>
      <w:r>
        <w:t xml:space="preserve"> &amp;</w:t>
      </w:r>
      <w:r>
        <w:t xml:space="preserve"> </w:t>
      </w:r>
      <w:r>
        <w:rPr>
          <w:rFonts w:hint="eastAsia"/>
        </w:rPr>
        <w:t xml:space="preserve">综合敏感度</w:t>
      </w:r>
      <w:r>
        <w:t xml:space="preserve"> </w:t>
      </w:r>
      <w:r>
        <w:t xml:space="preserve">&amp;</w:t>
      </w:r>
      <w:r>
        <w:t xml:space="preserve"> </w:t>
      </w:r>
      <w:r>
        <w:rPr>
          <w:rFonts w:hint="eastAsia"/>
        </w:rPr>
        <w:t xml:space="preserve">第180天波动</w:t>
      </w:r>
      <w:r>
        <w:t xml:space="preserve"> </w:t>
      </w:r>
      <w:r>
        <w:t xml:space="preserve">&amp;</w:t>
      </w:r>
      <w:r>
        <w:t xml:space="preserve"> </w:t>
      </w:r>
      <w:r>
        <w:rPr>
          <w:rFonts w:hint="eastAsia"/>
        </w:rPr>
        <w:t xml:space="preserve">外推峰值波动</w:t>
      </w:r>
      <w:r>
        <w:br/>
      </w:r>
      <w:r>
        <w:t xml:space="preserve">&amp; </w:t>
      </w:r>
      <w:r>
        <w:rPr>
          <w:rFonts w:hint="eastAsia"/>
        </w:rPr>
        <w:t xml:space="preserve">封锁风险衰减速度</w:t>
      </w:r>
      <w:r>
        <w:t xml:space="preserve"> &amp; 15.60 &amp; 12.58 &amp; 6.72</w:t>
      </w:r>
      <w:r>
        <w:br/>
      </w:r>
      <w:r>
        <w:t xml:space="preserve">2 &amp; </w:t>
      </w:r>
      <w:r>
        <w:rPr>
          <w:rFonts w:hint="eastAsia"/>
        </w:rPr>
        <w:t xml:space="preserve">地缘风险权重</w:t>
      </w:r>
      <w:r>
        <w:t xml:space="preserve"> &amp; 13.36 &amp; 8.26 &amp; 11.33</w:t>
      </w:r>
      <w:r>
        <w:br/>
      </w:r>
      <w:r>
        <w:t xml:space="preserve">3 &amp; </w:t>
      </w:r>
      <w:r>
        <w:rPr>
          <w:rFonts w:hint="eastAsia"/>
        </w:rPr>
        <w:t xml:space="preserve">供应中断量</w:t>
      </w:r>
      <w:r>
        <w:t xml:space="preserve"> &amp; 10.76 &amp; 8.41 &amp; 4.34</w:t>
      </w:r>
      <w:r>
        <w:br/>
      </w:r>
      <w:r>
        <w:t xml:space="preserve">4 &amp; </w:t>
      </w:r>
      <w:r>
        <w:rPr>
          <w:rFonts w:hint="eastAsia"/>
        </w:rPr>
        <w:t xml:space="preserve">不确定性与制度风险强度</w:t>
      </w:r>
      <w:r>
        <w:t xml:space="preserve"> &amp; 9.25 &amp; 3.95 &amp; 11.77</w:t>
      </w:r>
      <w:r>
        <w:br/>
      </w:r>
      <w:r>
        <w:t xml:space="preserve">5 &amp; </w:t>
      </w:r>
      <w:r>
        <w:rPr>
          <w:rFonts w:hint="eastAsia"/>
        </w:rPr>
        <w:t xml:space="preserve">制度风险占比</w:t>
      </w:r>
      <w:r>
        <w:t xml:space="preserve"> &amp; 7.89 &amp; 5.40 &amp; 5.53</w:t>
      </w:r>
      <w:r>
        <w:br/>
      </w:r>
      <w:r>
        <w:t xml:space="preserve">6 &amp; </w:t>
      </w:r>
      <w:r>
        <w:rPr>
          <w:rFonts w:hint="eastAsia"/>
        </w:rPr>
        <w:t xml:space="preserve">长期需求弹性</w:t>
      </w:r>
      <w:r>
        <w:t xml:space="preserve"> &amp; 6.20 &amp; 5.00 &amp; 1.80</w:t>
      </w:r>
      <w:r>
        <w:br/>
      </w:r>
      <w:r>
        <w:t xml:space="preserve">7 &amp; SPR </w:t>
      </w:r>
      <w:r>
        <w:rPr>
          <w:rFonts w:hint="eastAsia"/>
        </w:rPr>
        <w:t xml:space="preserve">释放上限</w:t>
      </w:r>
      <w:r>
        <w:t xml:space="preserve"> &amp; 5.04 &amp; 4.31 &amp; 1.08</w:t>
      </w:r>
      <w:r>
        <w:br/>
      </w:r>
      <w:r>
        <w:t xml:space="preserve">8 &amp; </w:t>
      </w:r>
      <w:r>
        <w:rPr>
          <w:rFonts w:hint="eastAsia"/>
        </w:rPr>
        <w:t xml:space="preserve">冲击不确定性占比</w:t>
      </w:r>
      <w:r>
        <w:t xml:space="preserve"> &amp; 3.01 &amp; 1.61 &amp; 3.11</w:t>
      </w:r>
      <w:r>
        <w:br/>
      </w:r>
      <w:r>
        <w:t xml:space="preserve">9 &amp; </w:t>
      </w:r>
      <w:r>
        <w:rPr>
          <w:rFonts w:hint="eastAsia"/>
        </w:rPr>
        <w:t xml:space="preserve">信心恢复后风险底座</w:t>
      </w:r>
      <w:r>
        <w:t xml:space="preserve"> &amp; 2.48 &amp; 2.44 &amp; 0.09</w:t>
      </w:r>
      <w:r>
        <w:br/>
      </w:r>
      <w:r>
        <w:t xml:space="preserve">10 &amp; </w:t>
      </w:r>
      <w:r>
        <w:rPr>
          <w:rFonts w:hint="eastAsia"/>
        </w:rPr>
        <w:t xml:space="preserve">绕道运输能力</w:t>
      </w:r>
      <w:r>
        <w:t xml:space="preserve"> &amp; 0.66 &amp; 0.00 &amp; 1.47</w:t>
      </w:r>
      <w:r>
        <w:br/>
      </w:r>
      <w:r>
        <w:t xml:space="preserve">11 &amp; </w:t>
      </w:r>
      <w:r>
        <w:rPr>
          <w:rFonts w:hint="eastAsia"/>
        </w:rPr>
        <w:t xml:space="preserve">恐慌衰减速度</w:t>
      </w:r>
      <w:r>
        <w:t xml:space="preserve"> &amp; 0.20 &amp; 0.01 &amp; 0.44</w:t>
      </w:r>
      <w:r>
        <w:br/>
      </w:r>
      <w:r>
        <w:t xml:space="preserve">12 &amp; </w:t>
      </w:r>
      <w:r>
        <w:rPr>
          <w:rFonts w:hint="eastAsia"/>
        </w:rPr>
        <w:t xml:space="preserve">预期修复强度</w:t>
      </w:r>
      <w:r>
        <w:t xml:space="preserve"> &amp; 0.13 &amp; 0.00 &amp; 0.30</w:t>
      </w:r>
      <w:r>
        <w:br/>
      </w:r>
      <w:r>
        <w:t xml:space="preserve">13 &amp; </w:t>
      </w:r>
      <w:r>
        <w:rPr>
          <w:rFonts w:hint="eastAsia"/>
        </w:rPr>
        <w:t xml:space="preserve">过剩供给回归强度</w:t>
      </w:r>
      <w:r>
        <w:t xml:space="preserve"> &amp; 0.10 &amp; 0.08 &amp; 0.05</w:t>
      </w:r>
      <w:r>
        <w:br/>
      </w:r>
      <w:r>
        <w:t xml:space="preserve">14 &amp; SPR </w:t>
      </w:r>
      <w:r>
        <w:rPr>
          <w:rFonts w:hint="eastAsia"/>
        </w:rPr>
        <w:t xml:space="preserve">启动延迟</w:t>
      </w:r>
      <w:r>
        <w:t xml:space="preserve"> &amp; 0.07 &amp; 0.00 &amp; 0.15</w:t>
      </w:r>
      <w:r>
        <w:br/>
      </w:r>
      <w:r>
        <w:t xml:space="preserve">15 &amp; </w:t>
      </w:r>
      <w:r>
        <w:rPr>
          <w:rFonts w:hint="eastAsia"/>
        </w:rPr>
        <w:t xml:space="preserve">绕道恢复耗时</w:t>
      </w:r>
      <w:r>
        <w:t xml:space="preserve"> &amp; 0.07 &amp; 0.00 &amp; 0.15</w:t>
      </w:r>
      <w:r>
        <w:br/>
      </w:r>
      <w:r>
        <w:t xml:space="preserve">16 &amp; SPR </w:t>
      </w:r>
      <w:r>
        <w:rPr>
          <w:rFonts w:hint="eastAsia"/>
        </w:rPr>
        <w:t xml:space="preserve">收缩起点</w:t>
      </w:r>
      <w:r>
        <w:t xml:space="preserve"> &amp; 0.03 &amp; 0.00 &amp; 0.07</w:t>
      </w:r>
      <w:r>
        <w:br/>
      </w:r>
    </w:p>
    <w:bookmarkStart w:id="70" w:name="fig:sensitivity-tornado"/>
    <w:p>
      <w:pPr>
        <w:pStyle w:val="CaptionedFigure"/>
      </w:pPr>
      <w:r>
        <w:drawing>
          <wp:inline>
            <wp:extent cx="4587240" cy="2803313"/>
            <wp:effectExtent b="0" l="0" r="0" t="0"/>
            <wp:docPr descr="" title="" id="68" name="Picture"/>
            <a:graphic>
              <a:graphicData uri="http://schemas.openxmlformats.org/drawingml/2006/picture">
                <pic:pic>
                  <pic:nvPicPr>
                    <pic:cNvPr descr="参数敏感性龙卷风图.png" id="69" name="Picture"/>
                    <pic:cNvPicPr>
                      <a:picLocks noChangeArrowheads="1" noChangeAspect="1"/>
                    </pic:cNvPicPr>
                  </pic:nvPicPr>
                  <pic:blipFill>
                    <a:blip r:embed="rId67"/>
                    <a:stretch>
                      <a:fillRect/>
                    </a:stretch>
                  </pic:blipFill>
                  <pic:spPr bwMode="auto">
                    <a:xfrm>
                      <a:off x="0" y="0"/>
                      <a:ext cx="4587240" cy="2803313"/>
                    </a:xfrm>
                    <a:prstGeom prst="rect">
                      <a:avLst/>
                    </a:prstGeom>
                    <a:noFill/>
                    <a:ln w="9525">
                      <a:noFill/>
                      <a:headEnd/>
                      <a:tailEnd/>
                    </a:ln>
                  </pic:spPr>
                </pic:pic>
              </a:graphicData>
            </a:graphic>
          </wp:inline>
        </w:drawing>
      </w:r>
    </w:p>
    <w:p>
      <w:pPr>
        <w:pStyle w:val="ImageCaption"/>
      </w:pPr>
      <w:r>
        <w:rPr>
          <w:rFonts w:hint="eastAsia"/>
        </w:rPr>
        <w:t xml:space="preserve">关键参数综合敏感度排序</w:t>
      </w:r>
    </w:p>
    <w:bookmarkEnd w:id="70"/>
    <w:bookmarkStart w:id="74" w:name="fig:sensitivity-heatmap"/>
    <w:p>
      <w:pPr>
        <w:pStyle w:val="CaptionedFigure"/>
      </w:pPr>
      <w:r>
        <w:drawing>
          <wp:inline>
            <wp:extent cx="4587240" cy="2883137"/>
            <wp:effectExtent b="0" l="0" r="0" t="0"/>
            <wp:docPr descr="" title="" id="72" name="Picture"/>
            <a:graphic>
              <a:graphicData uri="http://schemas.openxmlformats.org/drawingml/2006/picture">
                <pic:pic>
                  <pic:nvPicPr>
                    <pic:cNvPr descr="长期敏感性扰动热力图.png" id="73" name="Picture"/>
                    <pic:cNvPicPr>
                      <a:picLocks noChangeArrowheads="1" noChangeAspect="1"/>
                    </pic:cNvPicPr>
                  </pic:nvPicPr>
                  <pic:blipFill>
                    <a:blip r:embed="rId71"/>
                    <a:stretch>
                      <a:fillRect/>
                    </a:stretch>
                  </pic:blipFill>
                  <pic:spPr bwMode="auto">
                    <a:xfrm>
                      <a:off x="0" y="0"/>
                      <a:ext cx="4587240" cy="2883137"/>
                    </a:xfrm>
                    <a:prstGeom prst="rect">
                      <a:avLst/>
                    </a:prstGeom>
                    <a:noFill/>
                    <a:ln w="9525">
                      <a:noFill/>
                      <a:headEnd/>
                      <a:tailEnd/>
                    </a:ln>
                  </pic:spPr>
                </pic:pic>
              </a:graphicData>
            </a:graphic>
          </wp:inline>
        </w:drawing>
      </w:r>
    </w:p>
    <w:p>
      <w:pPr>
        <w:pStyle w:val="ImageCaption"/>
      </w:pPr>
      <w:r>
        <w:rPr>
          <w:rFonts w:hint="eastAsia"/>
        </w:rPr>
        <w:t xml:space="preserve">长期敏感性扰动热力图</w:t>
      </w:r>
    </w:p>
    <w:bookmarkEnd w:id="74"/>
    <w:p>
      <w:pPr>
        <w:pStyle w:val="BodyText"/>
      </w:pPr>
      <w:r>
        <w:rPr>
          <w:rFonts w:hint="eastAsia"/>
        </w:rPr>
        <w:t xml:space="preserve">敏感性结果表明，第</w:t>
      </w:r>
      <w:r>
        <w:t xml:space="preserve"> 180 </w:t>
      </w:r>
      <w:r>
        <w:rPr>
          <w:rFonts w:hint="eastAsia"/>
        </w:rPr>
        <w:t xml:space="preserve">天价格对封锁风险衰减速度最敏感。当该速度从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天价格波动达到</w:t>
      </w:r>
      <w:r>
        <w:t xml:space="preserve"> 12.58 </w:t>
      </w:r>
      <w:r>
        <w:rPr>
          <w:rFonts w:hint="eastAsia"/>
        </w:rPr>
        <w:t xml:space="preserve">美元/桶。接入</w:t>
      </w:r>
      <w:r>
        <w:t xml:space="preserve"> SPR </w:t>
      </w:r>
      <w:r>
        <w:rPr>
          <w:rFonts w:hint="eastAsia"/>
        </w:rPr>
        <w:t xml:space="preserve">有限预算后，供应中断量和</w:t>
      </w:r>
      <w:r>
        <w:t xml:space="preserve"> SPR </w:t>
      </w:r>
      <w:r>
        <w:rPr>
          <w:rFonts w:hint="eastAsia"/>
        </w:rPr>
        <w:t xml:space="preserve">释放上限排序上升，说明长期结果同时受风险吸收、物理缺口和政策缓冲约束。</w:t>
      </w:r>
    </w:p>
    <w:p>
      <w:pPr>
        <w:pStyle w:val="BodyText"/>
      </w:pPr>
      <w:r>
        <w:rPr>
          <w:rFonts w:hint="eastAsia"/>
          <w:b/>
          <w:bCs/>
        </w:rPr>
        <w:t xml:space="preserve">结论</w:t>
      </w:r>
      <w:r>
        <w:rPr>
          <w:rFonts w:hint="eastAsia"/>
        </w:rPr>
        <w:t xml:space="preserve">长期结果主要受封锁风险衰减速度、地缘风险权重、供应中断量和制度风险强度影响，需与</w:t>
      </w:r>
      <w:r>
        <w:t xml:space="preserve"> SPR </w:t>
      </w:r>
      <w:r>
        <w:rPr>
          <w:rFonts w:hint="eastAsia"/>
        </w:rPr>
        <w:t xml:space="preserve">有限预算和尾部区间合读。</w:t>
      </w:r>
    </w:p>
    <w:bookmarkEnd w:id="75"/>
    <w:bookmarkStart w:id="79" w:name="sec:monte-carlo"/>
    <w:p>
      <w:pPr>
        <w:pStyle w:val="Heading3"/>
      </w:pPr>
      <w:r>
        <w:rPr>
          <w:rFonts w:hint="eastAsia"/>
        </w:rPr>
        <w:t xml:space="preserve">蒙特卡洛情景树与尾部风险</w:t>
      </w:r>
    </w:p>
    <w:p>
      <w:pPr>
        <w:pStyle w:val="FirstParagraph"/>
      </w:pPr>
      <w:r>
        <w:rPr>
          <w:rFonts w:hint="eastAsia"/>
        </w:rPr>
        <w:t xml:space="preserve">单因素敏感性只给出边际影响，长期风险则常由多因素共同恶化触发。本文在赛题边界和扰动范围内进行</w:t>
      </w:r>
      <w:r>
        <w:t xml:space="preserve"> 2000 </w:t>
      </w:r>
      <w:r>
        <w:rPr>
          <w:rFonts w:hint="eastAsia"/>
        </w:rPr>
        <w:t xml:space="preserve">次联合抽样。抽样使用压力指数</w:t>
      </w:r>
      <w:r>
        <w:t xml:space="preserve"> </w:t>
      </w:r>
      <m:oMath>
        <m:r>
          <m:t>z</m:t>
        </m:r>
        <m:r>
          <m:rPr>
            <m:sty m:val="p"/>
          </m:rPr>
          <m:t>∈</m:t>
        </m:r>
        <m:r>
          <m:rPr>
            <m:sty m:val="p"/>
          </m:rPr>
          <m:t>[</m:t>
        </m:r>
        <m:r>
          <m:t>0</m:t>
        </m:r>
        <m:r>
          <m:rPr>
            <m:sty m:val="p"/>
          </m:rPr>
          <m:t>,</m:t>
        </m:r>
        <m:r>
          <m:t>1</m:t>
        </m:r>
        <m:r>
          <m:rPr>
            <m:sty m:val="p"/>
          </m:rPr>
          <m:t>]</m:t>
        </m:r>
      </m:oMath>
      <w:r>
        <w:rPr>
          <w:rFonts w:hint="eastAsia"/>
        </w:rPr>
        <w:t xml:space="preserve">：</w:t>
      </w:r>
      <m:oMath>
        <m:r>
          <m:t>z</m:t>
        </m:r>
      </m:oMath>
      <w:r>
        <w:t xml:space="preserve"> </w:t>
      </w:r>
      <w:r>
        <w:rPr>
          <w:rFonts w:hint="eastAsia"/>
        </w:rPr>
        <w:t xml:space="preserve">越高，供应中断量、地缘风险权重和制度风险强度越高，SPR</w:t>
      </w:r>
      <w:r>
        <w:t xml:space="preserve"> </w:t>
      </w:r>
      <w:r>
        <w:rPr>
          <w:rFonts w:hint="eastAsia"/>
        </w:rPr>
        <w:t xml:space="preserve">可用释放量、绕道能力、需求调整速度和预期修复强度越低。每次抽样均调用同一套中长期油价调节模型。</w:t>
      </w:r>
    </w:p>
    <w:p>
      <w:pPr>
        <w:pStyle w:val="BodyText"/>
      </w:pPr>
      <w:r>
        <w:rPr>
          <w:rFonts w:hint="eastAsia"/>
        </w:rPr>
        <w:t xml:space="preserve">扰动尺度由</w:t>
      </w:r>
      <w:r>
        <w:t xml:space="preserve"> 2017–2025 </w:t>
      </w:r>
      <w:r>
        <w:rPr>
          <w:rFonts w:hint="eastAsia"/>
        </w:rPr>
        <w:t xml:space="preserve">年附件历史数据校准。共构造</w:t>
      </w:r>
      <w:r>
        <w:t xml:space="preserve"> 2146 </w:t>
      </w:r>
      <w:r>
        <w:rPr>
          <w:rFonts w:hint="eastAsia"/>
        </w:rPr>
        <w:t xml:space="preserve">个同长度窗口；2026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0.073，状态转移日度扰动波动率为</w:t>
      </w:r>
      <w:r>
        <w:t xml:space="preserve"> 0.0132。</w:t>
      </w:r>
    </w:p>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20.0%</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5.0%</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91.2%</w:t>
            </w:r>
          </w:p>
        </w:tc>
      </w:tr>
      <w:tr>
        <w:tc>
          <w:tcPr/>
          <w:p>
            <w:pPr>
              <w:pStyle w:val="Compact"/>
              <w:jc w:val="left"/>
            </w:pPr>
            <w:r>
              <w:rPr>
                <w:rFonts w:hint="eastAsia"/>
              </w:rPr>
              <w:t xml:space="preserve">二次跳涨风险为高概率</w:t>
            </w:r>
          </w:p>
        </w:tc>
        <w:tc>
          <w:tcPr/>
          <w:p>
            <w:pPr>
              <w:pStyle w:val="Compact"/>
              <w:jc w:val="right"/>
            </w:pPr>
            <w:r>
              <w:t xml:space="preserve">91.2%</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87.77</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104.91</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116.59</w:t>
            </w:r>
          </w:p>
        </w:tc>
      </w:tr>
      <w:tr>
        <w:tc>
          <w:tcPr/>
          <w:p>
            <w:pPr>
              <w:pStyle w:val="Compact"/>
              <w:jc w:val="left"/>
            </w:pPr>
            <w:r>
              <w:rPr>
                <w:rFonts w:hint="eastAsia"/>
              </w:rPr>
              <w:t xml:space="preserve">外推期最高价</w:t>
            </w:r>
            <w:r>
              <w:t xml:space="preserve"> P95</w:t>
            </w:r>
          </w:p>
        </w:tc>
        <w:tc>
          <w:tcPr/>
          <w:p>
            <w:pPr>
              <w:pStyle w:val="Compact"/>
              <w:jc w:val="right"/>
            </w:pPr>
            <w:r>
              <w:t xml:space="preserve">129.97</w:t>
            </w:r>
          </w:p>
        </w:tc>
      </w:tr>
    </w:tbl>
    <w:p>
      <w:pPr>
        <w:pStyle w:val="CaptionedFigure"/>
      </w:pPr>
      <w:r>
        <w:drawing>
          <wp:inline>
            <wp:extent cx="4693920" cy="2654527"/>
            <wp:effectExtent b="0" l="0" r="0" t="0"/>
            <wp:docPr descr="" title="" id="77" name="Picture"/>
            <a:graphic>
              <a:graphicData uri="http://schemas.openxmlformats.org/drawingml/2006/picture">
                <pic:pic>
                  <pic:nvPicPr>
                    <pic:cNvPr descr="蒙特卡洛尾部风险概率.png" id="78" name="Picture"/>
                    <pic:cNvPicPr>
                      <a:picLocks noChangeArrowheads="1" noChangeAspect="1"/>
                    </pic:cNvPicPr>
                  </pic:nvPicPr>
                  <pic:blipFill>
                    <a:blip r:embed="rId76"/>
                    <a:stretch>
                      <a:fillRect/>
                    </a:stretch>
                  </pic:blipFill>
                  <pic:spPr bwMode="auto">
                    <a:xfrm>
                      <a:off x="0" y="0"/>
                      <a:ext cx="4693920" cy="2654527"/>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蒙特卡洛路径第</w:t>
      </w:r>
      <w:r>
        <w:t xml:space="preserve"> 180 </w:t>
      </w:r>
      <w:r>
        <w:rPr>
          <w:rFonts w:hint="eastAsia"/>
        </w:rPr>
        <w:t xml:space="preserve">天中位数为</w:t>
      </w:r>
      <w:r>
        <w:t xml:space="preserve"> 104.91 </w:t>
      </w:r>
      <w:r>
        <w:rPr>
          <w:rFonts w:hint="eastAsia"/>
        </w:rPr>
        <w:t xml:space="preserve">美元/桶，与中性情景</w:t>
      </w:r>
      <w:r>
        <w:t xml:space="preserve"> 97.82 </w:t>
      </w:r>
      <w:r>
        <w:rPr>
          <w:rFonts w:hint="eastAsia"/>
        </w:rPr>
        <w:t xml:space="preserve">美元/桶处在同一数量级。外推期最高价突破</w:t>
      </w:r>
      <w:r>
        <w:t xml:space="preserve"> 120 </w:t>
      </w:r>
      <w:r>
        <w:rPr>
          <w:rFonts w:hint="eastAsia"/>
        </w:rPr>
        <w:t xml:space="preserve">美元/桶的概率为</w:t>
      </w:r>
      <w:r>
        <w:t xml:space="preserve"> </w:t>
      </w:r>
      <w:r>
        <w:rPr>
          <w:rFonts w:hint="eastAsia"/>
        </w:rPr>
        <w:t xml:space="preserve">20.0%，突破</w:t>
      </w:r>
      <w:r>
        <w:t xml:space="preserve"> 130 </w:t>
      </w:r>
      <w:r>
        <w:rPr>
          <w:rFonts w:hint="eastAsia"/>
        </w:rPr>
        <w:t xml:space="preserve">美元/桶的概率为</w:t>
      </w:r>
      <w:r>
        <w:t xml:space="preserve"> </w:t>
      </w:r>
      <w:r>
        <w:rPr>
          <w:rFonts w:hint="eastAsia"/>
        </w:rPr>
        <w:t xml:space="preserve">5.0%。因此，长期风险重点不在中性点预测，而在多因素联动恶化下的尾部组合。</w:t>
      </w:r>
    </w:p>
    <w:p>
      <w:pPr>
        <w:pStyle w:val="BodyText"/>
      </w:pPr>
      <w:r>
        <w:rPr>
          <w:rFonts w:hint="eastAsia"/>
        </w:rPr>
        <w:t xml:space="preserve">状态转移层令</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t xml:space="preserve"> </w:t>
      </w:r>
      <w:r>
        <w:rPr>
          <w:rFonts w:hint="eastAsia"/>
        </w:rPr>
        <w:t xml:space="preserve">在缓和、维持和升级之间切换，转移概率由剩余缺口、SPR</w:t>
      </w:r>
      <w:r>
        <w:t xml:space="preserve"> </w:t>
      </w:r>
      <w:r>
        <w:rPr>
          <w:rFonts w:hint="eastAsia"/>
        </w:rPr>
        <w:t xml:space="preserve">预算消耗、库存消耗、绕道瓶颈、高价压力、GPR</w:t>
      </w:r>
      <w:r>
        <w:t xml:space="preserve"> </w:t>
      </w:r>
      <w:r>
        <w:rPr>
          <w:rFonts w:hint="eastAsia"/>
        </w:rPr>
        <w:t xml:space="preserve">和</w:t>
      </w:r>
      <w:r>
        <w:t xml:space="preserve"> OVX </w:t>
      </w:r>
      <w:r>
        <w:rPr>
          <w:rFonts w:hint="eastAsia"/>
        </w:rPr>
        <w:t xml:space="preserve">在</w:t>
      </w:r>
      <w:r>
        <w:t xml:space="preserve"> logit </w:t>
      </w:r>
      <w:r>
        <w:rPr>
          <w:rFonts w:hint="eastAsia"/>
        </w:rPr>
        <w:t xml:space="preserve">空间修正。3000</w:t>
      </w:r>
      <w:r>
        <w:t xml:space="preserve"> </w:t>
      </w:r>
      <w:r>
        <w:rPr>
          <w:rFonts w:hint="eastAsia"/>
        </w:rPr>
        <w:t xml:space="preserve">条路径显示，第</w:t>
      </w:r>
      <w:r>
        <w:t xml:space="preserve"> 180 </w:t>
      </w:r>
      <w:r>
        <w:rPr>
          <w:rFonts w:hint="eastAsia"/>
        </w:rPr>
        <w:t xml:space="preserve">天价格中位数为</w:t>
      </w:r>
      <w:r>
        <w:t xml:space="preserve"> 97.59 </w:t>
      </w:r>
      <w:r>
        <w:rPr>
          <w:rFonts w:hint="eastAsia"/>
        </w:rPr>
        <w:t xml:space="preserve">美元/桶，5%–95%</w:t>
      </w:r>
      <w:r>
        <w:t xml:space="preserve"> </w:t>
      </w:r>
      <w:r>
        <w:rPr>
          <w:rFonts w:hint="eastAsia"/>
        </w:rPr>
        <w:t xml:space="preserve">区间为</w:t>
      </w:r>
      <w:r>
        <w:t xml:space="preserve"> 90.98–116.21 </w:t>
      </w:r>
      <w:r>
        <w:rPr>
          <w:rFonts w:hint="eastAsia"/>
        </w:rPr>
        <w:t xml:space="preserve">美元/桶；外推期最高价</w:t>
      </w:r>
      <w:r>
        <w:t xml:space="preserve"> P95 </w:t>
      </w:r>
      <w:r>
        <w:rPr>
          <w:rFonts w:hint="eastAsia"/>
        </w:rPr>
        <w:t xml:space="preserve">为</w:t>
      </w:r>
      <w:r>
        <w:t xml:space="preserve"> 137.62 </w:t>
      </w:r>
      <w:r>
        <w:rPr>
          <w:rFonts w:hint="eastAsia"/>
        </w:rPr>
        <w:t xml:space="preserve">美元/桶，突破</w:t>
      </w:r>
      <w:r>
        <w:t xml:space="preserve"> 120 </w:t>
      </w:r>
      <w:r>
        <w:rPr>
          <w:rFonts w:hint="eastAsia"/>
        </w:rPr>
        <w:t xml:space="preserve">美元/桶的条件概率为</w:t>
      </w:r>
      <w:r>
        <w:t xml:space="preserve"> 85.4%。</w:t>
      </w:r>
    </w:p>
    <w:bookmarkEnd w:id="79"/>
    <w:bookmarkStart w:id="80" w:name="外生风险变量与历史稳健性摘要"/>
    <w:p>
      <w:pPr>
        <w:pStyle w:val="Heading3"/>
      </w:pPr>
      <w:r>
        <w:rPr>
          <w:rFonts w:hint="eastAsia"/>
        </w:rPr>
        <w:t xml:space="preserve">外生风险变量与历史稳健性摘要</w:t>
      </w:r>
    </w:p>
    <w:p>
      <w:pPr>
        <w:pStyle w:val="FirstParagraph"/>
      </w:pPr>
      <w:r>
        <w:t xml:space="preserve">GPR </w:t>
      </w:r>
      <w:r>
        <w:rPr>
          <w:rFonts w:hint="eastAsia"/>
        </w:rPr>
        <w:t xml:space="preserve">和</w:t>
      </w:r>
      <w:r>
        <w:t xml:space="preserve"> OVX </w:t>
      </w:r>
      <w:r>
        <w:rPr>
          <w:rFonts w:hint="eastAsia"/>
        </w:rPr>
        <w:t xml:space="preserve">不替代附件真实价格，也不作为短期同日拟合变量。GPR</w:t>
      </w:r>
      <w:r>
        <w:t xml:space="preserve"> </w:t>
      </w:r>
      <w:r>
        <w:rPr>
          <w:rFonts w:hint="eastAsia"/>
        </w:rPr>
        <w:t xml:space="preserve">刻画地缘风险叙事，OVX</w:t>
      </w:r>
      <w:r>
        <w:t xml:space="preserve"> </w:t>
      </w:r>
      <w:r>
        <w:rPr>
          <w:rFonts w:hint="eastAsia"/>
        </w:rPr>
        <w:t xml:space="preserve">反映期权市场对未来波动的定价；二者用于约束长期状态压力和尾部风险。</w:t>
      </w:r>
    </w:p>
    <w:p>
      <w:pPr>
        <w:pStyle w:val="TableCaption"/>
      </w:pPr>
      <w:r>
        <w:rPr>
          <w:rFonts w:hint="eastAsia"/>
        </w:rPr>
        <w:t xml:space="preserve">外生风险变量与历史稳健性摘要</w:t>
      </w:r>
    </w:p>
    <w:tbl>
      <w:tblPr>
        <w:tblStyle w:val="Table"/>
        <w:tblW w:type="pct" w:w="2400"/>
        <w:tblLayout w:type="fixed"/>
        <w:tblLook w:firstRow="1" w:lastRow="0" w:firstColumn="0" w:lastColumn="0" w:noHBand="0" w:noVBand="0" w:val="0020"/>
        <w:tblCaption w:val="外生风险变量与历史稳健性摘要"/>
      </w:tblPr>
      <w:tblGrid>
        <w:gridCol w:w="1584"/>
        <w:gridCol w:w="2217"/>
        <w:gridCol w:w="0"/>
      </w:tblGrid>
      <w:tr>
        <w:trPr>
          <w:tblHeader w:val="on"/>
        </w:trPr>
        <w:tc>
          <w:tcPr/>
          <w:p>
            <w:pPr>
              <w:pStyle w:val="Compact"/>
              <w:jc w:val="left"/>
            </w:pPr>
            <w:r>
              <w:rPr>
                <w:rFonts w:hint="eastAsia"/>
              </w:rPr>
              <w:t xml:space="preserve">证据来源</w:t>
            </w:r>
          </w:p>
        </w:tc>
        <w:tc>
          <w:tcPr/>
          <w:p>
            <w:pPr>
              <w:pStyle w:val="Compact"/>
              <w:jc w:val="left"/>
            </w:pPr>
            <w:r>
              <w:rPr>
                <w:rFonts w:hint="eastAsia"/>
              </w:rPr>
              <w:t xml:space="preserve">关键结果</w:t>
            </w:r>
          </w:p>
        </w:tc>
        <w:tc>
          <w:tcPr/>
          <w:p>
            <w:pPr>
              <w:pStyle w:val="Compact"/>
              <w:jc w:val="left"/>
            </w:pPr>
            <w:r>
              <w:rPr>
                <w:rFonts w:hint="eastAsia"/>
              </w:rPr>
              <w:t xml:space="preserve">模型含义</w:t>
            </w:r>
          </w:p>
        </w:tc>
      </w:tr>
      <w:tr>
        <w:tc>
          <w:tcPr/>
          <w:p>
            <w:pPr>
              <w:pStyle w:val="Compact"/>
              <w:jc w:val="left"/>
            </w:pPr>
            <w:r>
              <w:t xml:space="preserve">GPR </w:t>
            </w:r>
            <w:r>
              <w:rPr>
                <w:rFonts w:hint="eastAsia"/>
              </w:rPr>
              <w:t xml:space="preserve">月度指数</w:t>
            </w:r>
          </w:p>
        </w:tc>
        <w:tc>
          <w:tcPr/>
          <w:p>
            <w:pPr>
              <w:pStyle w:val="Compact"/>
              <w:jc w:val="left"/>
            </w:pPr>
            <w:r>
              <w:t xml:space="preserve">2026 </w:t>
            </w:r>
            <w:r>
              <w:rPr>
                <w:rFonts w:hint="eastAsia"/>
              </w:rPr>
              <w:t xml:space="preserve">年</w:t>
            </w:r>
            <w:r>
              <w:t xml:space="preserve"> 3 </w:t>
            </w:r>
            <w:r>
              <w:rPr>
                <w:rFonts w:hint="eastAsia"/>
              </w:rPr>
              <w:t xml:space="preserve">月历史分位数</w:t>
            </w:r>
            <w:r>
              <w:t xml:space="preserve"> </w:t>
            </w:r>
            <w:r>
              <w:rPr>
                <w:rFonts w:hint="eastAsia"/>
              </w:rPr>
              <w:t xml:space="preserve">98.98%，4</w:t>
            </w:r>
            <w:r>
              <w:t xml:space="preserve"> </w:t>
            </w:r>
            <w:r>
              <w:rPr>
                <w:rFonts w:hint="eastAsia"/>
              </w:rPr>
              <w:t xml:space="preserve">月历史分位数</w:t>
            </w:r>
            <w:r>
              <w:t xml:space="preserve"> </w:t>
            </w:r>
            <w:r>
              <w:rPr>
                <w:rFonts w:hint="eastAsia"/>
              </w:rPr>
              <w:t xml:space="preserve">97.76%；滞后</w:t>
            </w:r>
            <w:r>
              <w:t xml:space="preserve"> 1 </w:t>
            </w:r>
            <w:r>
              <w:rPr>
                <w:rFonts w:hint="eastAsia"/>
              </w:rPr>
              <w:t xml:space="preserve">月</w:t>
            </w:r>
            <w:r>
              <w:t xml:space="preserve"> GPR </w:t>
            </w:r>
            <w:r>
              <w:rPr>
                <w:rFonts w:hint="eastAsia"/>
              </w:rPr>
              <w:t xml:space="preserve">与本月收益相关系数仅</w:t>
            </w:r>
            <w:r>
              <w:t xml:space="preserve"> 0.030</w:t>
            </w:r>
          </w:p>
        </w:tc>
        <w:tc>
          <w:tcPr/>
          <w:p>
            <w:pPr>
              <w:pStyle w:val="Compact"/>
              <w:jc w:val="left"/>
            </w:pPr>
            <w:r>
              <w:rPr>
                <w:rFonts w:hint="eastAsia"/>
              </w:rPr>
              <w:t xml:space="preserve">地缘风险处于罕见高位，但不应包装成强短期收益预测器；适合进入长期风险压力约束。</w:t>
            </w:r>
          </w:p>
        </w:tc>
      </w:tr>
      <w:tr>
        <w:tc>
          <w:tcPr/>
          <w:p>
            <w:pPr>
              <w:pStyle w:val="Compact"/>
              <w:jc w:val="left"/>
            </w:pPr>
            <w:r>
              <w:t xml:space="preserve">OVX </w:t>
            </w:r>
            <w:r>
              <w:rPr>
                <w:rFonts w:hint="eastAsia"/>
              </w:rPr>
              <w:t xml:space="preserve">隐含波动率</w:t>
            </w:r>
          </w:p>
        </w:tc>
        <w:tc>
          <w:tcPr/>
          <w:p>
            <w:pPr>
              <w:pStyle w:val="Compact"/>
              <w:jc w:val="left"/>
            </w:pPr>
            <w:r>
              <w:rPr>
                <w:rFonts w:hint="eastAsia"/>
              </w:rPr>
              <w:t xml:space="preserve">冲突窗口均值</w:t>
            </w:r>
            <w:r>
              <w:t xml:space="preserve"> </w:t>
            </w:r>
            <w:r>
              <w:rPr>
                <w:rFonts w:hint="eastAsia"/>
              </w:rPr>
              <w:t xml:space="preserve">87.07，最大值</w:t>
            </w:r>
            <w:r>
              <w:t xml:space="preserve"> </w:t>
            </w:r>
            <w:r>
              <w:rPr>
                <w:rFonts w:hint="eastAsia"/>
              </w:rPr>
              <w:t xml:space="preserve">120.91，均值历史分位</w:t>
            </w:r>
            <w:r>
              <w:t xml:space="preserve"> </w:t>
            </w:r>
            <w:r>
              <w:rPr>
                <w:rFonts w:hint="eastAsia"/>
              </w:rPr>
              <w:t xml:space="preserve">97.3%；滞后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r>
              <w:t xml:space="preserve"> 0.790</w:t>
            </w:r>
          </w:p>
        </w:tc>
        <w:tc>
          <w:tcPr/>
          <w:p>
            <w:pPr>
              <w:pStyle w:val="Compact"/>
              <w:jc w:val="left"/>
            </w:pPr>
            <w:r>
              <w:rPr>
                <w:rFonts w:hint="eastAsia"/>
              </w:rPr>
              <w:t xml:space="preserve">期权市场确认冲突窗口的高波动风险；适合约束长期波动和尾部概率，而不直接预测方向。</w:t>
            </w:r>
          </w:p>
        </w:tc>
      </w:tr>
      <w:tr>
        <w:tc>
          <w:tcPr/>
          <w:p>
            <w:pPr>
              <w:pStyle w:val="Compact"/>
              <w:jc w:val="left"/>
            </w:pPr>
            <w:r>
              <w:rPr>
                <w:rFonts w:hint="eastAsia"/>
              </w:rPr>
              <w:t xml:space="preserve">历史同长度窗口</w:t>
            </w:r>
          </w:p>
        </w:tc>
        <w:tc>
          <w:tcPr/>
          <w:p>
            <w:pPr>
              <w:pStyle w:val="Compact"/>
              <w:jc w:val="left"/>
            </w:pPr>
            <w:r>
              <w:t xml:space="preserve">2026 </w:t>
            </w:r>
            <w:r>
              <w:rPr>
                <w:rFonts w:hint="eastAsia"/>
              </w:rPr>
              <w:t xml:space="preserve">冲突窗口累计收益率历史分位</w:t>
            </w:r>
            <w:r>
              <w:t xml:space="preserve"> </w:t>
            </w:r>
            <w:r>
              <w:rPr>
                <w:rFonts w:hint="eastAsia"/>
              </w:rPr>
              <w:t xml:space="preserve">99.3%，实现波动率</w:t>
            </w:r>
            <w:r>
              <w:t xml:space="preserve"> </w:t>
            </w:r>
            <w:r>
              <w:rPr>
                <w:rFonts w:hint="eastAsia"/>
              </w:rPr>
              <w:t xml:space="preserve">95.7%，朴素基准</w:t>
            </w:r>
            <w:r>
              <w:t xml:space="preserve"> RMSE 98.5%</w:t>
            </w:r>
          </w:p>
        </w:tc>
        <w:tc>
          <w:tcPr/>
          <w:p>
            <w:pPr>
              <w:pStyle w:val="Compact"/>
              <w:jc w:val="left"/>
            </w:pPr>
            <w:r>
              <w:rPr>
                <w:rFonts w:hint="eastAsia"/>
              </w:rPr>
              <w:t xml:space="preserve">说明该窗口确实是高涨幅、高波动、高预测难度样本；历史数据用于背景分布和扰动尺度校准。</w:t>
            </w:r>
          </w:p>
        </w:tc>
      </w:tr>
    </w:tbl>
    <w:p>
      <w:pPr>
        <w:pStyle w:val="BodyText"/>
      </w:pPr>
      <w:r>
        <w:rPr>
          <w:rFonts w:hint="eastAsia"/>
        </w:rPr>
        <w:t xml:space="preserve">上述结果给出三点判断：外生变量支持</w:t>
      </w:r>
      <w:r>
        <w:rPr>
          <w:rFonts w:hint="eastAsia"/>
        </w:rPr>
        <w:t xml:space="preserve">“冲突窗口风险读数异常高”</w:t>
      </w:r>
      <w:r>
        <w:rPr>
          <w:rFonts w:hint="eastAsia"/>
        </w:rPr>
        <w:t xml:space="preserve">的前提；GPR</w:t>
      </w:r>
      <w:r>
        <w:t xml:space="preserve"> </w:t>
      </w:r>
      <w:r>
        <w:rPr>
          <w:rFonts w:hint="eastAsia"/>
        </w:rPr>
        <w:t xml:space="preserve">和</w:t>
      </w:r>
      <w:r>
        <w:t xml:space="preserve"> OVX </w:t>
      </w:r>
      <w:r>
        <w:rPr>
          <w:rFonts w:hint="eastAsia"/>
        </w:rPr>
        <w:t xml:space="preserve">对方向收益的直接解释力有限，不宜作为短期点预测变量；完整历史数据用于校准波动尺度、基准难度和极端性位置，不替代霍尔木兹封锁机制。</w:t>
      </w:r>
    </w:p>
    <w:bookmarkEnd w:id="80"/>
    <w:bookmarkEnd w:id="81"/>
    <w:bookmarkEnd w:id="82"/>
    <w:bookmarkStart w:id="86" w:name="模型检验"/>
    <w:p>
      <w:pPr>
        <w:pStyle w:val="Heading1"/>
      </w:pPr>
      <w:r>
        <w:rPr>
          <w:rFonts w:hint="eastAsia"/>
        </w:rPr>
        <w:t xml:space="preserve">模型检验</w:t>
      </w:r>
    </w:p>
    <w:p>
      <w:pPr>
        <w:pStyle w:val="FirstParagraph"/>
      </w:pPr>
      <w:r>
        <w:rPr>
          <w:rFonts w:hint="eastAsia"/>
        </w:rPr>
        <w:t xml:space="preserve">本节汇总模型求解后的核心结果，并给出必要的模型检验。正文只保留与结论判断直接相关的证据；参数剖面、残差分布、事件窗口、R</w:t>
      </w:r>
      <w:r>
        <w:t xml:space="preserve"> </w:t>
      </w:r>
      <w:r>
        <w:rPr>
          <w:rFonts w:hint="eastAsia"/>
        </w:rPr>
        <w:t xml:space="preserve">语言复核和外生风险补充图放入附录。</w:t>
      </w:r>
    </w:p>
    <w:bookmarkStart w:id="83" w:name="短期冲击模型结果分析"/>
    <w:p>
      <w:pPr>
        <w:pStyle w:val="Heading2"/>
      </w:pPr>
      <w:r>
        <w:rPr>
          <w:rFonts w:hint="eastAsia"/>
        </w:rPr>
        <w:t xml:space="preserve">短期冲击模型结果分析</w:t>
      </w:r>
    </w:p>
    <w:p>
      <w:pPr>
        <w:pStyle w:val="FirstParagraph"/>
      </w:pPr>
      <w:r>
        <w:rPr>
          <w:rFonts w:hint="eastAsia"/>
        </w:rPr>
        <w:t xml:space="preserve">短期冲击模型在</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日的冲突窗口内取得</w:t>
      </w:r>
      <w:r>
        <w:t xml:space="preserve"> RMSE 3.47 </w:t>
      </w:r>
      <w:r>
        <w:rPr>
          <w:rFonts w:hint="eastAsia"/>
        </w:rPr>
        <w:t xml:space="preserve">美元/桶、MAE</w:t>
      </w:r>
      <w:r>
        <w:t xml:space="preserve"> 2.87 </w:t>
      </w:r>
      <w:r>
        <w:rPr>
          <w:rFonts w:hint="eastAsia"/>
        </w:rPr>
        <w:t xml:space="preserve">美元/桶、MAPE</w:t>
      </w:r>
      <w:r>
        <w:t xml:space="preserve"> </w:t>
      </w:r>
      <w:r>
        <w:rPr>
          <w:rFonts w:hint="eastAsia"/>
        </w:rPr>
        <w:t xml:space="preserve">2.88%。模拟峰值为</w:t>
      </w:r>
      <w:r>
        <w:t xml:space="preserve"> 110.55 </w:t>
      </w:r>
      <w:r>
        <w:rPr>
          <w:rFonts w:hint="eastAsia"/>
        </w:rPr>
        <w:t xml:space="preserve">美元/桶，实际最高收盘价为</w:t>
      </w:r>
      <w:r>
        <w:t xml:space="preserve"> 114.06 </w:t>
      </w:r>
      <w:r>
        <w:rPr>
          <w:rFonts w:hint="eastAsia"/>
        </w:rPr>
        <w:t xml:space="preserve">美元/桶；期末模拟价格为</w:t>
      </w:r>
      <w:r>
        <w:t xml:space="preserve"> 110.55 </w:t>
      </w:r>
      <w:r>
        <w:rPr>
          <w:rFonts w:hint="eastAsia"/>
        </w:rPr>
        <w:t xml:space="preserve">美元/桶，实际期末价格为</w:t>
      </w:r>
      <w:r>
        <w:t xml:space="preserve"> 110.31 </w:t>
      </w:r>
      <w:r>
        <w:rPr>
          <w:rFonts w:hint="eastAsia"/>
        </w:rPr>
        <w:t xml:space="preserve">美元/桶。加入仅使用历史滞后价格特征的阶段</w:t>
      </w:r>
      <w:r>
        <w:t xml:space="preserve"> Ridge </w:t>
      </w:r>
      <w:r>
        <w:rPr>
          <w:rFonts w:hint="eastAsia"/>
        </w:rPr>
        <w:t xml:space="preserve">收益率辅助层后，RMSE</w:t>
      </w:r>
      <w:r>
        <w:t xml:space="preserve"> </w:t>
      </w:r>
      <w:r>
        <w:rPr>
          <w:rFonts w:hint="eastAsia"/>
        </w:rPr>
        <w:t xml:space="preserve">降至</w:t>
      </w:r>
      <w:r>
        <w:t xml:space="preserve"> 3.28 </w:t>
      </w:r>
      <w:r>
        <w:rPr>
          <w:rFonts w:hint="eastAsia"/>
        </w:rPr>
        <w:t xml:space="preserve">美元/桶，MAE</w:t>
      </w:r>
      <w:r>
        <w:t xml:space="preserve"> </w:t>
      </w:r>
      <w:r>
        <w:rPr>
          <w:rFonts w:hint="eastAsia"/>
        </w:rPr>
        <w:t xml:space="preserve">降至</w:t>
      </w:r>
      <w:r>
        <w:t xml:space="preserve"> 2.78 </w:t>
      </w:r>
      <w:r>
        <w:rPr>
          <w:rFonts w:hint="eastAsia"/>
        </w:rPr>
        <w:t xml:space="preserve">美元/桶。</w:t>
      </w:r>
    </w:p>
    <w:p>
      <w:pPr>
        <w:pStyle w:val="BodyText"/>
      </w:pPr>
      <w:r>
        <w:t xml:space="preserve">l S[table-format=1.2] S[table-format=1.2] S[table-format=1.2] S[table-format=2.1]</w:t>
      </w:r>
      <w:r>
        <w:t xml:space="preserve"> </w:t>
      </w:r>
      <w:r>
        <w:rPr>
          <w:rFonts w:hint="eastAsia"/>
        </w:rPr>
        <w:t xml:space="preserve">模型</w:t>
      </w:r>
      <w:r>
        <w:t xml:space="preserve"> &amp;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t xml:space="preserve">MAPE(%)</w:t>
      </w:r>
      <w:r>
        <w:t xml:space="preserve"> </w:t>
      </w:r>
      <w:r>
        <w:t xml:space="preserve">&amp;</w:t>
      </w:r>
      <w:r>
        <w:t xml:space="preserve"> </w:t>
      </w:r>
      <w:r>
        <w:rPr>
          <w:rFonts w:hint="eastAsia"/>
        </w:rPr>
        <w:t xml:space="preserve">方向命中率(%)</w:t>
      </w:r>
      <w:r>
        <w:br/>
      </w:r>
      <w:r>
        <w:rPr>
          <w:rFonts w:hint="eastAsia"/>
        </w:rPr>
        <w:t xml:space="preserve">短期冲击模型</w:t>
      </w:r>
      <w:r>
        <w:t xml:space="preserve"> &amp; 3.47 &amp; 2.87 &amp; 2.88 &amp; 66.7</w:t>
      </w:r>
      <w:r>
        <w:br/>
      </w:r>
      <w:r>
        <w:rPr>
          <w:rFonts w:hint="eastAsia"/>
          <w:b/>
          <w:bCs/>
        </w:rPr>
        <w:t xml:space="preserve">短期冲击模型增强路径</w:t>
      </w:r>
      <w:r>
        <w:t xml:space="preserve"> </w:t>
      </w:r>
      <w:r>
        <w:t xml:space="preserve">&amp;</w:t>
      </w:r>
      <w:r>
        <w:t xml:space="preserve"> </w:t>
      </w:r>
      <w:r>
        <w:rPr>
          <w:b/>
          <w:bCs/>
        </w:rPr>
        <w:t xml:space="preserve">3.28</w:t>
      </w:r>
      <w:r>
        <w:t xml:space="preserve"> </w:t>
      </w:r>
      <w:r>
        <w:t xml:space="preserve">&amp;</w:t>
      </w:r>
      <w:r>
        <w:t xml:space="preserve"> </w:t>
      </w:r>
      <w:r>
        <w:rPr>
          <w:b/>
          <w:bCs/>
        </w:rPr>
        <w:t xml:space="preserve">2.78</w:t>
      </w:r>
      <w:r>
        <w:t xml:space="preserve"> </w:t>
      </w:r>
      <w:r>
        <w:t xml:space="preserve">&amp;</w:t>
      </w:r>
      <w:r>
        <w:t xml:space="preserve"> </w:t>
      </w:r>
      <w:r>
        <w:rPr>
          <w:b/>
          <w:bCs/>
        </w:rPr>
        <w:t xml:space="preserve">2.79</w:t>
      </w:r>
      <w:r>
        <w:t xml:space="preserve"> </w:t>
      </w:r>
      <w:r>
        <w:t xml:space="preserve">&amp;</w:t>
      </w:r>
      <w:r>
        <w:t xml:space="preserve"> </w:t>
      </w:r>
      <w:r>
        <w:rPr>
          <w:b/>
          <w:bCs/>
        </w:rPr>
        <w:t xml:space="preserve">66.7</w:t>
      </w:r>
      <w:r>
        <w:br/>
      </w:r>
      <w:r>
        <w:rPr>
          <w:rFonts w:hint="eastAsia"/>
        </w:rPr>
        <w:t xml:space="preserve">朴素上一日基准</w:t>
      </w:r>
      <w:r>
        <w:t xml:space="preserve"> &amp; 4.47 &amp; 3.57 &amp; 3.54 &amp; 46.7</w:t>
      </w:r>
      <w:r>
        <w:br/>
      </w:r>
      <w:r>
        <w:rPr>
          <w:rFonts w:hint="eastAsia"/>
        </w:rPr>
        <w:t xml:space="preserve">滚动</w:t>
      </w:r>
      <w:r>
        <w:t xml:space="preserve"> ARIMA(1,1,0) </w:t>
      </w:r>
      <w:r>
        <w:rPr>
          <w:rFonts w:hint="eastAsia"/>
        </w:rPr>
        <w:t xml:space="preserve">基准</w:t>
      </w:r>
      <w:r>
        <w:t xml:space="preserve"> &amp; 4.53 &amp; 3.67 &amp; 3.63 &amp; 46.7</w:t>
      </w:r>
      <w:r>
        <w:br/>
      </w:r>
    </w:p>
    <w:p>
      <w:pPr>
        <w:pStyle w:val="BodyText"/>
      </w:pPr>
      <w:r>
        <w:rPr>
          <w:rFonts w:hint="eastAsia"/>
        </w:rPr>
        <w:t xml:space="preserve">注：RMSE</w:t>
      </w:r>
      <w:r>
        <w:t xml:space="preserve"> </w:t>
      </w:r>
      <w:r>
        <w:rPr>
          <w:rFonts w:hint="eastAsia"/>
        </w:rPr>
        <w:t xml:space="preserve">与</w:t>
      </w:r>
      <w:r>
        <w:t xml:space="preserve"> MAE </w:t>
      </w:r>
      <w:r>
        <w:rPr>
          <w:rFonts w:hint="eastAsia"/>
        </w:rPr>
        <w:t xml:space="preserve">单位为美元/桶。增强路径只在残差薄弱窗口启用低自由度收益率修正，不替代机制递推。</w:t>
      </w:r>
    </w:p>
    <w:p>
      <w:pPr>
        <w:pStyle w:val="BodyText"/>
      </w:pPr>
      <w:r>
        <w:rPr>
          <w:rFonts w:hint="eastAsia"/>
        </w:rPr>
        <w:t xml:space="preserve">基准对比表明，短期冲击模型优于上一日价格朴素基准和滚动</w:t>
      </w:r>
      <w:r>
        <w:t xml:space="preserve"> ARIMA </w:t>
      </w:r>
      <w:r>
        <w:rPr>
          <w:rFonts w:hint="eastAsia"/>
        </w:rPr>
        <w:t xml:space="preserve">基准。平移检验显示，原始预测位置的</w:t>
      </w:r>
      <w:r>
        <w:t xml:space="preserve"> RMSE </w:t>
      </w:r>
      <w:r>
        <w:rPr>
          <w:rFonts w:hint="eastAsia"/>
        </w:rPr>
        <w:t xml:space="preserve">最低，向左平移后误差上升，说明模型不是简单把</w:t>
      </w:r>
      <w:r>
        <w:rPr>
          <w:rFonts w:hint="eastAsia"/>
        </w:rPr>
        <w:t xml:space="preserve">“昨天价格”</w:t>
      </w:r>
      <w:r>
        <w:rPr>
          <w:rFonts w:hint="eastAsia"/>
        </w:rPr>
        <w:t xml:space="preserve">当作</w:t>
      </w:r>
      <w:r>
        <w:rPr>
          <w:rFonts w:hint="eastAsia"/>
        </w:rPr>
        <w:t xml:space="preserve">“今天预测”</w:t>
      </w:r>
      <w:r>
        <w:rPr>
          <w:rFonts w:hint="eastAsia"/>
        </w:rPr>
        <w:t xml:space="preserve">。机制消融结果显示，SPR、商业库存、风险溢价、缓冲确认和预期修复分别承担不同功能：前两者解释物理缺口吸收，后三者解释价格平台和后期回落。</w:t>
      </w:r>
    </w:p>
    <w:bookmarkEnd w:id="83"/>
    <w:bookmarkStart w:id="84" w:name="中长期油价调节结果分析"/>
    <w:p>
      <w:pPr>
        <w:pStyle w:val="Heading2"/>
      </w:pPr>
      <w:r>
        <w:rPr>
          <w:rFonts w:hint="eastAsia"/>
        </w:rPr>
        <w:t xml:space="preserve">中长期油价调节结果分析</w:t>
      </w:r>
    </w:p>
    <w:p>
      <w:pPr>
        <w:pStyle w:val="FirstParagraph"/>
      </w:pPr>
      <w:r>
        <w:rPr>
          <w:rFonts w:hint="eastAsia"/>
        </w:rPr>
        <w:t xml:space="preserve">中长期油价调节模型给出</w:t>
      </w:r>
      <w:r>
        <w:t xml:space="preserve"> 60–180 </w:t>
      </w:r>
      <w:r>
        <w:rPr>
          <w:rFonts w:hint="eastAsia"/>
        </w:rPr>
        <w:t xml:space="preserve">天乐观、中性和悲观三种路径。中性情景第</w:t>
      </w:r>
      <w:r>
        <w:t xml:space="preserve"> 180 </w:t>
      </w:r>
      <w:r>
        <w:rPr>
          <w:rFonts w:hint="eastAsia"/>
        </w:rPr>
        <w:t xml:space="preserve">天价格约为</w:t>
      </w:r>
      <w:r>
        <w:t xml:space="preserve"> 97.82 </w:t>
      </w:r>
      <w:r>
        <w:rPr>
          <w:rFonts w:hint="eastAsia"/>
        </w:rPr>
        <w:t xml:space="preserve">美元/桶；悲观情景第</w:t>
      </w:r>
      <w:r>
        <w:t xml:space="preserve"> 180 </w:t>
      </w:r>
      <w:r>
        <w:rPr>
          <w:rFonts w:hint="eastAsia"/>
        </w:rPr>
        <w:t xml:space="preserve">天约为</w:t>
      </w:r>
      <w:r>
        <w:t xml:space="preserve"> 121.64 </w:t>
      </w:r>
      <w:r>
        <w:rPr>
          <w:rFonts w:hint="eastAsia"/>
        </w:rPr>
        <w:t xml:space="preserve">美元/桶，说明若供应中断接近上界、SPR</w:t>
      </w:r>
      <w:r>
        <w:t xml:space="preserve"> </w:t>
      </w:r>
      <w:r>
        <w:rPr>
          <w:rFonts w:hint="eastAsia"/>
        </w:rPr>
        <w:t xml:space="preserve">等效预算耗尽、绕道恢复慢且制度风险溢价持续，油价仍可能维持高位并保留二次跳涨风险。</w:t>
      </w:r>
    </w:p>
    <w:p>
      <w:pPr>
        <w:pStyle w:val="TableCaption"/>
      </w:pPr>
      <w:r>
        <w:rPr>
          <w:rFonts w:hint="eastAsia"/>
        </w:rPr>
        <w:t xml:space="preserve">中长期油价调节模型三情景关键结果</w:t>
      </w:r>
    </w:p>
    <w:tbl>
      <w:tblPr>
        <w:tblStyle w:val="Table"/>
        <w:tblW w:type="auto" w:w="0"/>
        <w:tblLook w:firstRow="1" w:lastRow="0" w:firstColumn="0" w:lastColumn="0" w:noHBand="0" w:noVBand="0" w:val="0020"/>
        <w:tblCaption w:val="中长期油价调节模型三情景关键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lef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109.63</w:t>
            </w:r>
          </w:p>
        </w:tc>
        <w:tc>
          <w:tcPr/>
          <w:p>
            <w:pPr>
              <w:pStyle w:val="Compact"/>
              <w:jc w:val="right"/>
            </w:pPr>
            <w:r>
              <w:t xml:space="preserve">93.50</w:t>
            </w:r>
          </w:p>
        </w:tc>
        <w:tc>
          <w:tcPr/>
          <w:p>
            <w:pPr>
              <w:pStyle w:val="Compact"/>
              <w:jc w:val="right"/>
            </w:pPr>
            <w:r>
              <w:t xml:space="preserve">90.76</w:t>
            </w:r>
          </w:p>
        </w:tc>
        <w:tc>
          <w:tcPr/>
          <w:p>
            <w:pPr>
              <w:pStyle w:val="Compact"/>
              <w:jc w:val="right"/>
            </w:pPr>
            <w:r>
              <w:t xml:space="preserve">86.26</w:t>
            </w:r>
          </w:p>
        </w:tc>
        <w:tc>
          <w:tcPr/>
          <w:p>
            <w:pPr>
              <w:pStyle w:val="Compact"/>
              <w:jc w:val="right"/>
            </w:pPr>
            <w:r>
              <w:t xml:space="preserve">104.65</w:t>
            </w:r>
          </w:p>
        </w:tc>
        <w:tc>
          <w:tcPr/>
          <w:p>
            <w:pPr>
              <w:pStyle w:val="Compact"/>
              <w:jc w:val="right"/>
            </w:pPr>
            <w:r>
              <w:t xml:space="preserve">90.82</w:t>
            </w:r>
          </w:p>
        </w:tc>
        <w:tc>
          <w:tcPr/>
          <w:p>
            <w:pPr>
              <w:pStyle w:val="Compact"/>
              <w:jc w:val="lef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109.63</w:t>
            </w:r>
          </w:p>
        </w:tc>
        <w:tc>
          <w:tcPr/>
          <w:p>
            <w:pPr>
              <w:pStyle w:val="Compact"/>
              <w:jc w:val="right"/>
            </w:pPr>
            <w:r>
              <w:t xml:space="preserve">104.24</w:t>
            </w:r>
          </w:p>
        </w:tc>
        <w:tc>
          <w:tcPr/>
          <w:p>
            <w:pPr>
              <w:pStyle w:val="Compact"/>
              <w:jc w:val="right"/>
            </w:pPr>
            <w:r>
              <w:t xml:space="preserve">97.30</w:t>
            </w:r>
          </w:p>
        </w:tc>
        <w:tc>
          <w:tcPr/>
          <w:p>
            <w:pPr>
              <w:pStyle w:val="Compact"/>
              <w:jc w:val="right"/>
            </w:pPr>
            <w:r>
              <w:t xml:space="preserve">97.82</w:t>
            </w:r>
          </w:p>
        </w:tc>
        <w:tc>
          <w:tcPr/>
          <w:p>
            <w:pPr>
              <w:pStyle w:val="Compact"/>
              <w:jc w:val="right"/>
            </w:pPr>
            <w:r>
              <w:t xml:space="preserve">110.87</w:t>
            </w:r>
          </w:p>
        </w:tc>
        <w:tc>
          <w:tcPr/>
          <w:p>
            <w:pPr>
              <w:pStyle w:val="Compact"/>
              <w:jc w:val="right"/>
            </w:pPr>
            <w:r>
              <w:t xml:space="preserve">98.84</w:t>
            </w:r>
          </w:p>
        </w:tc>
        <w:tc>
          <w:tcPr/>
          <w:p>
            <w:pPr>
              <w:pStyle w:val="Compact"/>
              <w:jc w:val="left"/>
            </w:pPr>
            <w:r>
              <w:rPr>
                <w:rFonts w:hint="eastAsia"/>
              </w:rPr>
              <w:t xml:space="preserve">高</w:t>
            </w:r>
          </w:p>
        </w:tc>
      </w:tr>
      <w:tr>
        <w:tc>
          <w:tcPr/>
          <w:p>
            <w:pPr>
              <w:pStyle w:val="Compact"/>
              <w:jc w:val="left"/>
            </w:pPr>
            <w:r>
              <w:rPr>
                <w:rFonts w:hint="eastAsia"/>
              </w:rPr>
              <w:t xml:space="preserve">悲观</w:t>
            </w:r>
          </w:p>
        </w:tc>
        <w:tc>
          <w:tcPr/>
          <w:p>
            <w:pPr>
              <w:pStyle w:val="Compact"/>
              <w:jc w:val="right"/>
            </w:pPr>
            <w:r>
              <w:t xml:space="preserve">109.63</w:t>
            </w:r>
          </w:p>
        </w:tc>
        <w:tc>
          <w:tcPr/>
          <w:p>
            <w:pPr>
              <w:pStyle w:val="Compact"/>
              <w:jc w:val="right"/>
            </w:pPr>
            <w:r>
              <w:t xml:space="preserve">133.85</w:t>
            </w:r>
          </w:p>
        </w:tc>
        <w:tc>
          <w:tcPr/>
          <w:p>
            <w:pPr>
              <w:pStyle w:val="Compact"/>
              <w:jc w:val="right"/>
            </w:pPr>
            <w:r>
              <w:t xml:space="preserve">125.86</w:t>
            </w:r>
          </w:p>
        </w:tc>
        <w:tc>
          <w:tcPr/>
          <w:p>
            <w:pPr>
              <w:pStyle w:val="Compact"/>
              <w:jc w:val="right"/>
            </w:pPr>
            <w:r>
              <w:t xml:space="preserve">121.64</w:t>
            </w:r>
          </w:p>
        </w:tc>
        <w:tc>
          <w:tcPr/>
          <w:p>
            <w:pPr>
              <w:pStyle w:val="Compact"/>
              <w:jc w:val="right"/>
            </w:pPr>
            <w:r>
              <w:t xml:space="preserve">137.75</w:t>
            </w:r>
          </w:p>
        </w:tc>
        <w:tc>
          <w:tcPr/>
          <w:p>
            <w:pPr>
              <w:pStyle w:val="Compact"/>
              <w:jc w:val="right"/>
            </w:pPr>
            <w:r>
              <w:t xml:space="preserve">127.70</w:t>
            </w:r>
          </w:p>
        </w:tc>
        <w:tc>
          <w:tcPr/>
          <w:p>
            <w:pPr>
              <w:pStyle w:val="Compact"/>
              <w:jc w:val="left"/>
            </w:pPr>
            <w:r>
              <w:rPr>
                <w:rFonts w:hint="eastAsia"/>
              </w:rPr>
              <w:t xml:space="preserve">高</w:t>
            </w:r>
          </w:p>
        </w:tc>
      </w:tr>
    </w:tbl>
    <w:p>
      <w:pPr>
        <w:pStyle w:val="BodyText"/>
      </w:pPr>
      <w:r>
        <w:rPr>
          <w:rFonts w:hint="eastAsia"/>
        </w:rPr>
        <w:t xml:space="preserve">三情景结果说明，长期价格并非一条确定性均值线，而是随</w:t>
      </w:r>
      <w:r>
        <w:t xml:space="preserve"> SPR </w:t>
      </w:r>
      <w:r>
        <w:rPr>
          <w:rFonts w:hint="eastAsia"/>
        </w:rPr>
        <w:t xml:space="preserve">释放能力、库存消耗、绕道恢复、需求弹性恢复和制度风险溢价变化而分化。悲观路径的高位主要来自剩余缺口与政策缓冲能力下降共同作用，不是对价格上限的硬编码。</w:t>
      </w:r>
    </w:p>
    <w:bookmarkEnd w:id="84"/>
    <w:bookmarkStart w:id="85" w:name="模型检验与尾部风险"/>
    <w:p>
      <w:pPr>
        <w:pStyle w:val="Heading2"/>
      </w:pPr>
      <w:r>
        <w:rPr>
          <w:rFonts w:hint="eastAsia"/>
        </w:rPr>
        <w:t xml:space="preserve">模型检验与尾部风险</w:t>
      </w:r>
    </w:p>
    <w:p>
      <w:pPr>
        <w:pStyle w:val="FirstParagraph"/>
      </w:pPr>
      <w:r>
        <w:rPr>
          <w:rFonts w:hint="eastAsia"/>
        </w:rPr>
        <w:t xml:space="preserve">短期检验方面，模型同时通过基准对比、滞后平移、机制消融和参数扰动复核。局部参数扰动表明，最优参数附近预测路径仍围绕真实价格平台展开，说明结论不依赖某一个极窄参数点。R</w:t>
      </w:r>
      <w:r>
        <w:t xml:space="preserve"> </w:t>
      </w:r>
      <w:r>
        <w:rPr>
          <w:rFonts w:hint="eastAsia"/>
        </w:rPr>
        <w:t xml:space="preserve">语言独立计量检验进一步复核了主模型相对朴素基准的误差优势和残差结构。</w:t>
      </w:r>
    </w:p>
    <w:p>
      <w:pPr>
        <w:pStyle w:val="BodyText"/>
      </w:pPr>
      <w:r>
        <w:rPr>
          <w:rFonts w:hint="eastAsia"/>
        </w:rPr>
        <w:t xml:space="preserve">长期检验方面，蒙特卡洛情景树给出第</w:t>
      </w:r>
      <w:r>
        <w:t xml:space="preserve"> 180 </w:t>
      </w:r>
      <w:r>
        <w:rPr>
          <w:rFonts w:hint="eastAsia"/>
        </w:rPr>
        <w:t xml:space="preserve">天价格</w:t>
      </w:r>
      <w:r>
        <w:t xml:space="preserve"> 5%–95% </w:t>
      </w:r>
      <w:r>
        <w:rPr>
          <w:rFonts w:hint="eastAsia"/>
        </w:rPr>
        <w:t xml:space="preserve">区间</w:t>
      </w:r>
      <w:r>
        <w:t xml:space="preserve"> 87.77–116.59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20.0%。状态转移情景树进一步引入缓和、维持、升级三类状态，第</w:t>
      </w:r>
      <w:r>
        <w:t xml:space="preserve"> 180 </w:t>
      </w:r>
      <w:r>
        <w:rPr>
          <w:rFonts w:hint="eastAsia"/>
        </w:rPr>
        <w:t xml:space="preserve">天价格</w:t>
      </w:r>
      <w:r>
        <w:t xml:space="preserve"> 5%–95% </w:t>
      </w:r>
      <w:r>
        <w:rPr>
          <w:rFonts w:hint="eastAsia"/>
        </w:rPr>
        <w:t xml:space="preserve">区间为</w:t>
      </w:r>
      <w:r>
        <w:t xml:space="preserve"> 90.98–116.21 </w:t>
      </w:r>
      <w:r>
        <w:rPr>
          <w:rFonts w:hint="eastAsia"/>
        </w:rPr>
        <w:t xml:space="preserve">美元/桶，外推期最高价</w:t>
      </w:r>
      <w:r>
        <w:t xml:space="preserve"> P95 </w:t>
      </w:r>
      <w:r>
        <w:rPr>
          <w:rFonts w:hint="eastAsia"/>
        </w:rPr>
        <w:t xml:space="preserve">约为</w:t>
      </w:r>
      <w:r>
        <w:t xml:space="preserve"> 137.62 </w:t>
      </w:r>
      <w:r>
        <w:rPr>
          <w:rFonts w:hint="eastAsia"/>
        </w:rPr>
        <w:t xml:space="preserve">美元/桶，突破</w:t>
      </w:r>
      <w:r>
        <w:t xml:space="preserve"> 120 </w:t>
      </w:r>
      <w:r>
        <w:rPr>
          <w:rFonts w:hint="eastAsia"/>
        </w:rPr>
        <w:t xml:space="preserve">美元/桶的条件概率约为</w:t>
      </w:r>
      <w:r>
        <w:t xml:space="preserve"> 85.4%。</w:t>
      </w:r>
    </w:p>
    <w:p>
      <w:pPr>
        <w:pStyle w:val="TableCaption"/>
      </w:pPr>
      <w:r>
        <w:rPr>
          <w:rFonts w:hint="eastAsia"/>
        </w:rPr>
        <w:t xml:space="preserve">模型检验与可靠性摘要</w:t>
      </w:r>
    </w:p>
    <w:tbl>
      <w:tblPr>
        <w:tblStyle w:val="Table"/>
        <w:tblW w:type="auto" w:w="0"/>
        <w:tblLook w:firstRow="1" w:lastRow="0" w:firstColumn="0" w:lastColumn="0" w:noHBand="0" w:noVBand="0" w:val="0020"/>
        <w:tblCaption w:val="模型检验与可靠性摘要"/>
      </w:tblPr>
      <w:tblGrid>
        <w:gridCol w:w="3960"/>
        <w:gridCol w:w="3960"/>
      </w:tblGrid>
      <w:tr>
        <w:trPr>
          <w:tblHeader w:val="on"/>
        </w:trPr>
        <w:tc>
          <w:tcPr/>
          <w:p>
            <w:pPr>
              <w:pStyle w:val="Compact"/>
              <w:jc w:val="left"/>
            </w:pPr>
            <w:r>
              <w:rPr>
                <w:rFonts w:hint="eastAsia"/>
              </w:rPr>
              <w:t xml:space="preserve">检验维度</w:t>
            </w:r>
          </w:p>
        </w:tc>
        <w:tc>
          <w:tcPr/>
          <w:p>
            <w:pPr>
              <w:pStyle w:val="Compact"/>
              <w:jc w:val="left"/>
            </w:pPr>
            <w:r>
              <w:rPr>
                <w:rFonts w:hint="eastAsia"/>
              </w:rPr>
              <w:t xml:space="preserve">主要结论</w:t>
            </w:r>
          </w:p>
        </w:tc>
      </w:tr>
      <w:tr>
        <w:tc>
          <w:tcPr/>
          <w:p>
            <w:pPr>
              <w:pStyle w:val="Compact"/>
              <w:jc w:val="left"/>
            </w:pPr>
            <w:r>
              <w:rPr>
                <w:rFonts w:hint="eastAsia"/>
              </w:rPr>
              <w:t xml:space="preserve">基准对比</w:t>
            </w:r>
          </w:p>
        </w:tc>
        <w:tc>
          <w:tcPr/>
          <w:p>
            <w:pPr>
              <w:pStyle w:val="Compact"/>
              <w:jc w:val="left"/>
            </w:pPr>
            <w:r>
              <w:rPr>
                <w:rFonts w:hint="eastAsia"/>
              </w:rPr>
              <w:t xml:space="preserve">短期冲击模型</w:t>
            </w:r>
            <w:r>
              <w:t xml:space="preserve"> RMSE </w:t>
            </w:r>
            <w:r>
              <w:rPr>
                <w:rFonts w:hint="eastAsia"/>
              </w:rPr>
              <w:t xml:space="preserve">低于朴素上一日基准和滚动</w:t>
            </w:r>
            <w:r>
              <w:t xml:space="preserve"> ARIMA </w:t>
            </w:r>
            <w:r>
              <w:rPr>
                <w:rFonts w:hint="eastAsia"/>
              </w:rPr>
              <w:t xml:space="preserve">基准。</w:t>
            </w:r>
          </w:p>
        </w:tc>
      </w:tr>
      <w:tr>
        <w:tc>
          <w:tcPr/>
          <w:p>
            <w:pPr>
              <w:pStyle w:val="Compact"/>
              <w:jc w:val="left"/>
            </w:pPr>
            <w:r>
              <w:rPr>
                <w:rFonts w:hint="eastAsia"/>
              </w:rPr>
              <w:t xml:space="preserve">滞后检验</w:t>
            </w:r>
          </w:p>
        </w:tc>
        <w:tc>
          <w:tcPr/>
          <w:p>
            <w:pPr>
              <w:pStyle w:val="Compact"/>
              <w:jc w:val="left"/>
            </w:pPr>
            <w:r>
              <w:rPr>
                <w:rFonts w:hint="eastAsia"/>
              </w:rPr>
              <w:t xml:space="preserve">原始位置误差最低，预测曲线不存在明显滞后复制。</w:t>
            </w:r>
          </w:p>
        </w:tc>
      </w:tr>
      <w:tr>
        <w:tc>
          <w:tcPr/>
          <w:p>
            <w:pPr>
              <w:pStyle w:val="Compact"/>
              <w:jc w:val="left"/>
            </w:pPr>
            <w:r>
              <w:rPr>
                <w:rFonts w:hint="eastAsia"/>
              </w:rPr>
              <w:t xml:space="preserve">机制消融</w:t>
            </w:r>
          </w:p>
        </w:tc>
        <w:tc>
          <w:tcPr/>
          <w:p>
            <w:pPr>
              <w:pStyle w:val="Compact"/>
              <w:jc w:val="left"/>
            </w:pPr>
            <w:r>
              <w:rPr>
                <w:rFonts w:hint="eastAsia"/>
              </w:rPr>
              <w:t xml:space="preserve">关闭风险、缓冲确认或预期修复机制会显著改变误差结构。</w:t>
            </w:r>
          </w:p>
        </w:tc>
      </w:tr>
      <w:tr>
        <w:tc>
          <w:tcPr/>
          <w:p>
            <w:pPr>
              <w:pStyle w:val="Compact"/>
              <w:jc w:val="left"/>
            </w:pPr>
            <w:r>
              <w:rPr>
                <w:rFonts w:hint="eastAsia"/>
              </w:rPr>
              <w:t xml:space="preserve">参数扰动</w:t>
            </w:r>
          </w:p>
        </w:tc>
        <w:tc>
          <w:tcPr/>
          <w:p>
            <w:pPr>
              <w:pStyle w:val="Compact"/>
              <w:jc w:val="left"/>
            </w:pPr>
            <w:r>
              <w:rPr>
                <w:rFonts w:hint="eastAsia"/>
              </w:rPr>
              <w:t xml:space="preserve">局部扰动下价格平台仍稳定，说明结论不依赖单点参数。</w:t>
            </w:r>
          </w:p>
        </w:tc>
      </w:tr>
      <w:tr>
        <w:tc>
          <w:tcPr/>
          <w:p>
            <w:pPr>
              <w:pStyle w:val="Compact"/>
              <w:jc w:val="left"/>
            </w:pPr>
            <w:r>
              <w:rPr>
                <w:rFonts w:hint="eastAsia"/>
              </w:rPr>
              <w:t xml:space="preserve">尾部风险</w:t>
            </w:r>
          </w:p>
        </w:tc>
        <w:tc>
          <w:tcPr/>
          <w:p>
            <w:pPr>
              <w:pStyle w:val="Compact"/>
              <w:jc w:val="left"/>
            </w:pPr>
            <w:r>
              <w:rPr>
                <w:rFonts w:hint="eastAsia"/>
              </w:rPr>
              <w:t xml:space="preserve">长期结果需结合三情景、蒙特卡洛分位区间和状态转移概率理解。</w:t>
            </w:r>
          </w:p>
        </w:tc>
      </w:tr>
      <w:tr>
        <w:tc>
          <w:tcPr/>
          <w:p>
            <w:pPr>
              <w:pStyle w:val="Compact"/>
              <w:jc w:val="left"/>
            </w:pPr>
            <w:r>
              <w:rPr>
                <w:rFonts w:hint="eastAsia"/>
              </w:rPr>
              <w:t xml:space="preserve">外生变量</w:t>
            </w:r>
          </w:p>
        </w:tc>
        <w:tc>
          <w:tcPr/>
          <w:p>
            <w:pPr>
              <w:pStyle w:val="Compact"/>
              <w:jc w:val="left"/>
            </w:pPr>
            <w:r>
              <w:t xml:space="preserve">GPR </w:t>
            </w:r>
            <w:r>
              <w:rPr>
                <w:rFonts w:hint="eastAsia"/>
              </w:rPr>
              <w:t xml:space="preserve">与</w:t>
            </w:r>
            <w:r>
              <w:t xml:space="preserve"> OVX </w:t>
            </w:r>
            <w:r>
              <w:rPr>
                <w:rFonts w:hint="eastAsia"/>
              </w:rPr>
              <w:t xml:space="preserve">用于风险环境和长期状态约束，不替代附件真实价格。</w:t>
            </w:r>
          </w:p>
        </w:tc>
      </w:tr>
    </w:tbl>
    <w:p>
      <w:pPr>
        <w:pStyle w:val="BodyText"/>
      </w:pPr>
      <w:r>
        <w:rPr>
          <w:rFonts w:hint="eastAsia"/>
          <w:b/>
          <w:bCs/>
        </w:rPr>
        <w:t xml:space="preserve">结论</w:t>
      </w:r>
      <w:r>
        <w:rPr>
          <w:rFonts w:hint="eastAsia"/>
        </w:rPr>
        <w:t xml:space="preserve">短期模型给出可复核的事件窗口拟合，长期模型给出条件情景和尾部风险边界。模型结论应读作霍尔木兹封锁条件下的机制解释和风险评估，而非跨年份通用油价交易预测。</w:t>
      </w:r>
    </w:p>
    <w:bookmarkEnd w:id="85"/>
    <w:bookmarkEnd w:id="86"/>
    <w:bookmarkStart w:id="153" w:name="模型优缺点评价"/>
    <w:p>
      <w:pPr>
        <w:pStyle w:val="Heading1"/>
      </w:pPr>
      <w:r>
        <w:rPr>
          <w:rFonts w:hint="eastAsia"/>
        </w:rPr>
        <w:t xml:space="preserve">模型优缺点评价</w:t>
      </w:r>
    </w:p>
    <w:bookmarkStart w:id="87" w:name="模型优点"/>
    <w:p>
      <w:pPr>
        <w:pStyle w:val="Heading2"/>
      </w:pPr>
      <w:r>
        <w:rPr>
          <w:rFonts w:hint="eastAsia"/>
        </w:rPr>
        <w:t xml:space="preserve">模型优点</w:t>
      </w:r>
    </w:p>
    <w:p>
      <w:pPr>
        <w:pStyle w:val="FirstParagraph"/>
      </w:pPr>
      <w:r>
        <w:rPr>
          <w:rFonts w:hint="eastAsia"/>
        </w:rPr>
        <w:t xml:space="preserve">本文围绕霍尔木兹海峡封锁对国际原油价格的影响，建立传统供需基准模型、短期冲击模型和中长期油价调节模型。模型的主要优点如下。</w:t>
      </w:r>
    </w:p>
    <w:p>
      <w:pPr>
        <w:numPr>
          <w:ilvl w:val="0"/>
          <w:numId w:val="1006"/>
        </w:numPr>
      </w:pPr>
      <w:r>
        <w:rPr>
          <w:rFonts w:hint="eastAsia"/>
        </w:rPr>
        <w:t xml:space="preserve">模型链条完整。传统供需基准给出低弹性条件下的反事实压力，短期冲击模型解释</w:t>
      </w:r>
      <w:r>
        <w:t xml:space="preserve"> 0–60 </w:t>
      </w:r>
      <w:r>
        <w:rPr>
          <w:rFonts w:hint="eastAsia"/>
        </w:rPr>
        <w:t xml:space="preserve">天价格平台，中长期油价调节模型刻画</w:t>
      </w:r>
      <w:r>
        <w:t xml:space="preserve"> 60–180 </w:t>
      </w:r>
      <w:r>
        <w:rPr>
          <w:rFonts w:hint="eastAsia"/>
        </w:rPr>
        <w:t xml:space="preserve">天情景路径和尾部风险。</w:t>
      </w:r>
    </w:p>
    <w:p>
      <w:pPr>
        <w:numPr>
          <w:ilvl w:val="0"/>
          <w:numId w:val="1006"/>
        </w:numPr>
      </w:pPr>
      <w:r>
        <w:rPr>
          <w:rFonts w:hint="eastAsia"/>
        </w:rPr>
        <w:t xml:space="preserve">变量口径清晰。附件价格只用于拟合和误差评价，EIA、JODI、OPEC、GPR</w:t>
      </w:r>
      <w:r>
        <w:t xml:space="preserve"> </w:t>
      </w:r>
      <w:r>
        <w:rPr>
          <w:rFonts w:hint="eastAsia"/>
        </w:rPr>
        <w:t xml:space="preserve">和</w:t>
      </w:r>
      <w:r>
        <w:t xml:space="preserve"> OVX </w:t>
      </w:r>
      <w:r>
        <w:rPr>
          <w:rFonts w:hint="eastAsia"/>
        </w:rPr>
        <w:t xml:space="preserve">等外部数据只用于数量级约束和风险校验，不反向替代真实价格。</w:t>
      </w:r>
    </w:p>
    <w:p>
      <w:pPr>
        <w:numPr>
          <w:ilvl w:val="0"/>
          <w:numId w:val="1006"/>
        </w:numPr>
      </w:pPr>
      <w:r>
        <w:rPr>
          <w:rFonts w:hint="eastAsia"/>
        </w:rPr>
        <w:t xml:space="preserve">检验维度较全。短期模型与朴素上一日基准和滚动</w:t>
      </w:r>
      <w:r>
        <w:t xml:space="preserve"> ARIMA </w:t>
      </w:r>
      <w:r>
        <w:rPr>
          <w:rFonts w:hint="eastAsia"/>
        </w:rPr>
        <w:t xml:space="preserve">基准比较，并通过滞后平移、机制消融、参数扰动和蒙特卡洛情景树检验模型稳定性。</w:t>
      </w:r>
    </w:p>
    <w:p>
      <w:pPr>
        <w:numPr>
          <w:ilvl w:val="0"/>
          <w:numId w:val="1006"/>
        </w:numPr>
      </w:pPr>
      <w:r>
        <w:rPr>
          <w:rFonts w:hint="eastAsia"/>
        </w:rPr>
        <w:t xml:space="preserve">结果解释性较强。模型没有只追求时间序列拟合，而是把供应缺口、SPR、商业库存、绕道运输、需求弹性和风险溢价放入统一的动态递推框架。</w:t>
      </w:r>
    </w:p>
    <w:bookmarkEnd w:id="87"/>
    <w:bookmarkStart w:id="88" w:name="模型不足"/>
    <w:p>
      <w:pPr>
        <w:pStyle w:val="Heading2"/>
      </w:pPr>
      <w:r>
        <w:rPr>
          <w:rFonts w:hint="eastAsia"/>
        </w:rPr>
        <w:t xml:space="preserve">模型不足</w:t>
      </w:r>
    </w:p>
    <w:p>
      <w:pPr>
        <w:numPr>
          <w:ilvl w:val="0"/>
          <w:numId w:val="1007"/>
        </w:numPr>
      </w:pPr>
      <w:r>
        <w:rPr>
          <w:rFonts w:hint="eastAsia"/>
        </w:rPr>
        <w:t xml:space="preserve">长期模型属于条件情景预测，不是对真实未来油价的精确点预测。若封锁持续期间出现新的军事、外交或金融冲击，状态转移概率仍需要重新校准。</w:t>
      </w:r>
    </w:p>
    <w:p>
      <w:pPr>
        <w:numPr>
          <w:ilvl w:val="0"/>
          <w:numId w:val="1007"/>
        </w:numPr>
      </w:pPr>
      <w:r>
        <w:rPr>
          <w:rFonts w:hint="eastAsia"/>
        </w:rPr>
        <w:t xml:space="preserve">外部数据存在频率和口径差异。EIA</w:t>
      </w:r>
      <w:r>
        <w:t xml:space="preserve"> </w:t>
      </w:r>
      <w:r>
        <w:rPr>
          <w:rFonts w:hint="eastAsia"/>
        </w:rPr>
        <w:t xml:space="preserve">为美国周度数据，JODI</w:t>
      </w:r>
      <w:r>
        <w:t xml:space="preserve"> </w:t>
      </w:r>
      <w:r>
        <w:rPr>
          <w:rFonts w:hint="eastAsia"/>
        </w:rPr>
        <w:t xml:space="preserve">为多国月度上报数据，OPEC</w:t>
      </w:r>
      <w:r>
        <w:t xml:space="preserve"> </w:t>
      </w:r>
      <w:r>
        <w:rPr>
          <w:rFonts w:hint="eastAsia"/>
        </w:rPr>
        <w:t xml:space="preserve">为正常情景供需基线，因此它们只能约束参数范围，不能完全替代全球日度真实供需数据。</w:t>
      </w:r>
    </w:p>
    <w:p>
      <w:pPr>
        <w:numPr>
          <w:ilvl w:val="0"/>
          <w:numId w:val="1007"/>
        </w:numPr>
      </w:pPr>
      <w:r>
        <w:rPr>
          <w:rFonts w:hint="eastAsia"/>
        </w:rPr>
        <w:t xml:space="preserve">风险变量仍有扩展空间。本文接入</w:t>
      </w:r>
      <w:r>
        <w:t xml:space="preserve"> GPR </w:t>
      </w:r>
      <w:r>
        <w:rPr>
          <w:rFonts w:hint="eastAsia"/>
        </w:rPr>
        <w:t xml:space="preserve">和</w:t>
      </w:r>
      <w:r>
        <w:t xml:space="preserve"> </w:t>
      </w:r>
      <w:r>
        <w:rPr>
          <w:rFonts w:hint="eastAsia"/>
        </w:rPr>
        <w:t xml:space="preserve">OVX，但油轮保险费、BDTI/TD3C、期货期限结构和更完整的</w:t>
      </w:r>
      <w:r>
        <w:t xml:space="preserve"> IEA MODS </w:t>
      </w:r>
      <w:r>
        <w:rPr>
          <w:rFonts w:hint="eastAsia"/>
        </w:rPr>
        <w:t xml:space="preserve">数据尚未形成可复现日度样本。</w:t>
      </w:r>
    </w:p>
    <w:bookmarkEnd w:id="88"/>
    <w:bookmarkStart w:id="98" w:name="结论"/>
    <w:p>
      <w:pPr>
        <w:pStyle w:val="Heading2"/>
      </w:pPr>
      <w:r>
        <w:rPr>
          <w:rFonts w:hint="eastAsia"/>
        </w:rPr>
        <w:t xml:space="preserve">结论</w:t>
      </w:r>
    </w:p>
    <w:p>
      <w:pPr>
        <w:pStyle w:val="FirstParagraph"/>
      </w:pPr>
      <w:r>
        <w:rPr>
          <w:rFonts w:hint="eastAsia"/>
        </w:rPr>
        <w:t xml:space="preserve">在赛题低短期弹性设定下，传统供需基准给出</w:t>
      </w:r>
      <w:r>
        <w:t xml:space="preserve"> 278–337 </w:t>
      </w:r>
      <w:r>
        <w:rPr>
          <w:rFonts w:hint="eastAsia"/>
        </w:rPr>
        <w:t xml:space="preserve">美元/桶的压力上界，说明仅依赖静态供需关系会显著高估现实价格。加入</w:t>
      </w:r>
      <w:r>
        <w:t xml:space="preserve"> </w:t>
      </w:r>
      <w:r>
        <w:rPr>
          <w:rFonts w:hint="eastAsia"/>
        </w:rPr>
        <w:t xml:space="preserve">SPR、商业库存、绕道运输、需求收缩、恐慌衰减、地缘风险溢价和预期修复后，短期冲击模型能够解释冲突窗口内约</w:t>
      </w:r>
      <w:r>
        <w:t xml:space="preserve"> 110–120 </w:t>
      </w:r>
      <w:r>
        <w:rPr>
          <w:rFonts w:hint="eastAsia"/>
        </w:rPr>
        <w:t xml:space="preserve">美元/桶的价格平台，并优于朴素上一日基准和滚动</w:t>
      </w:r>
      <w:r>
        <w:t xml:space="preserve"> ARIMA </w:t>
      </w:r>
      <w:r>
        <w:rPr>
          <w:rFonts w:hint="eastAsia"/>
        </w:rPr>
        <w:t xml:space="preserve">基准。</w:t>
      </w:r>
    </w:p>
    <w:p>
      <w:pPr>
        <w:pStyle w:val="BodyText"/>
      </w:pPr>
      <w:r>
        <w:rPr>
          <w:rFonts w:hint="eastAsia"/>
        </w:rPr>
        <w:t xml:space="preserve">中长期油价调节模型显示，中性情景第</w:t>
      </w:r>
      <w:r>
        <w:t xml:space="preserve"> 180 </w:t>
      </w:r>
      <w:r>
        <w:rPr>
          <w:rFonts w:hint="eastAsia"/>
        </w:rPr>
        <w:t xml:space="preserve">天价格约为</w:t>
      </w:r>
      <w:r>
        <w:t xml:space="preserve"> 97.82 </w:t>
      </w:r>
      <w:r>
        <w:rPr>
          <w:rFonts w:hint="eastAsia"/>
        </w:rPr>
        <w:t xml:space="preserve">美元/桶；悲观情景在供应中断偏大、SPR</w:t>
      </w:r>
      <w:r>
        <w:t xml:space="preserve"> </w:t>
      </w:r>
      <w:r>
        <w:rPr>
          <w:rFonts w:hint="eastAsia"/>
        </w:rPr>
        <w:t xml:space="preserve">等效预算耗尽、绕道恢复缓慢和制度风险溢价持续时，第</w:t>
      </w:r>
      <w:r>
        <w:t xml:space="preserve"> 180 </w:t>
      </w:r>
      <w:r>
        <w:rPr>
          <w:rFonts w:hint="eastAsia"/>
        </w:rPr>
        <w:t xml:space="preserve">天价格约为</w:t>
      </w:r>
      <w:r>
        <w:t xml:space="preserve"> 121.64 </w:t>
      </w:r>
      <w:r>
        <w:rPr>
          <w:rFonts w:hint="eastAsia"/>
        </w:rPr>
        <w:t xml:space="preserve">美元/桶，并保留二次跳涨风险。敏感性分析表明，封锁风险衰减速度、SPR</w:t>
      </w:r>
      <w:r>
        <w:t xml:space="preserve"> </w:t>
      </w:r>
      <w:r>
        <w:rPr>
          <w:rFonts w:hint="eastAsia"/>
        </w:rPr>
        <w:t xml:space="preserve">释放上限、供应中断量和绕道运输能力是长期结果的主要驱动因素。</w:t>
      </w:r>
    </w:p>
    <w:p>
      <w:pPr>
        <w:pStyle w:val="BodyText"/>
      </w:pPr>
      <w:r>
        <w:t xml:space="preserve"> </w:t>
      </w:r>
      <w:r>
        <w:rPr>
          <w:rFonts w:hint="eastAsia"/>
          <w:b/>
          <w:bCs/>
        </w:rPr>
        <w:t xml:space="preserve">参考文献</w:t>
      </w:r>
    </w:p>
    <w:p>
      <w:pPr>
        <w:pStyle w:val="BodyText"/>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89">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90">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91">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92">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93">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94">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95">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96">
        <w:r>
          <w:rPr>
            <w:rStyle w:val="Hyperlink"/>
          </w:rPr>
          <w:t xml:space="preserve">FRED data page</w:t>
        </w:r>
      </w:hyperlink>
      <w:r>
        <w:t xml:space="preserve">.</w:t>
      </w:r>
    </w:p>
    <w:p>
      <w:pPr>
        <w:pStyle w:val="BodyText"/>
      </w:pPr>
      <w:r>
        <w:t xml:space="preserve">Intercontinental Exchange. ICE Report Center, End of Day and futures settlement reports.</w:t>
      </w:r>
      <w:r>
        <w:t xml:space="preserve"> </w:t>
      </w:r>
      <w:hyperlink r:id="rId97">
        <w:r>
          <w:rPr>
            <w:rStyle w:val="Hyperlink"/>
          </w:rPr>
          <w:t xml:space="preserve">ICE report center</w:t>
        </w:r>
      </w:hyperlink>
      <w:r>
        <w:t xml:space="preserve">.</w:t>
      </w:r>
    </w:p>
    <w:p>
      <w:pPr>
        <w:pStyle w:val="BodyText"/>
      </w:pPr>
      <w:r>
        <w:t xml:space="preserve"> </w:t>
      </w:r>
      <w:r>
        <w:rPr>
          <w:rFonts w:hint="eastAsia"/>
          <w:b/>
          <w:bCs/>
        </w:rPr>
        <w:t xml:space="preserve">附录</w:t>
      </w:r>
    </w:p>
    <w:p>
      <w:pPr>
        <w:pStyle w:val="BodyText"/>
      </w:pPr>
      <w:r>
        <w:rPr>
          <w:rFonts w:hint="eastAsia"/>
          <w:b/>
          <w:bCs/>
        </w:rPr>
        <w:t xml:space="preserve">结论</w:t>
      </w:r>
      <w:r>
        <w:rPr>
          <w:rFonts w:hint="eastAsia"/>
        </w:rPr>
        <w:t xml:space="preserve">附录保留核心模型实现、关键检验代码和正文未展开的补充证据。</w:t>
      </w:r>
    </w:p>
    <w:bookmarkEnd w:id="98"/>
    <w:bookmarkStart w:id="99" w:name="a-项目材料说明"/>
    <w:p>
      <w:pPr>
        <w:pStyle w:val="Heading2"/>
      </w:pPr>
      <w:r>
        <w:t xml:space="preserve">A </w:t>
      </w:r>
      <w:r>
        <w:rPr>
          <w:rFonts w:hint="eastAsia"/>
        </w:rPr>
        <w:t xml:space="preserve">项目材料说明</w:t>
      </w:r>
    </w:p>
    <w:p>
      <w:pPr>
        <w:pStyle w:val="FirstParagraph"/>
      </w:pPr>
      <w:r>
        <w:rPr>
          <w:rFonts w:hint="eastAsia"/>
        </w:rPr>
        <w:t xml:space="preserve">本文的建模、校验、绘图和论文生成均保存在同一项目目录中。附录只列出与论文结果直接相关的核心目录和关键代码，项目核心结构如下。</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src/</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传统供需基准与短期冲击模型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天长期三情景预测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              </w:t>
      </w:r>
      <w:r>
        <w:rPr>
          <w:rStyle w:val="VerbatimChar"/>
          <w:rFonts w:hint="eastAsia"/>
        </w:rPr>
        <w:t xml:space="preserve">一键构建、R</w:t>
      </w:r>
      <w:r>
        <w:rPr>
          <w:rStyle w:val="VerbatimChar"/>
        </w:rPr>
        <w:t xml:space="preserve"> </w:t>
      </w:r>
      <w:r>
        <w:rPr>
          <w:rStyle w:val="VerbatimChar"/>
          <w:rFonts w:hint="eastAsia"/>
        </w:rPr>
        <w:t xml:space="preserve">审计与</w:t>
      </w:r>
      <w:r>
        <w:rPr>
          <w:rStyle w:val="VerbatimChar"/>
        </w:rPr>
        <w:t xml:space="preserve"> DOCX </w:t>
      </w:r>
      <w:r>
        <w:rPr>
          <w:rStyle w:val="VerbatimChar"/>
          <w:rFonts w:hint="eastAsia"/>
        </w:rPr>
        <w:t xml:space="preserve">后处理脚本</w:t>
      </w:r>
      <w:r>
        <w:br/>
      </w:r>
      <w:r>
        <w:rPr>
          <w:rStyle w:val="VerbatimChar"/>
        </w:rPr>
        <w:t xml:space="preserve">|-- paper/                </w:t>
      </w:r>
      <w:r>
        <w:rPr>
          <w:rStyle w:val="VerbatimChar"/>
          <w:rFonts w:hint="eastAsia"/>
        </w:rPr>
        <w:t xml:space="preserve">总论文</w:t>
      </w:r>
      <w:r>
        <w:rPr>
          <w:rStyle w:val="VerbatimChar"/>
        </w:rPr>
        <w:t xml:space="preserve"> LaTeX </w:t>
      </w:r>
      <w:r>
        <w:rPr>
          <w:rStyle w:val="VerbatimChar"/>
          <w:rFonts w:hint="eastAsia"/>
        </w:rPr>
        <w:t xml:space="preserve">源码、章节和正式图表</w:t>
      </w:r>
      <w:r>
        <w:br/>
      </w:r>
      <w:r>
        <w:rPr>
          <w:rStyle w:val="VerbatimChar"/>
        </w:rPr>
        <w:t xml:space="preserve">|-- output/               </w:t>
      </w:r>
      <w:r>
        <w:rPr>
          <w:rStyle w:val="VerbatimChar"/>
          <w:rFonts w:hint="eastAsia"/>
        </w:rPr>
        <w:t xml:space="preserve">模型结果、校验报告和最终</w:t>
      </w:r>
      <w:r>
        <w:rPr>
          <w:rStyle w:val="VerbatimChar"/>
        </w:rPr>
        <w:t xml:space="preserve"> PDF/DOCX</w:t>
      </w:r>
    </w:p>
    <w:bookmarkEnd w:id="99"/>
    <w:bookmarkStart w:id="100" w:name="b-数据口径"/>
    <w:p>
      <w:pPr>
        <w:pStyle w:val="Heading2"/>
      </w:pPr>
      <w:r>
        <w:t xml:space="preserve">B </w:t>
      </w:r>
      <w:r>
        <w:rPr>
          <w:rFonts w:hint="eastAsia"/>
        </w:rPr>
        <w:t xml:space="preserve">数据口径</w:t>
      </w:r>
    </w:p>
    <w:p>
      <w:pPr>
        <w:pStyle w:val="FirstParagraph"/>
      </w:pPr>
      <w:r>
        <w:rPr>
          <w:rFonts w:hint="eastAsia"/>
        </w:rPr>
        <w:t xml:space="preserve">真实价格数据仅来自赛题附件，并经清洗后形成中文命名数据文件。短期拟合使用附件中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100"/>
    <w:bookmarkStart w:id="101" w:name="c-短期冲击模型关键实现"/>
    <w:p>
      <w:pPr>
        <w:pStyle w:val="Heading2"/>
      </w:pPr>
      <w:r>
        <w:t xml:space="preserve">C </w:t>
      </w:r>
      <w:r>
        <w:rPr>
          <w:rFonts w:hint="eastAsia"/>
        </w:rPr>
        <w:t xml:space="preserve">短期冲击模型关键实现</w:t>
      </w:r>
    </w:p>
    <w:p>
      <w:pPr>
        <w:pStyle w:val="FirstParagraph"/>
      </w:pPr>
      <w:r>
        <w:rPr>
          <w:rFonts w:hint="eastAsia"/>
        </w:rPr>
        <w:t xml:space="preserve">代码</w:t>
      </w:r>
      <w:r>
        <w:t xml:space="preserve"> </w:t>
      </w:r>
      <w:hyperlink w:anchor="lst:dynamic-recursion">
        <w:r>
          <w:rPr>
            <w:rStyle w:val="Hyperlink"/>
          </w:rPr>
          <w:t xml:space="preserve">[lst:dynamic-recursion]</w:t>
        </w:r>
      </w:hyperlink>
      <w:r>
        <w:t xml:space="preserve"> </w:t>
      </w:r>
      <w:r>
        <w:rPr>
          <w:rFonts w:hint="eastAsia"/>
        </w:rPr>
        <w:t xml:space="preserve">摘录短期冲击模型的关键递推逻辑，重点展示需求净扣减、商业库存自适应释放、市场感知缓冲率和价格形成层的实现方式。</w:t>
      </w:r>
    </w:p>
    <w:p>
      <w:pPr>
        <w:pStyle w:val="BodyText"/>
      </w:pPr>
      <w:r>
        <w:t xml:space="preserve">lst:dynamic-recursion</w:t>
      </w:r>
      <w:r>
        <w:t xml:space="preserve">python</w:t>
      </w:r>
      <w:r>
        <w:rPr>
          <w:rFonts w:hint="eastAsia"/>
        </w:rPr>
        <w:t xml:space="preserve">短期冲击模型关键递推</w:t>
      </w:r>
      <w:r>
        <w:t xml:space="preserve"> </w:t>
      </w:r>
      <w:r>
        <w:t xml:space="preserve">def simulate_dynamic_model(event_df, assumptions, behavior):</w:t>
      </w:r>
      <w:r>
        <w:t xml:space="preserve"> </w:t>
      </w:r>
      <w:r>
        <w:t xml:space="preserve">base_price = float(event_df.iloc[0]["pre_close"])</w:t>
      </w:r>
      <w:r>
        <w:t xml:space="preserve"> </w:t>
      </w:r>
      <w:r>
        <w:t xml:space="preserve">previous_price = base_price</w:t>
      </w:r>
      <w:r>
        <w:t xml:space="preserve"> </w:t>
      </w:r>
      <w:r>
        <w:t xml:space="preserve">previous_fear_excess = assumptions.fear_initial</w:t>
      </w:r>
      <w:r>
        <w:t xml:space="preserve"> </w:t>
      </w:r>
      <w:r>
        <w:t xml:space="preserve">perceived_coverage = 0.0</w:t>
      </w:r>
      <w:r>
        <w:t xml:space="preserve"> </w:t>
      </w:r>
      <w:r>
        <w:t xml:space="preserve">inventory_remaining = assumptions.commercial_inventory</w:t>
      </w:r>
      <w:r>
        <w:t xml:space="preserve"> </w:t>
      </w:r>
      <w:r>
        <w:t xml:space="preserve">gap_closure_day = None</w:t>
      </w:r>
      <w:r>
        <w:t xml:space="preserve"> </w:t>
      </w:r>
      <w:r>
        <w:t xml:space="preserve">rows = []</w:t>
      </w:r>
    </w:p>
    <w:p>
      <w:pPr>
        <w:pStyle w:val="BodyText"/>
      </w:pPr>
      <w:r>
        <w:t xml:space="preserve">for step_index, actual_row in enumerate(event_df.itertuples(index=False)):</w:t>
      </w:r>
      <w:r>
        <w:t xml:space="preserve"> </w:t>
      </w:r>
      <w:r>
        <w:t xml:space="preserve">day_index = int((actual_row.trade_date - event_df["trade_date"].min()).days)</w:t>
      </w:r>
      <w:r>
        <w:t xml:space="preserve"> </w:t>
      </w:r>
      <w:r>
        <w:t xml:space="preserve">elasticity = interpolate_elasticity(day_index, assumptions)</w:t>
      </w:r>
    </w:p>
    <w:p>
      <w:pPr>
        <w:pStyle w:val="BodyText"/>
      </w:pPr>
      <w:r>
        <w:t xml:space="preserve"># </w:t>
      </w:r>
      <w:r>
        <w:rPr>
          <w:rFonts w:hint="eastAsia"/>
        </w:rPr>
        <w:t xml:space="preserve">需求侧：价格弹性解释一部分需求下降，题面需求收缩只扣除净额</w:t>
      </w:r>
      <w:r>
        <w:t xml:space="preserve"> </w:t>
      </w:r>
      <w:r>
        <w:t xml:space="preserve">price_ratio = max(previous_price / base_price, 0.1)</w:t>
      </w:r>
      <w:r>
        <w:t xml:space="preserve"> </w:t>
      </w:r>
      <w:r>
        <w:t xml:space="preserve">price_adjusted_demand = assumptions.base_demand * (price_ratio**elasticity)</w:t>
      </w:r>
      <w:r>
        <w:t xml:space="preserve"> </w:t>
      </w:r>
      <w:r>
        <w:t xml:space="preserve">observed_decline = ramp(day_index, 0, assumptions.demand_decline_ramp_days,</w:t>
      </w:r>
      <w:r>
        <w:t xml:space="preserve"> </w:t>
      </w:r>
      <w:r>
        <w:t xml:space="preserve">assumptions.observed_demand_decline)</w:t>
      </w:r>
      <w:r>
        <w:t xml:space="preserve"> </w:t>
      </w:r>
      <w:r>
        <w:t xml:space="preserve">effective_demand, demand_decline, elasticity_loss = effective_demand_after_adjustments(</w:t>
      </w:r>
      <w:r>
        <w:t xml:space="preserve"> </w:t>
      </w:r>
      <w:r>
        <w:t xml:space="preserve">assumptions.base_demand, price_adjusted_demand, observed_decline</w:t>
      </w:r>
      <w:r>
        <w:t xml:space="preserve"> </w:t>
      </w:r>
      <w:r>
        <w:t xml:space="preserve">)</w:t>
      </w:r>
    </w:p>
    <w:p>
      <w:pPr>
        <w:pStyle w:val="BodyText"/>
      </w:pPr>
      <w:r>
        <w:t xml:space="preserve"># </w:t>
      </w:r>
      <w:r>
        <w:rPr>
          <w:rFonts w:hint="eastAsia"/>
        </w:rPr>
        <w:t xml:space="preserve">供给侧：SPR、绕道和商业库存共同缓冲供应缺口</w:t>
      </w:r>
      <w:r>
        <w:t xml:space="preserve"> </w:t>
      </w:r>
      <w:r>
        <w:t xml:space="preserve">spr_release = ramp(day_index, assumptions.spr_delay_days,</w:t>
      </w:r>
      <w:r>
        <w:t xml:space="preserve"> </w:t>
      </w:r>
      <w:r>
        <w:t xml:space="preserve">assumptions.spr_ramp_days, assumptions.spr_max_release)</w:t>
      </w:r>
      <w:r>
        <w:t xml:space="preserve"> </w:t>
      </w:r>
      <w:r>
        <w:t xml:space="preserve">route_supply = ramp(day_index, assumptions.route_start_day,</w:t>
      </w:r>
      <w:r>
        <w:t xml:space="preserve"> </w:t>
      </w:r>
      <w:r>
        <w:t xml:space="preserve">assumptions.route_ramp_days, assumptions.route_max_capacity)</w:t>
      </w:r>
      <w:r>
        <w:t xml:space="preserve"> </w:t>
      </w:r>
      <w:r>
        <w:t xml:space="preserve">supply_without_inventory = (assumptions.base_supply - assumptions.supply_interruption</w:t>
      </w:r>
      <w:r>
        <w:t xml:space="preserve"> </w:t>
      </w:r>
      <w:r>
        <w:t xml:space="preserve">+ spr_release + route_supply)</w:t>
      </w:r>
      <w:r>
        <w:t xml:space="preserve"> </w:t>
      </w:r>
      <w:r>
        <w:t xml:space="preserve">raw_gap = max(effective_demand - supply_without_inventory, 0.0)</w:t>
      </w:r>
      <w:r>
        <w:t xml:space="preserve"> </w:t>
      </w:r>
      <w:r>
        <w:t xml:space="preserve">inventory_buffer, inventory_release_pressure = adaptive_inventory_buffer(</w:t>
      </w:r>
      <w:r>
        <w:t xml:space="preserve"> </w:t>
      </w:r>
      <w:r>
        <w:t xml:space="preserve">raw_gap, previous_price, base_price, inventory_remaining, assumptions, behavior</w:t>
      </w:r>
      <w:r>
        <w:t xml:space="preserve"> </w:t>
      </w:r>
      <w:r>
        <w:t xml:space="preserve">)</w:t>
      </w:r>
      <w:r>
        <w:t xml:space="preserve"> </w:t>
      </w:r>
      <w:r>
        <w:t xml:space="preserve">inventory_remaining -= inventory_buffer</w:t>
      </w:r>
      <w:r>
        <w:t xml:space="preserve"> </w:t>
      </w:r>
      <w:r>
        <w:t xml:space="preserve">residual_gap = max(effective_demand - supply_without_inventory - inventory_buffer, 0.0)</w:t>
      </w:r>
    </w:p>
    <w:p>
      <w:pPr>
        <w:pStyle w:val="BodyText"/>
      </w:pPr>
      <w:r>
        <w:t xml:space="preserve"># </w:t>
      </w:r>
      <w:r>
        <w:rPr>
          <w:rFonts w:hint="eastAsia"/>
        </w:rPr>
        <w:t xml:space="preserve">市场不是立即相信所有缓冲，因此用感知覆盖率触发折价项</w:t>
      </w:r>
      <w:r>
        <w:t xml:space="preserve"> </w:t>
      </w:r>
      <w:r>
        <w:t xml:space="preserve">gross_shortage = max(effective_demand - (assumptions.base_supply</w:t>
      </w:r>
      <w:r>
        <w:t xml:space="preserve"> </w:t>
      </w:r>
      <w:r>
        <w:t xml:space="preserve">- assumptions.supply_interruption), 0.0)</w:t>
      </w:r>
      <w:r>
        <w:t xml:space="preserve"> </w:t>
      </w:r>
      <w:r>
        <w:t xml:space="preserve">total_buffer_supply = spr_release + route_supply + inventory_buffer</w:t>
      </w:r>
      <w:r>
        <w:t xml:space="preserve"> </w:t>
      </w:r>
      <w:r>
        <w:t xml:space="preserve">old_coverage = perceived_coverage</w:t>
      </w:r>
      <w:r>
        <w:t xml:space="preserve"> </w:t>
      </w:r>
      <w:r>
        <w:t xml:space="preserve">observed_coverage = np.clip(total_buffer_supply / max(gross_shortage, 1.0), 0.0, 1.5)</w:t>
      </w:r>
      <w:r>
        <w:t xml:space="preserve"> </w:t>
      </w:r>
      <w:r>
        <w:t xml:space="preserve">perceived_coverage = update_perceived_buffer_coverage(old_coverage, observed_coverage)</w:t>
      </w:r>
      <w:r>
        <w:t xml:space="preserve"> </w:t>
      </w:r>
      <w:r>
        <w:t xml:space="preserve">coverage_momentum = perceived_coverage - old_coverage</w:t>
      </w:r>
      <w:r>
        <w:t xml:space="preserve"> </w:t>
      </w:r>
      <w:r>
        <w:t xml:space="preserve">if (gap_closure_day is None</w:t>
      </w:r>
      <w:r>
        <w:t xml:space="preserve"> </w:t>
      </w:r>
      <w:r>
        <w:t xml:space="preserve">and residual_gap &lt;= assumptions.base_demand * 0.005</w:t>
      </w:r>
      <w:r>
        <w:t xml:space="preserve"> </w:t>
      </w:r>
      <w:r>
        <w:t xml:space="preserve">and perceived_coverage &gt;= 0.55):</w:t>
      </w:r>
      <w:r>
        <w:t xml:space="preserve"> </w:t>
      </w:r>
      <w:r>
        <w:t xml:space="preserve">gap_closure_day = day_index</w:t>
      </w:r>
    </w:p>
    <w:p>
      <w:pPr>
        <w:pStyle w:val="BodyText"/>
      </w:pPr>
      <w:r>
        <w:t xml:space="preserve"># </w:t>
      </w:r>
      <w:r>
        <w:rPr>
          <w:rFonts w:hint="eastAsia"/>
        </w:rPr>
        <w:t xml:space="preserve">价格形成层：物理缺口、地缘风险、恐慌、不确定性与缓冲折价</w:t>
      </w:r>
      <w:r>
        <w:t xml:space="preserve"> </w:t>
      </w:r>
      <w:r>
        <w:t xml:space="preserve">fear_excess = assumptions.fear_initial * np.exp(-assumptions.fear_decay * day_index)</w:t>
      </w:r>
      <w:r>
        <w:t xml:space="preserve"> </w:t>
      </w:r>
      <w:r>
        <w:t xml:space="preserve">shortage_pressure = (base_price * behavior.pressure_scale</w:t>
      </w:r>
      <w:r>
        <w:t xml:space="preserve"> </w:t>
      </w:r>
      <w:r>
        <w:t xml:space="preserve">* (residual_gap / assumptions.base_demand)</w:t>
      </w:r>
      <w:r>
        <w:t xml:space="preserve"> </w:t>
      </w:r>
      <w:r>
        <w:t xml:space="preserve">/ max(abs(elasticity), 0.01))</w:t>
      </w:r>
      <w:r>
        <w:t xml:space="preserve"> </w:t>
      </w:r>
      <w:r>
        <w:t xml:space="preserve">blockade_risk_premium = (base_price * behavior.risk_weight</w:t>
      </w:r>
      <w:r>
        <w:t xml:space="preserve"> </w:t>
      </w:r>
      <w:r>
        <w:t xml:space="preserve">* (assumptions.supply_interruption / assumptions.base_demand)</w:t>
      </w:r>
      <w:r>
        <w:t xml:space="preserve"> </w:t>
      </w:r>
      <w:r>
        <w:t xml:space="preserve">* (1 - np.exp(-day_index / 7))</w:t>
      </w:r>
      <w:r>
        <w:t xml:space="preserve"> </w:t>
      </w:r>
      <w:r>
        <w:t xml:space="preserve">* np.exp(-BLOCKADE_RISK_DECAY * day_index))</w:t>
      </w:r>
      <w:r>
        <w:t xml:space="preserve"> </w:t>
      </w:r>
      <w:r>
        <w:t xml:space="preserve">uncertainty_premium = base_price * behavior.uncertainty_floor * (1 - np.exp(-day_index / 18))</w:t>
      </w:r>
      <w:r>
        <w:t xml:space="preserve"> </w:t>
      </w:r>
      <w:r>
        <w:t xml:space="preserve">panic_premium = base_price * 0.45 * fear_excess</w:t>
      </w:r>
      <w:r>
        <w:t xml:space="preserve"> </w:t>
      </w:r>
      <w:r>
        <w:t xml:space="preserve">buffer_discount = buffer_confirmation_discount(day_index, gap_closure_day,</w:t>
      </w:r>
      <w:r>
        <w:t xml:space="preserve"> </w:t>
      </w:r>
      <w:r>
        <w:t xml:space="preserve">base_price, behavior, perceived_coverage)</w:t>
      </w:r>
      <w:r>
        <w:t xml:space="preserve"> </w:t>
      </w:r>
      <w:r>
        <w:t xml:space="preserve">relief_discount = expectation_relief_discount(day_index, base_price, behavior,</w:t>
      </w:r>
      <w:r>
        <w:t xml:space="preserve"> </w:t>
      </w:r>
      <w:r>
        <w:t xml:space="preserve">perceived_coverage, coverage_momentum)</w:t>
      </w:r>
      <w:r>
        <w:t xml:space="preserve"> </w:t>
      </w:r>
      <w:r>
        <w:t xml:space="preserve">target_price = (base_price + shortage_pressure + blockade_risk_premium</w:t>
      </w:r>
      <w:r>
        <w:t xml:space="preserve"> </w:t>
      </w:r>
      <w:r>
        <w:t xml:space="preserve">+ uncertainty_premium + panic_premium</w:t>
      </w:r>
      <w:r>
        <w:t xml:space="preserve"> </w:t>
      </w:r>
      <w:r>
        <w:t xml:space="preserve">- buffer_discount - relief_discount)</w:t>
      </w:r>
      <w:r>
        <w:t xml:space="preserve"> </w:t>
      </w:r>
      <w:r>
        <w:t xml:space="preserve">simulated_price = previous_price + behavior.adjustment_speed * (target_price - previous_price)</w:t>
      </w:r>
      <w:r>
        <w:t xml:space="preserve"> </w:t>
      </w:r>
      <w:r>
        <w:t xml:space="preserve">simulated_price += 2.5 * (fear_excess - previous_fear_excess)</w:t>
      </w:r>
      <w:r>
        <w:t xml:space="preserve"> </w:t>
      </w:r>
      <w:r>
        <w:t xml:space="preserve">simulated_price = float(np.clip(simulated_price, base_price * 0.75, 180.0))</w:t>
      </w:r>
    </w:p>
    <w:p>
      <w:pPr>
        <w:pStyle w:val="BodyText"/>
      </w:pPr>
      <w:r>
        <w:t xml:space="preserve">rows.append(</w:t>
      </w:r>
      <w:r>
        <w:t xml:space="preserve"> </w:t>
      </w:r>
      <w:r>
        <w:t xml:space="preserve">"day_index": day_index,</w:t>
      </w:r>
      <w:r>
        <w:t xml:space="preserve"> </w:t>
      </w:r>
      <w:r>
        <w:t xml:space="preserve">"simulated_price": simulated_price,</w:t>
      </w:r>
      <w:r>
        <w:t xml:space="preserve"> </w:t>
      </w:r>
      <w:r>
        <w:t xml:space="preserve">"supply_gap": residual_gap,</w:t>
      </w:r>
      <w:r>
        <w:t xml:space="preserve"> </w:t>
      </w:r>
      <w:r>
        <w:t xml:space="preserve">"inventory_buffer": inventory_buffer,</w:t>
      </w:r>
      <w:r>
        <w:t xml:space="preserve"> </w:t>
      </w:r>
      <w:r>
        <w:t xml:space="preserve">"inventory_release_pressure": inventory_release_pressure,</w:t>
      </w:r>
      <w:r>
        <w:t xml:space="preserve"> </w:t>
      </w:r>
      <w:r>
        <w:t xml:space="preserve">"perceived_buffer_coverage_ratio": perceived_coverage,</w:t>
      </w:r>
      <w:r>
        <w:t xml:space="preserve"> </w:t>
      </w:r>
      <w:r>
        <w:t xml:space="preserve">)</w:t>
      </w:r>
      <w:r>
        <w:t xml:space="preserve"> </w:t>
      </w:r>
      <w:r>
        <w:t xml:space="preserve">previous_price = simulated_price</w:t>
      </w:r>
      <w:r>
        <w:t xml:space="preserve"> </w:t>
      </w:r>
      <w:r>
        <w:t xml:space="preserve">previous_fear_excess = fear_excess</w:t>
      </w:r>
    </w:p>
    <w:p>
      <w:pPr>
        <w:pStyle w:val="BodyText"/>
      </w:pPr>
      <w:r>
        <w:t xml:space="preserve">return pd.DataFrame(rows)</w:t>
      </w:r>
    </w:p>
    <w:bookmarkEnd w:id="101"/>
    <w:bookmarkStart w:id="102" w:name="d-参数校准模块"/>
    <w:p>
      <w:pPr>
        <w:pStyle w:val="Heading2"/>
      </w:pPr>
      <w:r>
        <w:t xml:space="preserve">D </w:t>
      </w:r>
      <w:r>
        <w:rPr>
          <w:rFonts w:hint="eastAsia"/>
        </w:rPr>
        <w:t xml:space="preserve">参数校准模块</w:t>
      </w:r>
    </w:p>
    <w:p>
      <w:pPr>
        <w:pStyle w:val="FirstParagraph"/>
      </w:pPr>
      <w:r>
        <w:rPr>
          <w:rFonts w:hint="eastAsia"/>
        </w:rPr>
        <w:t xml:space="preserve">代码</w:t>
      </w:r>
      <w:r>
        <w:t xml:space="preserve"> </w:t>
      </w:r>
      <w:hyperlink w:anchor="lst:calibration">
        <w:r>
          <w:rPr>
            <w:rStyle w:val="Hyperlink"/>
          </w:rPr>
          <w:t xml:space="preserve">[lst:calibration]</w:t>
        </w:r>
      </w:hyperlink>
      <w:r>
        <w:t xml:space="preserve"> </w:t>
      </w:r>
      <w:r>
        <w:rPr>
          <w:rFonts w:hint="eastAsia"/>
        </w:rPr>
        <w:t xml:space="preserve">给出参数校准流程。本文在固定机制结构下，综合使用差分进化、局部稳定性搜索和拟合质量精修选择代表性参数。</w:t>
      </w:r>
    </w:p>
    <w:p>
      <w:pPr>
        <w:pStyle w:val="BodyText"/>
      </w:pPr>
      <w:r>
        <w:t xml:space="preserve">lst:calibration</w:t>
      </w:r>
      <w:r>
        <w:t xml:space="preserve">python</w:t>
      </w:r>
      <w:r>
        <w:rPr>
          <w:rFonts w:hint="eastAsia"/>
        </w:rPr>
        <w:t xml:space="preserve">参数校准与局部稳健性搜索</w:t>
      </w:r>
      <w:r>
        <w:t xml:space="preserve"> </w:t>
      </w:r>
      <w:r>
        <w:t xml:space="preserve">def refine_with_continuous_search(event_df, base_assumptions):</w:t>
      </w:r>
      <w:r>
        <w:t xml:space="preserve"> </w:t>
      </w:r>
      <w:r>
        <w:t xml:space="preserve">def objective(values):</w:t>
      </w:r>
      <w:r>
        <w:t xml:space="preserve"> </w:t>
      </w:r>
      <w:r>
        <w:t xml:space="preserve">assumptions, behavior = decode_continuous_parameters(values, base_assumptions)</w:t>
      </w:r>
      <w:r>
        <w:t xml:space="preserve"> </w:t>
      </w:r>
      <w:r>
        <w:t xml:space="preserve">simulation = dynamic.simulate_dynamic_model(event_df, assumptions, behavior)</w:t>
      </w:r>
      <w:r>
        <w:t xml:space="preserve"> </w:t>
      </w:r>
      <w:r>
        <w:t xml:space="preserve">metrics = evaluate_simulation(simulation)</w:t>
      </w:r>
    </w:p>
    <w:p>
      <w:pPr>
        <w:pStyle w:val="BodyText"/>
      </w:pPr>
      <w:r>
        <w:t xml:space="preserve"># </w:t>
      </w:r>
      <w:r>
        <w:rPr>
          <w:rFonts w:hint="eastAsia"/>
        </w:rPr>
        <w:t xml:space="preserve">综合得分同时考虑整体误差、峰值误差、末日误差和平台解释能力</w:t>
      </w:r>
      <w:r>
        <w:t xml:space="preserve"> </w:t>
      </w:r>
      <w:r>
        <w:t xml:space="preserve">return </w:t>
      </w:r>
      <w:r>
        <w:rPr>
          <w:rFonts w:hint="eastAsia"/>
        </w:rPr>
        <w:t xml:space="preserve">metrics["综合得分"]</w:t>
      </w:r>
      <w:r>
        <w:t xml:space="preserve"> + excellence_penalty(metrics)</w:t>
      </w:r>
    </w:p>
    <w:p>
      <w:pPr>
        <w:pStyle w:val="BodyText"/>
      </w:pPr>
      <w:r>
        <w:t xml:space="preserve">result = differential_evolution(</w:t>
      </w:r>
      <w:r>
        <w:t xml:space="preserve"> </w:t>
      </w:r>
      <w:r>
        <w:t xml:space="preserve">objective,</w:t>
      </w:r>
      <w:r>
        <w:t xml:space="preserve"> </w:t>
      </w:r>
      <w:r>
        <w:t xml:space="preserve">CONTINUOUS_PARAMETER_BOUNDS,</w:t>
      </w:r>
      <w:r>
        <w:t xml:space="preserve"> </w:t>
      </w:r>
      <w:r>
        <w:t xml:space="preserve">seed=RANDOM_SEED,</w:t>
      </w:r>
      <w:r>
        <w:t xml:space="preserve"> </w:t>
      </w:r>
      <w:r>
        <w:t xml:space="preserve">maxiter=LOCAL_REFINEMENT_MAXITER,</w:t>
      </w:r>
      <w:r>
        <w:t xml:space="preserve"> </w:t>
      </w:r>
      <w:r>
        <w:t xml:space="preserve">popsize=LOCAL_REFINEMENT_POPSIZE,</w:t>
      </w:r>
      <w:r>
        <w:t xml:space="preserve"> </w:t>
      </w:r>
      <w:r>
        <w:t xml:space="preserve">polish=True,</w:t>
      </w:r>
      <w:r>
        <w:t xml:space="preserve"> </w:t>
      </w:r>
      <w:r>
        <w:t xml:space="preserve">workers=1,</w:t>
      </w:r>
      <w:r>
        <w:t xml:space="preserve"> </w:t>
      </w:r>
      <w:r>
        <w:t xml:space="preserve">tol=0.002,</w:t>
      </w:r>
      <w:r>
        <w:t xml:space="preserve"> </w:t>
      </w:r>
      <w:r>
        <w:t xml:space="preserve">)</w:t>
      </w:r>
    </w:p>
    <w:p>
      <w:pPr>
        <w:pStyle w:val="BodyText"/>
      </w:pPr>
      <w:r>
        <w:t xml:space="preserve">assumptions, behavior = decode_continuous_parameters(result.x, base_assumptions)</w:t>
      </w:r>
      <w:r>
        <w:t xml:space="preserve"> </w:t>
      </w:r>
      <w:r>
        <w:t xml:space="preserve">simulation = dynamic.simulate_dynamic_model(event_df, assumptions, behavior)</w:t>
      </w:r>
      <w:r>
        <w:t xml:space="preserve"> </w:t>
      </w:r>
      <w:r>
        <w:t xml:space="preserve">metrics = evaluate_simulation(simulation)</w:t>
      </w:r>
      <w:r>
        <w:t xml:space="preserve"> </w:t>
      </w:r>
      <w:r>
        <w:rPr>
          <w:rFonts w:hint="eastAsia"/>
        </w:rPr>
        <w:t xml:space="preserve">metrics["局部精修目标值"]</w:t>
      </w:r>
      <w:r>
        <w:t xml:space="preserve"> = float(result.fun)</w:t>
      </w:r>
      <w:r>
        <w:t xml:space="preserve"> </w:t>
      </w:r>
      <w:r>
        <w:t xml:space="preserve">return assumptions, behavior, simulation, metrics</w:t>
      </w:r>
    </w:p>
    <w:p>
      <w:pPr>
        <w:pStyle w:val="BodyText"/>
      </w:pPr>
      <w:r>
        <w:t xml:space="preserve">def calibrate(event_df, base_assumptions):</w:t>
      </w:r>
      <w:r>
        <w:t xml:space="preserve"> </w:t>
      </w:r>
      <w:r>
        <w:t xml:space="preserve">rows, simulations = [],</w:t>
      </w:r>
      <w:r>
        <w:t xml:space="preserve"> </w:t>
      </w:r>
      <w:r>
        <w:t xml:space="preserve">for candidate_id, (assumptions, behavior) in enumerate(sampled_parameter_sets(base_assumptions)):</w:t>
      </w:r>
      <w:r>
        <w:t xml:space="preserve"> </w:t>
      </w:r>
      <w:r>
        <w:t xml:space="preserve">simulation = dynamic.simulate_dynamic_model(event_df, assumptions, behavior)</w:t>
      </w:r>
      <w:r>
        <w:t xml:space="preserve"> </w:t>
      </w:r>
      <w:r>
        <w:t xml:space="preserve">metrics = evaluate_simulation(simulation)</w:t>
      </w:r>
      <w:r>
        <w:t xml:space="preserve"> </w:t>
      </w:r>
      <w:r>
        <w:t xml:space="preserve">rows.append(</w:t>
      </w:r>
      <w:r>
        <w:t xml:space="preserve">"candidate_id": candidate_id, "candidate_source": "seeded_random",</w:t>
      </w:r>
      <w:r>
        <w:t xml:space="preserve"> </w:t>
      </w:r>
      <w:r>
        <w:t xml:space="preserve">**metrics</w:t>
      </w:r>
      <w:r>
        <w:t xml:space="preserve">)</w:t>
      </w:r>
      <w:r>
        <w:t xml:space="preserve"> </w:t>
      </w:r>
      <w:r>
        <w:t xml:space="preserve">simulations[candidate_id] = simulation</w:t>
      </w:r>
    </w:p>
    <w:p>
      <w:pPr>
        <w:pStyle w:val="BodyText"/>
      </w:pPr>
      <w:r>
        <w:t xml:space="preserve"># </w:t>
      </w:r>
      <w:r>
        <w:rPr>
          <w:rFonts w:hint="eastAsia"/>
        </w:rPr>
        <w:t xml:space="preserve">在随机搜索基础上继续做连续精修、局部稳健性搜索和拟合质量精修</w:t>
      </w:r>
      <w:r>
        <w:t xml:space="preserve"> </w:t>
      </w:r>
      <w:r>
        <w:t xml:space="preserve">refined = refine_with_continuous_search(event_df, base_assumptions)</w:t>
      </w:r>
      <w:r>
        <w:t xml:space="preserve"> </w:t>
      </w:r>
      <w:r>
        <w:t xml:space="preserve">stable = refine_with_local_stability_search(event_df, base_assumptions,</w:t>
      </w:r>
      <w:r>
        <w:t xml:space="preserve"> </w:t>
      </w:r>
      <w:r>
        <w:t xml:space="preserve">refined[0], refined[1])</w:t>
      </w:r>
      <w:r>
        <w:t xml:space="preserve"> </w:t>
      </w:r>
      <w:r>
        <w:t xml:space="preserve">final = refine_with_fit_quality_search(event_df, base_assumptions,</w:t>
      </w:r>
      <w:r>
        <w:t xml:space="preserve"> </w:t>
      </w:r>
      <w:r>
        <w:t xml:space="preserve">stable[0], stable[1])</w:t>
      </w:r>
      <w:r>
        <w:t xml:space="preserve"> </w:t>
      </w:r>
      <w:r>
        <w:t xml:space="preserve">return select_representative_candidates(rows, simulations, final)</w:t>
      </w:r>
    </w:p>
    <w:bookmarkEnd w:id="102"/>
    <w:bookmarkStart w:id="103" w:name="e-中长期油价调节模型递推与政策缓冲"/>
    <w:p>
      <w:pPr>
        <w:pStyle w:val="Heading2"/>
      </w:pPr>
      <w:r>
        <w:t xml:space="preserve">E </w:t>
      </w:r>
      <w:r>
        <w:rPr>
          <w:rFonts w:hint="eastAsia"/>
        </w:rPr>
        <w:t xml:space="preserve">中长期油价调节模型递推与政策缓冲</w:t>
      </w:r>
    </w:p>
    <w:p>
      <w:pPr>
        <w:pStyle w:val="FirstParagraph"/>
      </w:pPr>
      <w:r>
        <w:rPr>
          <w:rFonts w:hint="eastAsia"/>
        </w:rPr>
        <w:t xml:space="preserve">代码</w:t>
      </w:r>
      <w:r>
        <w:t xml:space="preserve"> </w:t>
      </w:r>
      <w:hyperlink w:anchor="lst:future-recursion">
        <w:r>
          <w:rPr>
            <w:rStyle w:val="Hyperlink"/>
          </w:rPr>
          <w:t xml:space="preserve">[lst:future-recursion]</w:t>
        </w:r>
      </w:hyperlink>
      <w:r>
        <w:t xml:space="preserve"> </w:t>
      </w:r>
      <w:r>
        <w:rPr>
          <w:rFonts w:hint="eastAsia"/>
        </w:rPr>
        <w:t xml:space="preserve">展示长期外推中</w:t>
      </w:r>
      <w:r>
        <w:t xml:space="preserve"> SPR </w:t>
      </w:r>
      <w:r>
        <w:rPr>
          <w:rFonts w:hint="eastAsia"/>
        </w:rPr>
        <w:t xml:space="preserve">自适应释放与供需再平衡的处理。该模块避免把战略储备释放机械设为满额，而是根据剩余缺口、价格压力、时间衰减和剩余等效预算动态收缩释放强度。</w:t>
      </w:r>
    </w:p>
    <w:p>
      <w:pPr>
        <w:pStyle w:val="BodyText"/>
      </w:pPr>
      <w:r>
        <w:t xml:space="preserve">lst:future-recursion</w:t>
      </w:r>
      <w:r>
        <w:t xml:space="preserve">python</w:t>
      </w:r>
      <w:r>
        <w:rPr>
          <w:rFonts w:hint="eastAsia"/>
        </w:rPr>
        <w:t xml:space="preserve">中长期油价调节模型中的</w:t>
      </w:r>
      <w:r>
        <w:t xml:space="preserve"> SPR </w:t>
      </w:r>
      <w:r>
        <w:rPr>
          <w:rFonts w:hint="eastAsia"/>
        </w:rPr>
        <w:t xml:space="preserve">自适应释放</w:t>
      </w:r>
      <w:r>
        <w:t xml:space="preserve"> </w:t>
      </w:r>
      <w:r>
        <w:t xml:space="preserve">def adaptive_spr_release(day_index, scheduled_spr, gross_gap_before_spr,</w:t>
      </w:r>
      <w:r>
        <w:t xml:space="preserve"> </w:t>
      </w:r>
      <w:r>
        <w:t xml:space="preserve">previous_price, base_price, assumptions):</w:t>
      </w:r>
      <w:r>
        <w:t xml:space="preserve"> </w:t>
      </w:r>
      <w:r>
        <w:t xml:space="preserve">if scheduled_spr &lt;= 0:</w:t>
      </w:r>
      <w:r>
        <w:t xml:space="preserve"> </w:t>
      </w:r>
      <w:r>
        <w:t xml:space="preserve">return 0.0, 0.0</w:t>
      </w:r>
    </w:p>
    <w:p>
      <w:pPr>
        <w:pStyle w:val="BodyText"/>
      </w:pPr>
      <w:r>
        <w:t xml:space="preserve"># </w:t>
      </w:r>
      <w:r>
        <w:rPr>
          <w:rFonts w:hint="eastAsia"/>
        </w:rPr>
        <w:t xml:space="preserve">当物理缺口已基本覆盖时，SPR</w:t>
      </w:r>
      <w:r>
        <w:t xml:space="preserve"> </w:t>
      </w:r>
      <w:r>
        <w:rPr>
          <w:rFonts w:hint="eastAsia"/>
        </w:rPr>
        <w:t xml:space="preserve">不再机械满额释放</w:t>
      </w:r>
      <w:r>
        <w:t xml:space="preserve"> </w:t>
      </w:r>
      <w:r>
        <w:t xml:space="preserve">reserve_buffer = assumptions.base_demand * GAP_CLOSURE_SHARE</w:t>
      </w:r>
      <w:r>
        <w:t xml:space="preserve"> </w:t>
      </w:r>
      <w:r>
        <w:t xml:space="preserve">coverage_need = max(gross_gap_before_spr + reserve_buffer, 0.0)</w:t>
      </w:r>
      <w:r>
        <w:t xml:space="preserve"> </w:t>
      </w:r>
      <w:r>
        <w:t xml:space="preserve">demand_based_release = min(scheduled_spr, coverage_need)</w:t>
      </w:r>
    </w:p>
    <w:p>
      <w:pPr>
        <w:pStyle w:val="BodyText"/>
      </w:pPr>
      <w:r>
        <w:t xml:space="preserve">stress_ratio = np.clip(gross_gap_before_spr / max(assumptions.supply_interruption, 1.0),</w:t>
      </w:r>
      <w:r>
        <w:t xml:space="preserve"> </w:t>
      </w:r>
      <w:r>
        <w:t xml:space="preserve">0.0, 1.0)</w:t>
      </w:r>
      <w:r>
        <w:t xml:space="preserve"> </w:t>
      </w:r>
      <w:r>
        <w:t xml:space="preserve">price_stress = np.clip((previous_price / base_price - SPR_PRICE_STRESS_START_RATIO)</w:t>
      </w:r>
      <w:r>
        <w:t xml:space="preserve"> </w:t>
      </w:r>
      <w:r>
        <w:t xml:space="preserve">/ SPR_PRICE_STRESS_WIDTH, 0.0, 1.0)</w:t>
      </w:r>
      <w:r>
        <w:t xml:space="preserve"> </w:t>
      </w:r>
      <w:r>
        <w:t xml:space="preserve">minimum_policy_share = SPR_MIN_POLICY_SHARE + SPR_PRICE_POLICY_SHARE * price_stress</w:t>
      </w:r>
      <w:r>
        <w:t xml:space="preserve"> </w:t>
      </w:r>
      <w:r>
        <w:t xml:space="preserve">stress_share = max(minimum_policy_share, stress_ratio)</w:t>
      </w:r>
    </w:p>
    <w:p>
      <w:pPr>
        <w:pStyle w:val="BodyText"/>
      </w:pPr>
      <w:r>
        <w:t xml:space="preserve">time_taper = 1.0</w:t>
      </w:r>
      <w:r>
        <w:t xml:space="preserve"> </w:t>
      </w:r>
      <w:r>
        <w:t xml:space="preserve">if day_index &gt; SPR_TAPER_START_DAY:</w:t>
      </w:r>
      <w:r>
        <w:t xml:space="preserve"> </w:t>
      </w:r>
      <w:r>
        <w:t xml:space="preserve">time_taper = SPR_TAPER_FLOOR + (1 - SPR_TAPER_FLOOR) * np.exp(</w:t>
      </w:r>
      <w:r>
        <w:t xml:space="preserve"> </w:t>
      </w:r>
      <w:r>
        <w:t xml:space="preserve">-(day_index - SPR_TAPER_START_DAY) / SPR_TAPER_DECAY_DAYS</w:t>
      </w:r>
      <w:r>
        <w:t xml:space="preserve"> </w:t>
      </w:r>
      <w:r>
        <w:t xml:space="preserve">)</w:t>
      </w:r>
    </w:p>
    <w:p>
      <w:pPr>
        <w:pStyle w:val="BodyText"/>
      </w:pPr>
      <w:r>
        <w:t xml:space="preserve">actual_release = max(demand_based_release, scheduled_spr * stress_share * time_taper)</w:t>
      </w:r>
      <w:r>
        <w:t xml:space="preserve"> </w:t>
      </w:r>
      <w:r>
        <w:t xml:space="preserve">actual_release = float(min(scheduled_spr, actual_release))</w:t>
      </w:r>
      <w:r>
        <w:t xml:space="preserve"> </w:t>
      </w:r>
      <w:r>
        <w:t xml:space="preserve">return actual_release, actual_release / scheduled_spr</w:t>
      </w:r>
    </w:p>
    <w:p>
      <w:pPr>
        <w:pStyle w:val="BodyText"/>
      </w:pPr>
      <w:r>
        <w:t xml:space="preserve">def simulate_future_from_prefix(prefix, future_frame, assumptions, behavior, base_price):</w:t>
      </w:r>
      <w:r>
        <w:t xml:space="preserve"> </w:t>
      </w:r>
      <w:r>
        <w:t xml:space="preserve">spr_budget_total, spr_future_budget, spr_remaining = initialize_spr_budget(prefix, assumptions)</w:t>
      </w:r>
      <w:r>
        <w:t xml:space="preserve"> </w:t>
      </w:r>
      <w:r>
        <w:t xml:space="preserve">inventory_remaining = float(prefix.iloc[-1]["inventory_remaining"])</w:t>
      </w:r>
    </w:p>
    <w:p>
      <w:pPr>
        <w:pStyle w:val="BodyText"/>
      </w:pPr>
      <w:r>
        <w:t xml:space="preserve">for _, row in future_frame.iterrows():</w:t>
      </w:r>
      <w:r>
        <w:t xml:space="preserve"> </w:t>
      </w:r>
      <w:r>
        <w:t xml:space="preserve">scheduled_spr = ramp(row["day_index"], assumptions.spr_delay_days,</w:t>
      </w:r>
      <w:r>
        <w:t xml:space="preserve"> </w:t>
      </w:r>
      <w:r>
        <w:t xml:space="preserve">assumptions.spr_ramp_days, assumptions.spr_max_release)</w:t>
      </w:r>
      <w:r>
        <w:t xml:space="preserve"> </w:t>
      </w:r>
      <w:r>
        <w:t xml:space="preserve">spr_release, taper_ratio = adaptive_spr_release(...)</w:t>
      </w:r>
      <w:r>
        <w:t xml:space="preserve"> </w:t>
      </w:r>
      <w:r>
        <w:t xml:space="preserve">spr_release = min(spr_release, spr_remaining)</w:t>
      </w:r>
      <w:r>
        <w:t xml:space="preserve"> </w:t>
      </w:r>
      <w:r>
        <w:t xml:space="preserve">spr_remaining = max(spr_remaining - spr_release, 0.0)</w:t>
      </w:r>
    </w:p>
    <w:p>
      <w:pPr>
        <w:pStyle w:val="BodyText"/>
      </w:pPr>
      <w:r>
        <w:t xml:space="preserve"># </w:t>
      </w:r>
      <w:r>
        <w:rPr>
          <w:rFonts w:hint="eastAsia"/>
        </w:rPr>
        <w:t xml:space="preserve">当</w:t>
      </w:r>
      <w:r>
        <w:t xml:space="preserve"> SPR </w:t>
      </w:r>
      <w:r>
        <w:rPr>
          <w:rFonts w:hint="eastAsia"/>
        </w:rPr>
        <w:t xml:space="preserve">接近耗尽且剩余缺口仍存在时，加入二次跳涨压力</w:t>
      </w:r>
      <w:r>
        <w:t xml:space="preserve"> </w:t>
      </w:r>
      <w:r>
        <w:t xml:space="preserve">exhaustion_premium, exhaustion_pressure = spr_exhaustion_premium(</w:t>
      </w:r>
      <w:r>
        <w:t xml:space="preserve"> </w:t>
      </w:r>
      <w:r>
        <w:t xml:space="preserve">spr_remaining, spr_future_budget, residual_gap, base_price, assumptions</w:t>
      </w:r>
      <w:r>
        <w:t xml:space="preserve"> </w:t>
      </w:r>
      <w:r>
        <w:t xml:space="preserve">)</w:t>
      </w:r>
      <w:r>
        <w:t xml:space="preserve"> </w:t>
      </w:r>
      <w:r>
        <w:t xml:space="preserve">target_price = base_price + shortage_pressure + risk_premium  + exhaustion_premium - buffer_discount - relief_discount</w:t>
      </w:r>
    </w:p>
    <w:bookmarkEnd w:id="103"/>
    <w:bookmarkStart w:id="104" w:name="f-长期状态转移递推"/>
    <w:p>
      <w:pPr>
        <w:pStyle w:val="Heading2"/>
      </w:pPr>
      <w:r>
        <w:t xml:space="preserve">F </w:t>
      </w:r>
      <w:r>
        <w:rPr>
          <w:rFonts w:hint="eastAsia"/>
        </w:rPr>
        <w:t xml:space="preserve">长期状态转移递推</w:t>
      </w:r>
    </w:p>
    <w:p>
      <w:pPr>
        <w:pStyle w:val="FirstParagraph"/>
      </w:pPr>
      <w:r>
        <w:rPr>
          <w:rFonts w:hint="eastAsia"/>
        </w:rPr>
        <w:t xml:space="preserve">代码</w:t>
      </w:r>
      <w:r>
        <w:t xml:space="preserve"> </w:t>
      </w:r>
      <w:hyperlink w:anchor="lst:state-transition-probability">
        <w:r>
          <w:rPr>
            <w:rStyle w:val="Hyperlink"/>
          </w:rPr>
          <w:t xml:space="preserve">[lst:state-transition-probability]</w:t>
        </w:r>
      </w:hyperlink>
      <w:r>
        <w:t xml:space="preserve"> </w:t>
      </w:r>
      <w:r>
        <w:rPr>
          <w:rFonts w:hint="eastAsia"/>
        </w:rPr>
        <w:t xml:space="preserve">展示长期预测中状态转移概率的递推方式。基础矩阵先给出缓和、维持、升级三类状态之间的常规切换概率，再映射到</w:t>
      </w:r>
      <w:r>
        <w:t xml:space="preserve"> logit </w:t>
      </w:r>
      <w:r>
        <w:rPr>
          <w:rFonts w:hint="eastAsia"/>
        </w:rPr>
        <w:t xml:space="preserve">空间，由物理压力和</w:t>
      </w:r>
      <w:r>
        <w:t xml:space="preserve"> GPR/OVX </w:t>
      </w:r>
      <w:r>
        <w:rPr>
          <w:rFonts w:hint="eastAsia"/>
        </w:rPr>
        <w:t xml:space="preserve">综合风险压力对升级倾向进行温和修正；后期缓和不再按日历时间机械触发，而由恢复证据门控。</w:t>
      </w:r>
    </w:p>
    <w:p>
      <w:pPr>
        <w:pStyle w:val="BodyText"/>
      </w:pPr>
      <w:r>
        <w:t xml:space="preserve">lst:state-transition-probability</w:t>
      </w:r>
      <w:r>
        <w:t xml:space="preserve">python</w:t>
      </w:r>
      <w:r>
        <w:rPr>
          <w:rFonts w:hint="eastAsia"/>
        </w:rPr>
        <w:t xml:space="preserve">长期状态转移概率递推</w:t>
      </w:r>
      <w:r>
        <w:t xml:space="preserve"> </w:t>
      </w:r>
      <w:r>
        <w:t xml:space="preserve">def transition_probabilities(current_state, day_index, risk_constraints,</w:t>
      </w:r>
      <w:r>
        <w:t xml:space="preserve"> </w:t>
      </w:r>
      <w:r>
        <w:t xml:space="preserve">physical_pressure, recovery_evidence):</w:t>
      </w:r>
      <w:r>
        <w:t xml:space="preserve"> </w:t>
      </w:r>
      <w:r>
        <w:t xml:space="preserve">base_probs = TRANSITION_MATRIX[STATE_INDEX[current_state]].copy()</w:t>
      </w:r>
      <w:r>
        <w:t xml:space="preserve"> </w:t>
      </w:r>
      <w:r>
        <w:t xml:space="preserve">logits = np.log(np.clip(base_probs, 1e-6, 1.0))</w:t>
      </w:r>
    </w:p>
    <w:p>
      <w:pPr>
        <w:pStyle w:val="BodyText"/>
      </w:pPr>
      <w:r>
        <w:t xml:space="preserve"># </w:t>
      </w:r>
      <w:r>
        <w:rPr>
          <w:rFonts w:hint="eastAsia"/>
        </w:rPr>
        <w:t xml:space="preserve">市场风险主要影响外推早中期；物理压力来自剩余缺口、SPR、库存和绕道</w:t>
      </w:r>
      <w:r>
        <w:t xml:space="preserve"> </w:t>
      </w:r>
      <w:r>
        <w:t xml:space="preserve">early_risk_decay = np.clip(1.0 - max(day_index - 60, 0) / 150.0,</w:t>
      </w:r>
      <w:r>
        <w:t xml:space="preserve"> </w:t>
      </w:r>
      <w:r>
        <w:t xml:space="preserve">0.25, 1.0)</w:t>
      </w:r>
      <w:r>
        <w:t xml:space="preserve"> </w:t>
      </w:r>
      <w:r>
        <w:t xml:space="preserve">risk_shift = risk_constraints.combined_pressure * early_risk_decay * 0.75</w:t>
      </w:r>
      <w:r>
        <w:t xml:space="preserve"> </w:t>
      </w:r>
      <w:r>
        <w:t xml:space="preserve">physical_shift = np.clip(physical_pressure, 0.0, 1.0) * 0.80</w:t>
      </w:r>
      <w:r>
        <w:t xml:space="preserve"> </w:t>
      </w:r>
      <w:r>
        <w:t xml:space="preserve">logits[STATE_INDEX["escalation"]] += 0.16 * risk_shift + 0.24 * physical_shift</w:t>
      </w:r>
      <w:r>
        <w:t xml:space="preserve"> </w:t>
      </w:r>
      <w:r>
        <w:t xml:space="preserve">logits[STATE_INDEX["easing"]] -= 0.11 * risk_shift + 0.18 * physical_shift</w:t>
      </w:r>
    </w:p>
    <w:p>
      <w:pPr>
        <w:pStyle w:val="BodyText"/>
      </w:pPr>
      <w:r>
        <w:t xml:space="preserve">if current_state == "escalation":</w:t>
      </w:r>
      <w:r>
        <w:t xml:space="preserve"> </w:t>
      </w:r>
      <w:r>
        <w:t xml:space="preserve">logits[STATE_INDEX["escalation"]] += 0.07 * risk_shift + 0.11 * physical_shift</w:t>
      </w:r>
      <w:r>
        <w:t xml:space="preserve"> </w:t>
      </w:r>
      <w:r>
        <w:t xml:space="preserve">elif current_state == "easing":</w:t>
      </w:r>
      <w:r>
        <w:t xml:space="preserve"> </w:t>
      </w:r>
      <w:r>
        <w:t xml:space="preserve">logits[STATE_INDEX["neutral"]] += 0.04 * risk_shift</w:t>
      </w:r>
    </w:p>
    <w:p>
      <w:pPr>
        <w:pStyle w:val="BodyText"/>
      </w:pPr>
      <w:r>
        <w:t xml:space="preserve"># </w:t>
      </w:r>
      <w:r>
        <w:rPr>
          <w:rFonts w:hint="eastAsia"/>
        </w:rPr>
        <w:t xml:space="preserve">后期缓和由恢复证据门控，而不是只由日期触发</w:t>
      </w:r>
      <w:r>
        <w:t xml:space="preserve"> </w:t>
      </w:r>
      <w:r>
        <w:t xml:space="preserve">recovery_gate = np.clip((recovery_evidence - 0.45) / 0.35, 0.0, 1.0)</w:t>
      </w:r>
      <w:r>
        <w:t xml:space="preserve"> </w:t>
      </w:r>
      <w:r>
        <w:t xml:space="preserve">stress_brake = np.clip(1.0 - 0.75 * physical_shift, 0.0, 1.0)</w:t>
      </w:r>
      <w:r>
        <w:t xml:space="preserve"> </w:t>
      </w:r>
      <w:r>
        <w:t xml:space="preserve">conditional_easing = 0.75 * recovery_gate * stress_brake</w:t>
      </w:r>
      <w:r>
        <w:t xml:space="preserve"> </w:t>
      </w:r>
      <w:r>
        <w:t xml:space="preserve">if day_index &gt;= 120:</w:t>
      </w:r>
      <w:r>
        <w:t xml:space="preserve"> </w:t>
      </w:r>
      <w:r>
        <w:t xml:space="preserve">logits[STATE_INDEX["easing"]] += 0.26 * conditional_easing</w:t>
      </w:r>
      <w:r>
        <w:t xml:space="preserve"> </w:t>
      </w:r>
      <w:r>
        <w:t xml:space="preserve">logits[STATE_INDEX["escalation"]] -= 0.24 * conditional_easing</w:t>
      </w:r>
      <w:r>
        <w:t xml:space="preserve"> </w:t>
      </w:r>
      <w:r>
        <w:t xml:space="preserve">if day_index &gt;= 150:</w:t>
      </w:r>
      <w:r>
        <w:t xml:space="preserve"> </w:t>
      </w:r>
      <w:r>
        <w:t xml:space="preserve">logits[STATE_INDEX["easing"]] += 0.18 * conditional_easing</w:t>
      </w:r>
      <w:r>
        <w:t xml:space="preserve"> </w:t>
      </w:r>
      <w:r>
        <w:t xml:space="preserve">logits[STATE_INDEX["neutral"]] -= 0.07 * conditional_easing</w:t>
      </w:r>
      <w:r>
        <w:t xml:space="preserve"> </w:t>
      </w:r>
      <w:r>
        <w:t xml:space="preserve">logits[STATE_INDEX["escalation"]] -= 0.11 * conditional_easing</w:t>
      </w:r>
    </w:p>
    <w:p>
      <w:pPr>
        <w:pStyle w:val="BodyText"/>
      </w:pPr>
      <w:r>
        <w:t xml:space="preserve">exp_values = np.exp(logits - np.max(logits))</w:t>
      </w:r>
      <w:r>
        <w:t xml:space="preserve"> </w:t>
      </w:r>
      <w:r>
        <w:t xml:space="preserve">return exp_values / exp_values.sum()</w:t>
      </w:r>
    </w:p>
    <w:p>
      <w:pPr>
        <w:pStyle w:val="BodyText"/>
      </w:pPr>
      <w:r>
        <w:rPr>
          <w:rFonts w:hint="eastAsia"/>
        </w:rPr>
        <w:t xml:space="preserve">代码</w:t>
      </w:r>
      <w:r>
        <w:t xml:space="preserve"> </w:t>
      </w:r>
      <w:hyperlink w:anchor="lst:state-transition-path">
        <w:r>
          <w:rPr>
            <w:rStyle w:val="Hyperlink"/>
          </w:rPr>
          <w:t xml:space="preserve">[lst:state-transition-path]</w:t>
        </w:r>
      </w:hyperlink>
      <w:r>
        <w:t xml:space="preserve"> </w:t>
      </w:r>
      <w:r>
        <w:rPr>
          <w:rFonts w:hint="eastAsia"/>
        </w:rPr>
        <w:t xml:space="preserve">展示状态转移路径的价格递推。每条样本路径先抽取下一期市场状态，再根据状态选择对应中心情景，并叠加历史波动率约束下的扰动和状态切换跳跃，由此得到长期条件区间和尾部风险。</w:t>
      </w:r>
    </w:p>
    <w:p>
      <w:pPr>
        <w:pStyle w:val="BodyText"/>
      </w:pPr>
      <w:r>
        <w:t xml:space="preserve">lst:state-transition-path</w:t>
      </w:r>
      <w:r>
        <w:t xml:space="preserve">python</w:t>
      </w:r>
      <w:r>
        <w:rPr>
          <w:rFonts w:hint="eastAsia"/>
        </w:rPr>
        <w:t xml:space="preserve">状态转移路径价格递推</w:t>
      </w:r>
      <w:r>
        <w:t xml:space="preserve"> </w:t>
      </w:r>
      <w:r>
        <w:t xml:space="preserve">def simulate_path(rng, sample_id, dates, center_price_lookup, start_price,</w:t>
      </w:r>
      <w:r>
        <w:t xml:space="preserve"> </w:t>
      </w:r>
      <w:r>
        <w:t xml:space="preserve">daily_sigma, transition_jump_sigma_scale, risk_constraints,</w:t>
      </w:r>
      <w:r>
        <w:t xml:space="preserve"> </w:t>
      </w:r>
      <w:r>
        <w:t xml:space="preserve">physical_pressure_lookup, recovery_evidence_lookup):</w:t>
      </w:r>
      <w:r>
        <w:t xml:space="preserve"> </w:t>
      </w:r>
      <w:r>
        <w:t xml:space="preserve">state = "neutral"</w:t>
      </w:r>
      <w:r>
        <w:t xml:space="preserve"> </w:t>
      </w:r>
      <w:r>
        <w:t xml:space="preserve">previous_price = start_price</w:t>
      </w:r>
      <w:r>
        <w:t xml:space="preserve"> </w:t>
      </w:r>
      <w:r>
        <w:t xml:space="preserve">previous_noise = 0.0</w:t>
      </w:r>
      <w:r>
        <w:t xml:space="preserve"> </w:t>
      </w:r>
      <w:r>
        <w:t xml:space="preserve">rows = []</w:t>
      </w:r>
    </w:p>
    <w:p>
      <w:pPr>
        <w:pStyle w:val="BodyText"/>
      </w:pPr>
      <w:r>
        <w:t xml:space="preserve">for _, base_row in dates.iterrows():</w:t>
      </w:r>
      <w:r>
        <w:t xml:space="preserve"> </w:t>
      </w:r>
      <w:r>
        <w:t xml:space="preserve">day_index = int(base_row["day_index"])</w:t>
      </w:r>
      <w:r>
        <w:t xml:space="preserve"> </w:t>
      </w:r>
      <w:r>
        <w:t xml:space="preserve">physical_pressure = physical_pressure_lookup.get(day_index, 0.0)</w:t>
      </w:r>
      <w:r>
        <w:t xml:space="preserve"> </w:t>
      </w:r>
      <w:r>
        <w:t xml:space="preserve">recovery_evidence = recovery_evidence_lookup.get(day_index, 0.0)</w:t>
      </w:r>
      <w:r>
        <w:t xml:space="preserve"> </w:t>
      </w:r>
      <w:r>
        <w:t xml:space="preserve">next_state = sample_next_state(rng, state, day_index, risk_constraints,</w:t>
      </w:r>
      <w:r>
        <w:t xml:space="preserve"> </w:t>
      </w:r>
      <w:r>
        <w:t xml:space="preserve">physical_pressure_lookup,</w:t>
      </w:r>
      <w:r>
        <w:t xml:space="preserve"> </w:t>
      </w:r>
      <w:r>
        <w:t xml:space="preserve">recovery_evidence_lookup)</w:t>
      </w:r>
      <w:r>
        <w:t xml:space="preserve"> </w:t>
      </w:r>
      <w:r>
        <w:t xml:space="preserve">spec = STATES[STATE_INDEX[next_state]]</w:t>
      </w:r>
      <w:r>
        <w:t xml:space="preserve"> </w:t>
      </w:r>
      <w:r>
        <w:t xml:space="preserve">target_price = center_price_lookup[spec.center_scenario][day_index]</w:t>
      </w:r>
    </w:p>
    <w:p>
      <w:pPr>
        <w:pStyle w:val="BodyText"/>
      </w:pPr>
      <w:r>
        <w:t xml:space="preserve">noise_scale = max(previous_price * daily_sigma</w:t>
      </w:r>
      <w:r>
        <w:t xml:space="preserve"> </w:t>
      </w:r>
      <w:r>
        <w:t xml:space="preserve">* spec.volatility_multiplier, 0.15)</w:t>
      </w:r>
      <w:r>
        <w:t xml:space="preserve"> </w:t>
      </w:r>
      <w:r>
        <w:t xml:space="preserve">innovation = rng.normal(0.0, noise_scale)</w:t>
      </w:r>
      <w:r>
        <w:t xml:space="preserve"> </w:t>
      </w:r>
      <w:r>
        <w:t xml:space="preserve">previous_noise = 0.30 * previous_noise + innovation</w:t>
      </w:r>
      <w:r>
        <w:t xml:space="preserve"> </w:t>
      </w:r>
      <w:r>
        <w:t xml:space="preserve">transition_jump = 0.0</w:t>
      </w:r>
      <w:r>
        <w:t xml:space="preserve"> </w:t>
      </w:r>
      <w:r>
        <w:t xml:space="preserve">if next_state != state:</w:t>
      </w:r>
      <w:r>
        <w:t xml:space="preserve"> </w:t>
      </w:r>
      <w:r>
        <w:t xml:space="preserve">transition_jump = rng.normal(spec.transition_jump_mean,</w:t>
      </w:r>
      <w:r>
        <w:t xml:space="preserve"> </w:t>
      </w:r>
      <w:r>
        <w:t xml:space="preserve">spec.transition_jump_sigma</w:t>
      </w:r>
      <w:r>
        <w:t xml:space="preserve"> </w:t>
      </w:r>
      <w:r>
        <w:t xml:space="preserve">* transition_jump_sigma_scale)</w:t>
      </w:r>
    </w:p>
    <w:p>
      <w:pPr>
        <w:pStyle w:val="BodyText"/>
      </w:pPr>
      <w:r>
        <w:t xml:space="preserve">price = 0.82 * previous_price + 0.18 * target_price</w:t>
      </w:r>
      <w:r>
        <w:t xml:space="preserve"> </w:t>
      </w:r>
      <w:r>
        <w:t xml:space="preserve">price = np.clip(price + previous_noise + transition_jump, 70.0, 145.0)</w:t>
      </w:r>
      <w:r>
        <w:t xml:space="preserve"> </w:t>
      </w:r>
      <w:r>
        <w:t xml:space="preserve">rows.append(</w:t>
      </w:r>
      <w:r>
        <w:t xml:space="preserve">"sample_id": sample_id, "day_index": day_index,</w:t>
      </w:r>
      <w:r>
        <w:t xml:space="preserve"> </w:t>
      </w:r>
      <w:r>
        <w:t xml:space="preserve">"trade_date": base_row["trade_date"], </w:t>
      </w:r>
      <w:r>
        <w:rPr>
          <w:rFonts w:hint="eastAsia"/>
        </w:rPr>
        <w:t xml:space="preserve">"状态":</w:t>
      </w:r>
      <w:r>
        <w:t xml:space="preserve"> spec.label,</w:t>
      </w:r>
      <w:r>
        <w:t xml:space="preserve"> </w:t>
      </w:r>
      <w:r>
        <w:t xml:space="preserve">"forecast_price": price</w:t>
      </w:r>
      <w:r>
        <w:t xml:space="preserve">)</w:t>
      </w:r>
      <w:r>
        <w:t xml:space="preserve"> </w:t>
      </w:r>
      <w:r>
        <w:t xml:space="preserve">state = next_state</w:t>
      </w:r>
      <w:r>
        <w:t xml:space="preserve"> </w:t>
      </w:r>
      <w:r>
        <w:t xml:space="preserve">previous_price = price</w:t>
      </w:r>
    </w:p>
    <w:p>
      <w:pPr>
        <w:pStyle w:val="BodyText"/>
      </w:pPr>
      <w:r>
        <w:t xml:space="preserve">return pd.DataFrame(rows)</w:t>
      </w:r>
    </w:p>
    <w:bookmarkEnd w:id="104"/>
    <w:bookmarkStart w:id="105" w:name="g-蒙特卡洛情景预测"/>
    <w:p>
      <w:pPr>
        <w:pStyle w:val="Heading2"/>
      </w:pPr>
      <w:r>
        <w:t xml:space="preserve">G </w:t>
      </w:r>
      <w:r>
        <w:rPr>
          <w:rFonts w:hint="eastAsia"/>
        </w:rPr>
        <w:t xml:space="preserve">蒙特卡洛情景预测</w:t>
      </w:r>
    </w:p>
    <w:p>
      <w:pPr>
        <w:pStyle w:val="FirstParagraph"/>
      </w:pPr>
      <w:r>
        <w:rPr>
          <w:rFonts w:hint="eastAsia"/>
        </w:rPr>
        <w:t xml:space="preserve">代码</w:t>
      </w:r>
      <w:r>
        <w:t xml:space="preserve"> </w:t>
      </w:r>
      <w:hyperlink w:anchor="lst:monte-carlo">
        <w:r>
          <w:rPr>
            <w:rStyle w:val="Hyperlink"/>
          </w:rPr>
          <w:t xml:space="preserve">[lst:monte-carlo]</w:t>
        </w:r>
      </w:hyperlink>
      <w:r>
        <w:t xml:space="preserve"> </w:t>
      </w:r>
      <w:r>
        <w:rPr>
          <w:rFonts w:hint="eastAsia"/>
        </w:rPr>
        <w:t xml:space="preserve">展示长期蒙特卡洛情景树的核心思想。模型以压力指数为主轴，同时扰动供应中断、SPR</w:t>
      </w:r>
      <w:r>
        <w:t xml:space="preserve"> </w:t>
      </w:r>
      <w:r>
        <w:rPr>
          <w:rFonts w:hint="eastAsia"/>
        </w:rPr>
        <w:t xml:space="preserve">释放、绕道能力、需求弹性、风险权重和不确定性溢价，由此得到长期价格区间和尾部风险概率。</w:t>
      </w:r>
    </w:p>
    <w:p>
      <w:pPr>
        <w:pStyle w:val="BodyText"/>
      </w:pPr>
      <w:r>
        <w:t xml:space="preserve">lst:monte-carlo</w:t>
      </w:r>
      <w:r>
        <w:t xml:space="preserve">python</w:t>
      </w:r>
      <w:r>
        <w:rPr>
          <w:rFonts w:hint="eastAsia"/>
        </w:rPr>
        <w:t xml:space="preserve">蒙特卡洛情景树参数抽样</w:t>
      </w:r>
      <w:r>
        <w:t xml:space="preserve"> </w:t>
      </w:r>
      <w:r>
        <w:t xml:space="preserve">def sample_parameters(rng, base_assumptions, base_behavior, historical_factors):</w:t>
      </w:r>
      <w:r>
        <w:t xml:space="preserve"> </w:t>
      </w:r>
      <w:r>
        <w:t xml:space="preserve">raw_stress = float(rng.beta(2.1, 2.3))</w:t>
      </w:r>
      <w:r>
        <w:t xml:space="preserve"> </w:t>
      </w:r>
      <w:r>
        <w:t xml:space="preserve">stress = float(np.clip(raw_stress + rng.normal(</w:t>
      </w:r>
      <w:r>
        <w:t xml:space="preserve"> </w:t>
      </w:r>
      <w:r>
        <w:t xml:space="preserve">0.0, historical_factors.monte_carlo_stress_noise_sigma), 0.0, 1.0))</w:t>
      </w:r>
    </w:p>
    <w:p>
      <w:pPr>
        <w:pStyle w:val="BodyText"/>
      </w:pPr>
      <w:r>
        <w:t xml:space="preserve">supply_interruption = np.clip(1400 + 400 * stress + rng.normal(0, 35), 1400, 1800)</w:t>
      </w:r>
      <w:r>
        <w:t xml:space="preserve"> </w:t>
      </w:r>
      <w:r>
        <w:t xml:space="preserve">spr_max_release = np.clip(700 - 500 * (stress ** 1.08) + rng.normal(0, 30), 200, 700)</w:t>
      </w:r>
      <w:r>
        <w:t xml:space="preserve"> </w:t>
      </w:r>
      <w:r>
        <w:t xml:space="preserve">route_max_capacity = np.clip(360 - 210 * stress + rng.normal(0, 22), 150, 420)</w:t>
      </w:r>
      <w:r>
        <w:t xml:space="preserve"> </w:t>
      </w:r>
      <w:r>
        <w:t xml:space="preserve">long_elasticity = np.clip(-0.35 + 0.25 * stress + rng.normal(0, 0.018),</w:t>
      </w:r>
      <w:r>
        <w:t xml:space="preserve"> </w:t>
      </w:r>
      <w:r>
        <w:t xml:space="preserve">-0.35, -0.10)</w:t>
      </w:r>
    </w:p>
    <w:p>
      <w:pPr>
        <w:pStyle w:val="BodyText"/>
      </w:pPr>
      <w:r>
        <w:t xml:space="preserve">risk_weight = np.clip(base_behavior.risk_weight * (0.74 + 0.62 * stress</w:t>
      </w:r>
      <w:r>
        <w:t xml:space="preserve"> </w:t>
      </w:r>
      <w:r>
        <w:t xml:space="preserve">+ rng.normal(0, 0.06)),</w:t>
      </w:r>
      <w:r>
        <w:t xml:space="preserve"> </w:t>
      </w:r>
      <w:r>
        <w:t xml:space="preserve">1.65, 3.35)</w:t>
      </w:r>
      <w:r>
        <w:t xml:space="preserve"> </w:t>
      </w:r>
      <w:r>
        <w:t xml:space="preserve">uncertainty_scale = 0.64 + 0.78 * stress + rng.normal(0, 0.06)</w:t>
      </w:r>
      <w:r>
        <w:t xml:space="preserve"> </w:t>
      </w:r>
      <w:r>
        <w:t xml:space="preserve">uncertainty_floor = np.clip(base_behavior.uncertainty_floor * uncertainty_scale,</w:t>
      </w:r>
      <w:r>
        <w:t xml:space="preserve"> </w:t>
      </w:r>
      <w:r>
        <w:t xml:space="preserve">0.13, 0.36)</w:t>
      </w:r>
    </w:p>
    <w:p>
      <w:pPr>
        <w:pStyle w:val="BodyText"/>
      </w:pPr>
      <w:r>
        <w:t xml:space="preserve">assumptions = replace(base_assumptions,</w:t>
      </w:r>
      <w:r>
        <w:t xml:space="preserve"> </w:t>
      </w:r>
      <w:r>
        <w:t xml:space="preserve">supply_interruption=supply_interruption,</w:t>
      </w:r>
      <w:r>
        <w:t xml:space="preserve"> </w:t>
      </w:r>
      <w:r>
        <w:t xml:space="preserve">spr_max_release=spr_max_release,</w:t>
      </w:r>
      <w:r>
        <w:t xml:space="preserve"> </w:t>
      </w:r>
      <w:r>
        <w:t xml:space="preserve">route_max_capacity=route_max_capacity,</w:t>
      </w:r>
      <w:r>
        <w:t xml:space="preserve"> </w:t>
      </w:r>
      <w:r>
        <w:t xml:space="preserve">long_elasticity=long_elasticity)</w:t>
      </w:r>
      <w:r>
        <w:t xml:space="preserve"> </w:t>
      </w:r>
      <w:r>
        <w:t xml:space="preserve">behavior = replace(base_behavior,</w:t>
      </w:r>
      <w:r>
        <w:t xml:space="preserve"> </w:t>
      </w:r>
      <w:r>
        <w:t xml:space="preserve">risk_weight=risk_weight,</w:t>
      </w:r>
      <w:r>
        <w:t xml:space="preserve"> </w:t>
      </w:r>
      <w:r>
        <w:t xml:space="preserve">uncertainty_floor=uncertainty_floor)</w:t>
      </w:r>
      <w:r>
        <w:t xml:space="preserve"> </w:t>
      </w:r>
      <w:r>
        <w:t xml:space="preserve">return assumptions, behavior,</w:t>
      </w:r>
      <w:r>
        <w:t xml:space="preserve"> </w:t>
      </w:r>
      <w:r>
        <w:t xml:space="preserve">"stress_index": stress</w:t>
      </w:r>
    </w:p>
    <w:p>
      <w:pPr>
        <w:pStyle w:val="BodyText"/>
      </w:pPr>
      <w:r>
        <w:t xml:space="preserve">def run_monte_carlo(n_samples):</w:t>
      </w:r>
      <w:r>
        <w:t xml:space="preserve"> </w:t>
      </w:r>
      <w:r>
        <w:t xml:space="preserve">forecast_frame, prefix, base_assumptions, base_behavior = load_baseline()</w:t>
      </w:r>
      <w:r>
        <w:t xml:space="preserve"> </w:t>
      </w:r>
      <w:r>
        <w:t xml:space="preserve">historical_factors = load_historical_model_factors()</w:t>
      </w:r>
      <w:r>
        <w:t xml:space="preserve"> </w:t>
      </w:r>
      <w:r>
        <w:t xml:space="preserve">rng = np.random.default_rng(RANDOM_SEED)</w:t>
      </w:r>
      <w:r>
        <w:t xml:space="preserve"> </w:t>
      </w:r>
      <w:r>
        <w:t xml:space="preserve">paths, metric_rows = [], []</w:t>
      </w:r>
    </w:p>
    <w:p>
      <w:pPr>
        <w:pStyle w:val="BodyText"/>
      </w:pPr>
      <w:r>
        <w:t xml:space="preserve">for sample_id in range(1, n_samples + 1):</w:t>
      </w:r>
      <w:r>
        <w:t xml:space="preserve"> </w:t>
      </w:r>
      <w:r>
        <w:t xml:space="preserve">assumptions, behavior, meta = sample_parameters(</w:t>
      </w:r>
      <w:r>
        <w:t xml:space="preserve"> </w:t>
      </w:r>
      <w:r>
        <w:t xml:space="preserve">rng, base_assumptions, base_behavior, historical_factors)</w:t>
      </w:r>
      <w:r>
        <w:t xml:space="preserve"> </w:t>
      </w:r>
      <w:r>
        <w:t xml:space="preserve">path = simulate_one_sample(forecast_frame, prefix, assumptions, behavior)</w:t>
      </w:r>
      <w:r>
        <w:t xml:space="preserve"> </w:t>
      </w:r>
      <w:r>
        <w:t xml:space="preserve">paths.append(path)</w:t>
      </w:r>
      <w:r>
        <w:t xml:space="preserve"> </w:t>
      </w:r>
      <w:r>
        <w:t xml:space="preserve">metric_rows.append(summarize_sample(path, prefix, meta))</w:t>
      </w:r>
    </w:p>
    <w:p>
      <w:pPr>
        <w:pStyle w:val="BodyText"/>
      </w:pPr>
      <w:r>
        <w:t xml:space="preserve">metrics = pd.DataFrame(metric_rows)</w:t>
      </w:r>
      <w:r>
        <w:t xml:space="preserve"> </w:t>
      </w:r>
      <w:r>
        <w:t xml:space="preserve">return metrics, build_quantiles(paths), build_tail_risk(metrics)</w:t>
      </w:r>
    </w:p>
    <w:bookmarkEnd w:id="105"/>
    <w:bookmarkStart w:id="106" w:name="h-机制消融与统计检验"/>
    <w:p>
      <w:pPr>
        <w:pStyle w:val="Heading2"/>
      </w:pPr>
      <w:r>
        <w:t xml:space="preserve">H </w:t>
      </w:r>
      <w:r>
        <w:rPr>
          <w:rFonts w:hint="eastAsia"/>
        </w:rPr>
        <w:t xml:space="preserve">机制消融与统计检验</w:t>
      </w:r>
    </w:p>
    <w:p>
      <w:pPr>
        <w:pStyle w:val="FirstParagraph"/>
      </w:pPr>
      <w:r>
        <w:rPr>
          <w:rFonts w:hint="eastAsia"/>
        </w:rPr>
        <w:t xml:space="preserve">代码</w:t>
      </w:r>
      <w:r>
        <w:t xml:space="preserve"> </w:t>
      </w:r>
      <w:hyperlink w:anchor="lst:ablation">
        <w:r>
          <w:rPr>
            <w:rStyle w:val="Hyperlink"/>
          </w:rPr>
          <w:t xml:space="preserve">[lst:ablation]</w:t>
        </w:r>
      </w:hyperlink>
      <w:r>
        <w:t xml:space="preserve"> </w:t>
      </w:r>
      <w:r>
        <w:rPr>
          <w:rFonts w:hint="eastAsia"/>
        </w:rPr>
        <w:t xml:space="preserve">用于逐项关闭模型机制，检验主结论是否依赖某一个单独设定。</w:t>
      </w:r>
    </w:p>
    <w:p>
      <w:pPr>
        <w:pStyle w:val="BodyText"/>
      </w:pPr>
      <w:r>
        <w:t xml:space="preserve">lst:ablation</w:t>
      </w:r>
      <w:r>
        <w:t xml:space="preserve">python</w:t>
      </w:r>
      <w:r>
        <w:rPr>
          <w:rFonts w:hint="eastAsia"/>
        </w:rPr>
        <w:t xml:space="preserve">机制消融实验设计</w:t>
      </w:r>
      <w:r>
        <w:t xml:space="preserve"> </w:t>
      </w:r>
      <w:r>
        <w:t xml:space="preserve">VARIANTS = [</w:t>
      </w:r>
      <w:r>
        <w:t xml:space="preserve"> </w:t>
      </w:r>
      <w:r>
        <w:rPr>
          <w:rFonts w:hint="eastAsia"/>
        </w:rPr>
        <w:t xml:space="preserve">("完整统一模型",</w:t>
      </w:r>
      <w:r>
        <w:t xml:space="preserve"> </w:t>
      </w:r>
      <w:r>
        <w:rPr>
          <w:rFonts w:hint="eastAsia"/>
        </w:rPr>
        <w:t xml:space="preserve">"题面物理机制</w:t>
      </w:r>
      <w:r>
        <w:t xml:space="preserve"> + </w:t>
      </w:r>
      <w:r>
        <w:rPr>
          <w:rFonts w:hint="eastAsia"/>
        </w:rPr>
        <w:t xml:space="preserve">市场价格形成机制",</w:t>
      </w:r>
      <w:r>
        <w:t xml:space="preserve"> base_variant),</w:t>
      </w:r>
      <w:r>
        <w:t xml:space="preserve"> </w:t>
      </w:r>
      <w:r>
        <w:rPr>
          <w:rFonts w:hint="eastAsia"/>
        </w:rPr>
        <w:t xml:space="preserve">("去除SPR释放",</w:t>
      </w:r>
      <w:r>
        <w:t xml:space="preserve"> </w:t>
      </w:r>
      <w:r>
        <w:rPr>
          <w:rFonts w:hint="eastAsia"/>
        </w:rPr>
        <w:t xml:space="preserve">"关闭战略石油储备释放",</w:t>
      </w:r>
      <w:r>
        <w:t xml:space="preserve"> no_spr),</w:t>
      </w:r>
      <w:r>
        <w:t xml:space="preserve"> </w:t>
      </w:r>
      <w:r>
        <w:rPr>
          <w:rFonts w:hint="eastAsia"/>
        </w:rPr>
        <w:t xml:space="preserve">("去除商业库存缓冲",</w:t>
      </w:r>
      <w:r>
        <w:t xml:space="preserve"> </w:t>
      </w:r>
      <w:r>
        <w:rPr>
          <w:rFonts w:hint="eastAsia"/>
        </w:rPr>
        <w:t xml:space="preserve">"关闭库存吸收缺口能力",</w:t>
      </w:r>
      <w:r>
        <w:t xml:space="preserve"> no_inventory),</w:t>
      </w:r>
      <w:r>
        <w:t xml:space="preserve"> </w:t>
      </w:r>
      <w:r>
        <w:rPr>
          <w:rFonts w:hint="eastAsia"/>
        </w:rPr>
        <w:t xml:space="preserve">("去除绕道运输",</w:t>
      </w:r>
      <w:r>
        <w:t xml:space="preserve"> </w:t>
      </w:r>
      <w:r>
        <w:rPr>
          <w:rFonts w:hint="eastAsia"/>
        </w:rPr>
        <w:t xml:space="preserve">"关闭绕道运输恢复能力",</w:t>
      </w:r>
      <w:r>
        <w:t xml:space="preserve"> no_reroute),</w:t>
      </w:r>
      <w:r>
        <w:t xml:space="preserve"> </w:t>
      </w:r>
      <w:r>
        <w:rPr>
          <w:rFonts w:hint="eastAsia"/>
        </w:rPr>
        <w:t xml:space="preserve">("去除需求收缩",</w:t>
      </w:r>
      <w:r>
        <w:t xml:space="preserve"> </w:t>
      </w:r>
      <w:r>
        <w:rPr>
          <w:rFonts w:hint="eastAsia"/>
        </w:rPr>
        <w:t xml:space="preserve">"关闭高油价需求下降",</w:t>
      </w:r>
      <w:r>
        <w:t xml:space="preserve"> no_demand_contraction),</w:t>
      </w:r>
      <w:r>
        <w:t xml:space="preserve"> </w:t>
      </w:r>
      <w:r>
        <w:rPr>
          <w:rFonts w:hint="eastAsia"/>
        </w:rPr>
        <w:t xml:space="preserve">("去除风险与不确定性溢价",</w:t>
      </w:r>
      <w:r>
        <w:t xml:space="preserve"> </w:t>
      </w:r>
      <w:r>
        <w:rPr>
          <w:rFonts w:hint="eastAsia"/>
        </w:rPr>
        <w:t xml:space="preserve">"关闭地缘风险和不确定性平台",</w:t>
      </w:r>
      <w:r>
        <w:t xml:space="preserve"> no_risk_uncertainty),</w:t>
      </w:r>
      <w:r>
        <w:t xml:space="preserve"> </w:t>
      </w:r>
      <w:r>
        <w:rPr>
          <w:rFonts w:hint="eastAsia"/>
        </w:rPr>
        <w:t xml:space="preserve">("去除缓冲确认折价",</w:t>
      </w:r>
      <w:r>
        <w:t xml:space="preserve"> </w:t>
      </w:r>
      <w:r>
        <w:rPr>
          <w:rFonts w:hint="eastAsia"/>
        </w:rPr>
        <w:t xml:space="preserve">"关闭市场确认缓冲后的降温",</w:t>
      </w:r>
      <w:r>
        <w:t xml:space="preserve"> no_buffer_confirmation),</w:t>
      </w:r>
      <w:r>
        <w:t xml:space="preserve"> </w:t>
      </w:r>
      <w:r>
        <w:rPr>
          <w:rFonts w:hint="eastAsia"/>
        </w:rPr>
        <w:t xml:space="preserve">("去除预期修复折价",</w:t>
      </w:r>
      <w:r>
        <w:t xml:space="preserve"> </w:t>
      </w:r>
      <w:r>
        <w:rPr>
          <w:rFonts w:hint="eastAsia"/>
        </w:rPr>
        <w:t xml:space="preserve">"关闭中后期预期修复再定价",</w:t>
      </w:r>
      <w:r>
        <w:t xml:space="preserve"> no_expectation_relief),</w:t>
      </w:r>
      <w:r>
        <w:t xml:space="preserve"> </w:t>
      </w:r>
      <w:r>
        <w:t xml:space="preserve">]</w:t>
      </w:r>
    </w:p>
    <w:p>
      <w:pPr>
        <w:pStyle w:val="BodyText"/>
      </w:pPr>
      <w:r>
        <w:t xml:space="preserve">def run_ablation(event_df, base_assumptions, base_behavior):</w:t>
      </w:r>
      <w:r>
        <w:t xml:space="preserve"> </w:t>
      </w:r>
      <w:r>
        <w:t xml:space="preserve">rows = []</w:t>
      </w:r>
      <w:r>
        <w:t xml:space="preserve"> </w:t>
      </w:r>
      <w:r>
        <w:t xml:space="preserve">for name, note, variant_fn in VARIANTS:</w:t>
      </w:r>
      <w:r>
        <w:t xml:space="preserve"> </w:t>
      </w:r>
      <w:r>
        <w:t xml:space="preserve">assumptions, behavior = variant_fn(base_assumptions, base_behavior)</w:t>
      </w:r>
      <w:r>
        <w:t xml:space="preserve"> </w:t>
      </w:r>
      <w:r>
        <w:t xml:space="preserve">simulation = dynamic.simulate_dynamic_model(event_df, assumptions, behavior)</w:t>
      </w:r>
      <w:r>
        <w:t xml:space="preserve"> </w:t>
      </w:r>
      <w:r>
        <w:t xml:space="preserve">metrics = evaluate_simulation(simulation)</w:t>
      </w:r>
      <w:r>
        <w:t xml:space="preserve"> </w:t>
      </w:r>
      <w:r>
        <w:t xml:space="preserve">rows.append(</w:t>
      </w:r>
      <w:r>
        <w:t xml:space="preserve"> </w:t>
      </w:r>
      <w:r>
        <w:rPr>
          <w:rFonts w:hint="eastAsia"/>
        </w:rPr>
        <w:t xml:space="preserve">"消融实验":</w:t>
      </w:r>
      <w:r>
        <w:t xml:space="preserve"> name,</w:t>
      </w:r>
      <w:r>
        <w:t xml:space="preserve"> </w:t>
      </w:r>
      <w:r>
        <w:rPr>
          <w:rFonts w:hint="eastAsia"/>
        </w:rPr>
        <w:t xml:space="preserve">"说明":</w:t>
      </w:r>
      <w:r>
        <w:t xml:space="preserve"> note,</w:t>
      </w:r>
      <w:r>
        <w:t xml:space="preserve"> </w:t>
      </w:r>
      <w:r>
        <w:t xml:space="preserve">"RMSE": metrics["RMSE"],</w:t>
      </w:r>
      <w:r>
        <w:t xml:space="preserve"> </w:t>
      </w:r>
      <w:r>
        <w:t xml:space="preserve">"MAE": metrics["MAE"],</w:t>
      </w:r>
      <w:r>
        <w:t xml:space="preserve"> </w:t>
      </w:r>
      <w:r>
        <w:rPr>
          <w:rFonts w:hint="eastAsia"/>
        </w:rPr>
        <w:t xml:space="preserve">"峰值误差":</w:t>
      </w:r>
      <w:r>
        <w:t xml:space="preserve"> </w:t>
      </w:r>
      <w:r>
        <w:rPr>
          <w:rFonts w:hint="eastAsia"/>
        </w:rPr>
        <w:t xml:space="preserve">metrics["峰值误差"],</w:t>
      </w:r>
      <w:r>
        <w:t xml:space="preserve"> </w:t>
      </w:r>
      <w:r>
        <w:t xml:space="preserve">)</w:t>
      </w:r>
      <w:r>
        <w:t xml:space="preserve"> </w:t>
      </w:r>
      <w:r>
        <w:t xml:space="preserve">return pd.DataFrame(rows)</w:t>
      </w:r>
    </w:p>
    <w:bookmarkEnd w:id="106"/>
    <w:bookmarkStart w:id="107" w:name="i-独立计量检验补充"/>
    <w:p>
      <w:pPr>
        <w:pStyle w:val="Heading2"/>
      </w:pPr>
      <w:r>
        <w:t xml:space="preserve">I </w:t>
      </w:r>
      <w:r>
        <w:rPr>
          <w:rFonts w:hint="eastAsia"/>
        </w:rPr>
        <w:t xml:space="preserve">独立计量检验补充</w:t>
      </w:r>
    </w:p>
    <w:p>
      <w:pPr>
        <w:pStyle w:val="FirstParagraph"/>
      </w:pPr>
      <w:r>
        <w:rPr>
          <w:rFonts w:hint="eastAsia"/>
        </w:rPr>
        <w:t xml:space="preserve">代码</w:t>
      </w:r>
      <w:r>
        <w:t xml:space="preserve"> </w:t>
      </w:r>
      <w:hyperlink w:anchor="lst:r-audit">
        <w:r>
          <w:rPr>
            <w:rStyle w:val="Hyperlink"/>
          </w:rPr>
          <w:t xml:space="preserve">[lst:r-audit]</w:t>
        </w:r>
      </w:hyperlink>
      <w:r>
        <w:t xml:space="preserve"> </w:t>
      </w:r>
      <w:r>
        <w:rPr>
          <w:rFonts w:hint="eastAsia"/>
        </w:rPr>
        <w:t xml:space="preserve">给出</w:t>
      </w:r>
      <w:r>
        <w:t xml:space="preserve"> R </w:t>
      </w:r>
      <w:r>
        <w:rPr>
          <w:rFonts w:hint="eastAsia"/>
        </w:rPr>
        <w:t xml:space="preserve">语言独立计量检验的核心逻辑。Python</w:t>
      </w:r>
      <w:r>
        <w:t xml:space="preserve"> </w:t>
      </w:r>
      <w:r>
        <w:rPr>
          <w:rFonts w:hint="eastAsia"/>
        </w:rPr>
        <w:t xml:space="preserve">负责机制递推和情景生成，R</w:t>
      </w:r>
      <w:r>
        <w:t xml:space="preserve"> </w:t>
      </w:r>
      <w:r>
        <w:rPr>
          <w:rFonts w:hint="eastAsia"/>
        </w:rPr>
        <w:t xml:space="preserve">侧用于复核主模型相对朴素基准的误差优势、残差相关性和稳健标准误结果，从而降低单一实现口径带来的偏差风险。</w:t>
      </w:r>
    </w:p>
    <w:p>
      <w:pPr>
        <w:pStyle w:val="BodyText"/>
      </w:pPr>
      <w:r>
        <w:t xml:space="preserve">lst:r-audit</w:t>
      </w:r>
      <w:r>
        <w:t xml:space="preserve">r</w:t>
      </w:r>
      <w:r>
        <w:t xml:space="preserve">R </w:t>
      </w:r>
      <w:r>
        <w:rPr>
          <w:rFonts w:hint="eastAsia"/>
        </w:rPr>
        <w:t xml:space="preserve">语言计量审计核心代码</w:t>
      </w:r>
      <w:r>
        <w:t xml:space="preserve"> </w:t>
      </w:r>
      <w:r>
        <w:t xml:space="preserve">model_df &lt;- read_csv(calibrated_path, show_col_types = FALSE)</w:t>
      </w:r>
      <w:r>
        <w:t xml:space="preserve"> </w:t>
      </w:r>
      <w:r>
        <w:t xml:space="preserve">arrange(trade_date)</w:t>
      </w:r>
      <w:r>
        <w:t xml:space="preserve"> </w:t>
      </w:r>
      <w:r>
        <w:t xml:space="preserve">mutate(</w:t>
      </w:r>
      <w:r>
        <w:t xml:space="preserve"> </w:t>
      </w:r>
      <w:r>
        <w:t xml:space="preserve">naive_forecast = lag(actual_price),</w:t>
      </w:r>
      <w:r>
        <w:t xml:space="preserve"> </w:t>
      </w:r>
      <w:r>
        <w:t xml:space="preserve">model_error = simulated_price - actual_price,</w:t>
      </w:r>
      <w:r>
        <w:t xml:space="preserve"> </w:t>
      </w:r>
      <w:r>
        <w:t xml:space="preserve">naive_error = naive_forecast - actual_price</w:t>
      </w:r>
      <w:r>
        <w:t xml:space="preserve"> </w:t>
      </w:r>
      <w:r>
        <w:t xml:space="preserve">)</w:t>
      </w:r>
      <w:r>
        <w:t xml:space="preserve"> </w:t>
      </w:r>
      <w:r>
        <w:t xml:space="preserve">filter(!is.na(naive_forecast))</w:t>
      </w:r>
    </w:p>
    <w:p>
      <w:pPr>
        <w:pStyle w:val="BodyText"/>
      </w:pPr>
      <w:r>
        <w:t xml:space="preserve">model_error &lt;- model_df</w:t>
      </w:r>
      <m:oMath>
        <m:r>
          <m:t>m</m:t>
        </m:r>
        <m:r>
          <m:t>o</m:t>
        </m:r>
        <m:r>
          <m:t>d</m:t>
        </m:r>
        <m:r>
          <m:t>e</m:t>
        </m:r>
        <m:sSub>
          <m:e>
            <m:r>
              <m:t>l</m:t>
            </m:r>
          </m:e>
          <m:sub>
            <m:r>
              <m:t>e</m:t>
            </m:r>
          </m:sub>
        </m:sSub>
        <m:r>
          <m:t>r</m:t>
        </m:r>
        <m:r>
          <m:t>r</m:t>
        </m:r>
        <m:r>
          <m:t>o</m:t>
        </m:r>
        <m:r>
          <m:t>r</m:t>
        </m:r>
        <m:r>
          <m:t>n</m:t>
        </m:r>
        <m:r>
          <m:t>a</m:t>
        </m:r>
        <m:r>
          <m:t>i</m:t>
        </m:r>
        <m:r>
          <m:t>v</m:t>
        </m:r>
        <m:sSub>
          <m:e>
            <m:r>
              <m:t>e</m:t>
            </m:r>
          </m:e>
          <m:sub>
            <m:r>
              <m:t>e</m:t>
            </m:r>
          </m:sub>
        </m:sSub>
        <m:r>
          <m:t>r</m:t>
        </m:r>
        <m:r>
          <m:t>r</m:t>
        </m:r>
        <m:r>
          <m:t>o</m:t>
        </m:r>
        <m:r>
          <m:t>r</m:t>
        </m:r>
        <m:r>
          <m:rPr>
            <m:sty m:val="p"/>
          </m:rPr>
          <m:t>&lt;</m:t>
        </m:r>
        <m:r>
          <m:rPr>
            <m:sty m:val="p"/>
          </m:rPr>
          <m:t>−</m:t>
        </m:r>
        <m:r>
          <m:t>m</m:t>
        </m:r>
        <m:r>
          <m:t>o</m:t>
        </m:r>
        <m:r>
          <m:t>d</m:t>
        </m:r>
        <m:r>
          <m:t>e</m:t>
        </m:r>
        <m:sSub>
          <m:e>
            <m:r>
              <m:t>l</m:t>
            </m:r>
          </m:e>
          <m:sub>
            <m:r>
              <m:t>d</m:t>
            </m:r>
          </m:sub>
        </m:sSub>
        <m:r>
          <m:t>f</m:t>
        </m:r>
      </m:oMath>
      <w:r>
        <w:t xml:space="preserve">naive_error</w:t>
      </w:r>
    </w:p>
    <w:p>
      <w:pPr>
        <w:pStyle w:val="BodyText"/>
      </w:pPr>
      <w:r>
        <w:t xml:space="preserve"># Diebold-Mariano </w:t>
      </w:r>
      <w:r>
        <w:rPr>
          <w:rFonts w:hint="eastAsia"/>
        </w:rPr>
        <w:t xml:space="preserve">检验：模型损失是否显著低于朴素上一日基准</w:t>
      </w:r>
      <w:r>
        <w:t xml:space="preserve"> </w:t>
      </w:r>
      <w:r>
        <w:t xml:space="preserve">dm_sq &lt;- forecast::dm.test(model_error, naive_error,</w:t>
      </w:r>
      <w:r>
        <w:t xml:space="preserve"> </w:t>
      </w:r>
      <w:r>
        <w:t xml:space="preserve">alternative = "less", h = 1, power = 2)</w:t>
      </w:r>
      <w:r>
        <w:t xml:space="preserve"> </w:t>
      </w:r>
      <w:r>
        <w:t xml:space="preserve">dm_abs &lt;- forecast::dm.test(model_error, naive_error,</w:t>
      </w:r>
      <w:r>
        <w:t xml:space="preserve"> </w:t>
      </w:r>
      <w:r>
        <w:t xml:space="preserve">alternative = "less", h = 1, power = 1)</w:t>
      </w:r>
    </w:p>
    <w:p>
      <w:pPr>
        <w:pStyle w:val="BodyText"/>
      </w:pPr>
      <w:r>
        <w:t xml:space="preserve"># </w:t>
      </w:r>
      <w:r>
        <w:rPr>
          <w:rFonts w:hint="eastAsia"/>
        </w:rPr>
        <w:t xml:space="preserve">校准回归与</w:t>
      </w:r>
      <w:r>
        <w:t xml:space="preserve"> Newey-West </w:t>
      </w:r>
      <w:r>
        <w:rPr>
          <w:rFonts w:hint="eastAsia"/>
        </w:rPr>
        <w:t xml:space="preserve">稳健标准误</w:t>
      </w:r>
      <w:r>
        <w:t xml:space="preserve"> </w:t>
      </w:r>
      <w:r>
        <w:t xml:space="preserve">calibration_lm &lt;- lm(actual_price   simulated_price, data = model_df)</w:t>
      </w:r>
      <w:r>
        <w:t xml:space="preserve"> </w:t>
      </w:r>
      <w:r>
        <w:t xml:space="preserve">calibration_hac &lt;- lmtest::coeftest(</w:t>
      </w:r>
      <w:r>
        <w:t xml:space="preserve"> </w:t>
      </w:r>
      <w:r>
        <w:t xml:space="preserve">calibration_lm,</w:t>
      </w:r>
      <w:r>
        <w:t xml:space="preserve"> </w:t>
      </w:r>
      <w:r>
        <w:t xml:space="preserve">vcov. = sandwich::NeweyWest(calibration_lm, lag = 3,</w:t>
      </w:r>
      <w:r>
        <w:t xml:space="preserve"> </w:t>
      </w:r>
      <w:r>
        <w:t xml:space="preserve">prewhite = FALSE, adjust = TRUE)</w:t>
      </w:r>
      <w:r>
        <w:t xml:space="preserve"> </w:t>
      </w:r>
      <w:r>
        <w:t xml:space="preserve">)</w:t>
      </w:r>
    </w:p>
    <w:p>
      <w:pPr>
        <w:pStyle w:val="BodyText"/>
      </w:pPr>
      <w:r>
        <w:t xml:space="preserve"># </w:t>
      </w:r>
      <w:r>
        <w:rPr>
          <w:rFonts w:hint="eastAsia"/>
        </w:rPr>
        <w:t xml:space="preserve">残差自相关、条件异方差和波动聚集检验</w:t>
      </w:r>
      <w:r>
        <w:t xml:space="preserve"> </w:t>
      </w:r>
      <w:r>
        <w:t xml:space="preserve">lb_resid_5 &lt;- Box.test(model_error, lag = 5, type = "Ljung-Box")</w:t>
      </w:r>
      <w:r>
        <w:t xml:space="preserve"> </w:t>
      </w:r>
      <w:r>
        <w:t xml:space="preserve">lb_sq_5 &lt;- Box.test(model_error^2, lag = 5, type = "Ljung-Box")</w:t>
      </w:r>
      <w:r>
        <w:t xml:space="preserve"> </w:t>
      </w:r>
      <w:r>
        <w:t xml:space="preserve">arch_test &lt;- FinTS::ArchTest(model_error, lags = 5)</w:t>
      </w:r>
    </w:p>
    <w:p>
      <w:pPr>
        <w:pStyle w:val="BodyText"/>
      </w:pPr>
      <w:r>
        <w:rPr>
          <w:rFonts w:hint="eastAsia"/>
        </w:rPr>
        <w:t xml:space="preserve">代码</w:t>
      </w:r>
      <w:r>
        <w:t xml:space="preserve"> </w:t>
      </w:r>
      <w:hyperlink w:anchor="lst:sensitivity-specs">
        <w:r>
          <w:rPr>
            <w:rStyle w:val="Hyperlink"/>
          </w:rPr>
          <w:t xml:space="preserve">[lst:sensitivity-specs]</w:t>
        </w:r>
      </w:hyperlink>
      <w:r>
        <w:t xml:space="preserve"> </w:t>
      </w:r>
      <w:r>
        <w:rPr>
          <w:rFonts w:hint="eastAsia"/>
        </w:rPr>
        <w:t xml:space="preserve">展示敏感性分析的扰动设置。扰动对象覆盖题面物理层、政策缓冲层、需求层、行为层和长期机制透明层</w:t>
      </w:r>
    </w:p>
    <w:p>
      <w:pPr>
        <w:pStyle w:val="BodyText"/>
      </w:pPr>
      <w:r>
        <w:t xml:space="preserve">lst:sensitivity-specs</w:t>
      </w:r>
      <w:r>
        <w:t xml:space="preserve">python</w:t>
      </w:r>
      <w:r>
        <w:rPr>
          <w:rFonts w:hint="eastAsia"/>
        </w:rPr>
        <w:t xml:space="preserve">敏感性分析扰动参数设置</w:t>
      </w:r>
      <w:r>
        <w:t xml:space="preserve"> </w:t>
      </w:r>
      <w:r>
        <w:t xml:space="preserve">SENSITIVITY_SPECS = [</w:t>
      </w:r>
      <w:r>
        <w:t xml:space="preserve"> </w:t>
      </w:r>
      <w:r>
        <w:t xml:space="preserve">"key": "supply_interruption", </w:t>
      </w:r>
      <w:r>
        <w:rPr>
          <w:rFonts w:hint="eastAsia"/>
        </w:rPr>
        <w:t xml:space="preserve">"参数":</w:t>
      </w:r>
      <w:r>
        <w:t xml:space="preserve"> </w:t>
      </w:r>
      <w:r>
        <w:rPr>
          <w:rFonts w:hint="eastAsia"/>
        </w:rPr>
        <w:t xml:space="preserve">"供应中断量",</w:t>
      </w:r>
      <w:r>
        <w:t xml:space="preserve"> </w:t>
      </w:r>
      <w:r>
        <w:rPr>
          <w:rFonts w:hint="eastAsia"/>
        </w:rPr>
        <w:t xml:space="preserve">"层级":</w:t>
      </w:r>
      <w:r>
        <w:t xml:space="preserve"> </w:t>
      </w:r>
      <w:r>
        <w:rPr>
          <w:rFonts w:hint="eastAsia"/>
        </w:rPr>
        <w:t xml:space="preserve">"题面物理层",</w:t>
      </w:r>
      <w:r>
        <w:t xml:space="preserve"> </w:t>
      </w:r>
      <w:r>
        <w:rPr>
          <w:rFonts w:hint="eastAsia"/>
        </w:rPr>
        <w:t xml:space="preserve">"扰动":</w:t>
      </w:r>
      <w:r>
        <w:t xml:space="preserve"> [1400, 1493, 1600, 1800],</w:t>
      </w:r>
      <w:r>
        <w:t xml:space="preserve"> </w:t>
      </w:r>
      <w:r>
        <w:rPr>
          <w:rFonts w:hint="eastAsia"/>
        </w:rPr>
        <w:t xml:space="preserve">"解释":</w:t>
      </w:r>
      <w:r>
        <w:t xml:space="preserve"> </w:t>
      </w:r>
      <w:r>
        <w:rPr>
          <w:rFonts w:hint="eastAsia"/>
        </w:rPr>
        <w:t xml:space="preserve">"封锁实际造成的供应缺口。"</w:t>
      </w:r>
      <w:r>
        <w:t xml:space="preserve">,</w:t>
      </w:r>
      <w:r>
        <w:t xml:space="preserve"> </w:t>
      </w:r>
      <w:r>
        <w:t xml:space="preserve">"key": "spr_max_release", </w:t>
      </w:r>
      <w:r>
        <w:rPr>
          <w:rFonts w:hint="eastAsia"/>
        </w:rPr>
        <w:t xml:space="preserve">"参数":</w:t>
      </w:r>
      <w:r>
        <w:t xml:space="preserve"> </w:t>
      </w:r>
      <w:r>
        <w:rPr>
          <w:rFonts w:hint="eastAsia"/>
        </w:rPr>
        <w:t xml:space="preserve">"SPR释放上限",</w:t>
      </w:r>
      <w:r>
        <w:t xml:space="preserve"> </w:t>
      </w:r>
      <w:r>
        <w:rPr>
          <w:rFonts w:hint="eastAsia"/>
        </w:rPr>
        <w:t xml:space="preserve">"层级":</w:t>
      </w:r>
      <w:r>
        <w:t xml:space="preserve"> </w:t>
      </w:r>
      <w:r>
        <w:rPr>
          <w:rFonts w:hint="eastAsia"/>
        </w:rPr>
        <w:t xml:space="preserve">"题面政策缓冲层",</w:t>
      </w:r>
      <w:r>
        <w:t xml:space="preserve"> </w:t>
      </w:r>
      <w:r>
        <w:rPr>
          <w:rFonts w:hint="eastAsia"/>
        </w:rPr>
        <w:t xml:space="preserve">"扰动":</w:t>
      </w:r>
      <w:r>
        <w:t xml:space="preserve"> [200, 450, 670, 700],</w:t>
      </w:r>
      <w:r>
        <w:t xml:space="preserve"> </w:t>
      </w:r>
      <w:r>
        <w:rPr>
          <w:rFonts w:hint="eastAsia"/>
        </w:rPr>
        <w:t xml:space="preserve">"解释":</w:t>
      </w:r>
      <w:r>
        <w:t xml:space="preserve"> </w:t>
      </w:r>
      <w:r>
        <w:rPr>
          <w:rFonts w:hint="eastAsia"/>
        </w:rPr>
        <w:t xml:space="preserve">"战略石油储备释放能力。"</w:t>
      </w:r>
      <w:r>
        <w:t xml:space="preserve">,</w:t>
      </w:r>
      <w:r>
        <w:t xml:space="preserve"> </w:t>
      </w:r>
      <w:r>
        <w:t xml:space="preserve">"key": "route_max_capacity", </w:t>
      </w:r>
      <w:r>
        <w:rPr>
          <w:rFonts w:hint="eastAsia"/>
        </w:rPr>
        <w:t xml:space="preserve">"参数":</w:t>
      </w:r>
      <w:r>
        <w:t xml:space="preserve"> </w:t>
      </w:r>
      <w:r>
        <w:rPr>
          <w:rFonts w:hint="eastAsia"/>
        </w:rPr>
        <w:t xml:space="preserve">"绕道运输能力",</w:t>
      </w:r>
      <w:r>
        <w:t xml:space="preserve"> </w:t>
      </w:r>
      <w:r>
        <w:rPr>
          <w:rFonts w:hint="eastAsia"/>
        </w:rPr>
        <w:t xml:space="preserve">"层级":</w:t>
      </w:r>
      <w:r>
        <w:t xml:space="preserve"> </w:t>
      </w:r>
      <w:r>
        <w:rPr>
          <w:rFonts w:hint="eastAsia"/>
        </w:rPr>
        <w:t xml:space="preserve">"题面物理缓冲层",</w:t>
      </w:r>
      <w:r>
        <w:t xml:space="preserve"> </w:t>
      </w:r>
      <w:r>
        <w:rPr>
          <w:rFonts w:hint="eastAsia"/>
        </w:rPr>
        <w:t xml:space="preserve">"扰动":</w:t>
      </w:r>
      <w:r>
        <w:t xml:space="preserve"> [150, 237, 300, 420],</w:t>
      </w:r>
      <w:r>
        <w:t xml:space="preserve"> </w:t>
      </w:r>
      <w:r>
        <w:rPr>
          <w:rFonts w:hint="eastAsia"/>
        </w:rPr>
        <w:t xml:space="preserve">"解释":</w:t>
      </w:r>
      <w:r>
        <w:t xml:space="preserve"> </w:t>
      </w:r>
      <w:r>
        <w:rPr>
          <w:rFonts w:hint="eastAsia"/>
        </w:rPr>
        <w:t xml:space="preserve">"绕道和替代航线形成的额外供给能力。"</w:t>
      </w:r>
      <w:r>
        <w:t xml:space="preserve">,</w:t>
      </w:r>
      <w:r>
        <w:t xml:space="preserve"> </w:t>
      </w:r>
      <w:r>
        <w:t xml:space="preserve">"key": "long_elasticity", </w:t>
      </w:r>
      <w:r>
        <w:rPr>
          <w:rFonts w:hint="eastAsia"/>
        </w:rPr>
        <w:t xml:space="preserve">"参数":</w:t>
      </w:r>
      <w:r>
        <w:t xml:space="preserve"> </w:t>
      </w:r>
      <w:r>
        <w:rPr>
          <w:rFonts w:hint="eastAsia"/>
        </w:rPr>
        <w:t xml:space="preserve">"长期需求弹性",</w:t>
      </w:r>
      <w:r>
        <w:t xml:space="preserve"> </w:t>
      </w:r>
      <w:r>
        <w:rPr>
          <w:rFonts w:hint="eastAsia"/>
        </w:rPr>
        <w:t xml:space="preserve">"层级":</w:t>
      </w:r>
      <w:r>
        <w:t xml:space="preserve"> </w:t>
      </w:r>
      <w:r>
        <w:rPr>
          <w:rFonts w:hint="eastAsia"/>
        </w:rPr>
        <w:t xml:space="preserve">"题面需求层",</w:t>
      </w:r>
      <w:r>
        <w:t xml:space="preserve"> </w:t>
      </w:r>
      <w:r>
        <w:rPr>
          <w:rFonts w:hint="eastAsia"/>
        </w:rPr>
        <w:t xml:space="preserve">"扰动":</w:t>
      </w:r>
      <w:r>
        <w:t xml:space="preserve"> [-0.35, -0.25, -0.18, -0.10],</w:t>
      </w:r>
      <w:r>
        <w:t xml:space="preserve"> </w:t>
      </w:r>
      <w:r>
        <w:rPr>
          <w:rFonts w:hint="eastAsia"/>
        </w:rPr>
        <w:t xml:space="preserve">"解释":</w:t>
      </w:r>
      <w:r>
        <w:t xml:space="preserve"> </w:t>
      </w:r>
      <w:r>
        <w:rPr>
          <w:rFonts w:hint="eastAsia"/>
        </w:rPr>
        <w:t xml:space="preserve">"高油价持续后需求收缩强弱。"</w:t>
      </w:r>
      <w:r>
        <w:t xml:space="preserve">,</w:t>
      </w:r>
      <w:r>
        <w:t xml:space="preserve"> </w:t>
      </w:r>
      <w:r>
        <w:t xml:space="preserve">"key": "risk_weight", </w:t>
      </w:r>
      <w:r>
        <w:rPr>
          <w:rFonts w:hint="eastAsia"/>
        </w:rPr>
        <w:t xml:space="preserve">"参数":</w:t>
      </w:r>
      <w:r>
        <w:t xml:space="preserve"> </w:t>
      </w:r>
      <w:r>
        <w:rPr>
          <w:rFonts w:hint="eastAsia"/>
        </w:rPr>
        <w:t xml:space="preserve">"地缘风险权重",</w:t>
      </w:r>
      <w:r>
        <w:t xml:space="preserve"> </w:t>
      </w:r>
      <w:r>
        <w:rPr>
          <w:rFonts w:hint="eastAsia"/>
        </w:rPr>
        <w:t xml:space="preserve">"层级":</w:t>
      </w:r>
      <w:r>
        <w:t xml:space="preserve"> </w:t>
      </w:r>
      <w:r>
        <w:rPr>
          <w:rFonts w:hint="eastAsia"/>
        </w:rPr>
        <w:t xml:space="preserve">"市场价格形成层",</w:t>
      </w:r>
      <w:r>
        <w:t xml:space="preserve"> </w:t>
      </w:r>
      <w:r>
        <w:rPr>
          <w:rFonts w:hint="eastAsia"/>
        </w:rPr>
        <w:t xml:space="preserve">"扰动":</w:t>
      </w:r>
      <w:r>
        <w:t xml:space="preserve"> [1.85, 2.22, 2.46, 2.95],</w:t>
      </w:r>
      <w:r>
        <w:t xml:space="preserve"> </w:t>
      </w:r>
      <w:r>
        <w:rPr>
          <w:rFonts w:hint="eastAsia"/>
        </w:rPr>
        <w:t xml:space="preserve">"解释":</w:t>
      </w:r>
      <w:r>
        <w:t xml:space="preserve"> </w:t>
      </w:r>
      <w:r>
        <w:rPr>
          <w:rFonts w:hint="eastAsia"/>
        </w:rPr>
        <w:t xml:space="preserve">"市场定价地缘风险溢价的强度。"</w:t>
      </w:r>
      <w:r>
        <w:t xml:space="preserve">,</w:t>
      </w:r>
      <w:r>
        <w:t xml:space="preserve"> </w:t>
      </w:r>
      <w:r>
        <w:t xml:space="preserve">"key": "uncertainty_floor", </w:t>
      </w:r>
      <w:r>
        <w:rPr>
          <w:rFonts w:hint="eastAsia"/>
        </w:rPr>
        <w:t xml:space="preserve">"参数":</w:t>
      </w:r>
      <w:r>
        <w:t xml:space="preserve"> </w:t>
      </w:r>
      <w:r>
        <w:rPr>
          <w:rFonts w:hint="eastAsia"/>
        </w:rPr>
        <w:t xml:space="preserve">"制度风险强度",</w:t>
      </w:r>
      <w:r>
        <w:t xml:space="preserve"> </w:t>
      </w:r>
      <w:r>
        <w:rPr>
          <w:rFonts w:hint="eastAsia"/>
        </w:rPr>
        <w:t xml:space="preserve">"层级":</w:t>
      </w:r>
      <w:r>
        <w:t xml:space="preserve"> </w:t>
      </w:r>
      <w:r>
        <w:rPr>
          <w:rFonts w:hint="eastAsia"/>
        </w:rPr>
        <w:t xml:space="preserve">"长期机制透明层",</w:t>
      </w:r>
      <w:r>
        <w:t xml:space="preserve"> </w:t>
      </w:r>
      <w:r>
        <w:rPr>
          <w:rFonts w:hint="eastAsia"/>
        </w:rPr>
        <w:t xml:space="preserve">"扰动":</w:t>
      </w:r>
      <w:r>
        <w:t xml:space="preserve"> [0.17, 0.22, 0.247, 0.30],</w:t>
      </w:r>
      <w:r>
        <w:t xml:space="preserve"> </w:t>
      </w:r>
      <w:r>
        <w:rPr>
          <w:rFonts w:hint="eastAsia"/>
        </w:rPr>
        <w:t xml:space="preserve">"解释":</w:t>
      </w:r>
      <w:r>
        <w:t xml:space="preserve"> </w:t>
      </w:r>
      <w:r>
        <w:rPr>
          <w:rFonts w:hint="eastAsia"/>
        </w:rPr>
        <w:t xml:space="preserve">"持续封锁和政策协调失败带来的不确定性。"</w:t>
      </w:r>
      <w:r>
        <w:t xml:space="preserve">,</w:t>
      </w:r>
      <w:r>
        <w:t xml:space="preserve"> </w:t>
      </w:r>
      <w:r>
        <w:t xml:space="preserve">]</w:t>
      </w:r>
    </w:p>
    <w:bookmarkEnd w:id="107"/>
    <w:bookmarkStart w:id="126" w:name="j-短期冲击模型补充检验"/>
    <w:p>
      <w:pPr>
        <w:pStyle w:val="Heading2"/>
      </w:pPr>
      <w:r>
        <w:t xml:space="preserve">J </w:t>
      </w:r>
      <w:r>
        <w:rPr>
          <w:rFonts w:hint="eastAsia"/>
        </w:rPr>
        <w:t xml:space="preserve">短期冲击模型补充检验</w:t>
      </w:r>
    </w:p>
    <w:p>
      <w:pPr>
        <w:pStyle w:val="FirstParagraph"/>
      </w:pPr>
      <w:r>
        <w:rPr>
          <w:rFonts w:hint="eastAsia"/>
        </w:rPr>
        <w:t xml:space="preserve">正文</w:t>
      </w:r>
      <w:r>
        <w:rPr>
          <w:rFonts w:hint="eastAsia"/>
        </w:rPr>
        <w:t xml:space="preserve">“模型建立与求解”</w:t>
      </w:r>
      <w:r>
        <w:rPr>
          <w:rFonts w:hint="eastAsia"/>
        </w:rPr>
        <w:t xml:space="preserve">章只保留校准、基准对比和鲁棒性摘要。附录补充给出短期模型的机制贡献、参数剖面、事件窗口、滞后平移、残差分布和局部扰动稳健性图。</w:t>
      </w:r>
    </w:p>
    <w:p>
      <w:pPr>
        <w:pStyle w:val="BodyText"/>
      </w:pPr>
      <w:r>
        <w:rPr>
          <w:rFonts w:hint="eastAsia"/>
          <w:b/>
          <w:bCs/>
        </w:rPr>
        <w:t xml:space="preserve">机制贡献分解。</w:t>
      </w:r>
      <w:r>
        <w:rPr>
          <w:rFonts w:hint="eastAsia"/>
        </w:rPr>
        <w:t xml:space="preserve">短期价格平台不是由单一变量决定，而是物理缺口、风险溢价、政策缓冲和预期修复共同作用。该图用于说明各机制在不同日期上的方向和相对强度。</w:t>
      </w:r>
    </w:p>
    <w:p>
      <w:pPr>
        <w:pStyle w:val="BodyText"/>
      </w:pPr>
      <w:r>
        <w:drawing>
          <wp:inline>
            <wp:extent cx="5120640" cy="2886178"/>
            <wp:effectExtent b="0" l="0" r="0" t="0"/>
            <wp:docPr descr="image" title="" id="109" name="Picture"/>
            <a:graphic>
              <a:graphicData uri="http://schemas.openxmlformats.org/drawingml/2006/picture">
                <pic:pic>
                  <pic:nvPicPr>
                    <pic:cNvPr descr="短期模型机制贡献.png" id="110" name="Picture"/>
                    <pic:cNvPicPr>
                      <a:picLocks noChangeArrowheads="1" noChangeAspect="1"/>
                    </pic:cNvPicPr>
                  </pic:nvPicPr>
                  <pic:blipFill>
                    <a:blip r:embed="rId108"/>
                    <a:stretch>
                      <a:fillRect/>
                    </a:stretch>
                  </pic:blipFill>
                  <pic:spPr bwMode="auto">
                    <a:xfrm>
                      <a:off x="0" y="0"/>
                      <a:ext cx="5120640" cy="2886178"/>
                    </a:xfrm>
                    <a:prstGeom prst="rect">
                      <a:avLst/>
                    </a:prstGeom>
                    <a:noFill/>
                    <a:ln w="9525">
                      <a:noFill/>
                      <a:headEnd/>
                      <a:tailEnd/>
                    </a:ln>
                  </pic:spPr>
                </pic:pic>
              </a:graphicData>
            </a:graphic>
          </wp:inline>
        </w:drawing>
      </w:r>
    </w:p>
    <w:p>
      <w:pPr>
        <w:pStyle w:val="BodyText"/>
      </w:pPr>
      <w:r>
        <w:rPr>
          <w:rFonts w:hint="eastAsia"/>
          <w:b/>
          <w:bCs/>
        </w:rPr>
        <w:t xml:space="preserve">参数剖面检验。</w:t>
      </w:r>
      <w:r>
        <w:rPr>
          <w:rFonts w:hint="eastAsia"/>
        </w:rPr>
        <w:t xml:space="preserve">参数剖面图观察关键参数在最优点附近扰动时误差函数是否平滑变化。若曲线只在某一点突然变好，就可能存在单点调参风险。</w:t>
      </w:r>
    </w:p>
    <w:p>
      <w:pPr>
        <w:pStyle w:val="BodyText"/>
      </w:pPr>
      <w:r>
        <w:drawing>
          <wp:inline>
            <wp:extent cx="5120640" cy="3025832"/>
            <wp:effectExtent b="0" l="0" r="0" t="0"/>
            <wp:docPr descr="image" title="" id="112" name="Picture"/>
            <a:graphic>
              <a:graphicData uri="http://schemas.openxmlformats.org/drawingml/2006/picture">
                <pic:pic>
                  <pic:nvPicPr>
                    <pic:cNvPr descr="短期模型参数剖面图.png" id="113" name="Picture"/>
                    <pic:cNvPicPr>
                      <a:picLocks noChangeArrowheads="1" noChangeAspect="1"/>
                    </pic:cNvPicPr>
                  </pic:nvPicPr>
                  <pic:blipFill>
                    <a:blip r:embed="rId111"/>
                    <a:stretch>
                      <a:fillRect/>
                    </a:stretch>
                  </pic:blipFill>
                  <pic:spPr bwMode="auto">
                    <a:xfrm>
                      <a:off x="0" y="0"/>
                      <a:ext cx="5120640" cy="3025832"/>
                    </a:xfrm>
                    <a:prstGeom prst="rect">
                      <a:avLst/>
                    </a:prstGeom>
                    <a:noFill/>
                    <a:ln w="9525">
                      <a:noFill/>
                      <a:headEnd/>
                      <a:tailEnd/>
                    </a:ln>
                  </pic:spPr>
                </pic:pic>
              </a:graphicData>
            </a:graphic>
          </wp:inline>
        </w:drawing>
      </w:r>
    </w:p>
    <w:p>
      <w:pPr>
        <w:pStyle w:val="BodyText"/>
      </w:pPr>
      <w:r>
        <w:rPr>
          <w:rFonts w:hint="eastAsia"/>
        </w:rPr>
        <w:t xml:space="preserve">附图</w:t>
      </w:r>
      <w:r>
        <w:t xml:space="preserve"> 1 </w:t>
      </w:r>
      <w:r>
        <w:rPr>
          <w:rFonts w:hint="eastAsia"/>
        </w:rPr>
        <w:t xml:space="preserve">和附图</w:t>
      </w:r>
      <w:r>
        <w:t xml:space="preserve"> 2 </w:t>
      </w:r>
      <w:r>
        <w:rPr>
          <w:rFonts w:hint="eastAsia"/>
        </w:rPr>
        <w:t xml:space="preserve">分别回答</w:t>
      </w:r>
      <w:r>
        <w:rPr>
          <w:rFonts w:hint="eastAsia"/>
        </w:rPr>
        <w:t xml:space="preserve">“价格平台由哪些机制推动”</w:t>
      </w:r>
      <w:r>
        <w:rPr>
          <w:rFonts w:hint="eastAsia"/>
        </w:rPr>
        <w:t xml:space="preserve">和</w:t>
      </w:r>
      <w:r>
        <w:rPr>
          <w:rFonts w:hint="eastAsia"/>
        </w:rPr>
        <w:t xml:space="preserve">“参数是否只在单点有效”</w:t>
      </w:r>
      <w:r>
        <w:rPr>
          <w:rFonts w:hint="eastAsia"/>
        </w:rPr>
        <w:t xml:space="preserve">。前者给出机制方向，后者观察目标函数形态，二者共同支撑短期模型的解释性和稳定性。</w:t>
      </w:r>
    </w:p>
    <w:p>
      <w:pPr>
        <w:pStyle w:val="BodyText"/>
      </w:pPr>
      <w:r>
        <w:rPr>
          <w:rFonts w:hint="eastAsia"/>
          <w:b/>
          <w:bCs/>
        </w:rPr>
        <w:t xml:space="preserve">事件窗口检验。</w:t>
      </w:r>
      <w:r>
        <w:rPr>
          <w:rFonts w:hint="eastAsia"/>
        </w:rPr>
        <w:t xml:space="preserve">短期冲击窗口内部并不均匀，初始冲击、高位平台、中期回落和后期二次抬升的拟合难度不同。该图把整体误差拆到事件阶段，避免只用总</w:t>
      </w:r>
      <w:r>
        <w:t xml:space="preserve"> RMSE </w:t>
      </w:r>
      <w:r>
        <w:rPr>
          <w:rFonts w:hint="eastAsia"/>
        </w:rPr>
        <w:t xml:space="preserve">掩盖局部表现。</w:t>
      </w:r>
    </w:p>
    <w:p>
      <w:pPr>
        <w:pStyle w:val="BodyText"/>
      </w:pPr>
      <w:r>
        <w:drawing>
          <wp:inline>
            <wp:extent cx="4480560" cy="2715490"/>
            <wp:effectExtent b="0" l="0" r="0" t="0"/>
            <wp:docPr descr="image" title="" id="115" name="Picture"/>
            <a:graphic>
              <a:graphicData uri="http://schemas.openxmlformats.org/drawingml/2006/picture">
                <pic:pic>
                  <pic:nvPicPr>
                    <pic:cNvPr descr="短期模型事件窗口检验.png" id="116" name="Picture"/>
                    <pic:cNvPicPr>
                      <a:picLocks noChangeArrowheads="1" noChangeAspect="1"/>
                    </pic:cNvPicPr>
                  </pic:nvPicPr>
                  <pic:blipFill>
                    <a:blip r:embed="rId114"/>
                    <a:stretch>
                      <a:fillRect/>
                    </a:stretch>
                  </pic:blipFill>
                  <pic:spPr bwMode="auto">
                    <a:xfrm>
                      <a:off x="0" y="0"/>
                      <a:ext cx="4480560" cy="2715490"/>
                    </a:xfrm>
                    <a:prstGeom prst="rect">
                      <a:avLst/>
                    </a:prstGeom>
                    <a:noFill/>
                    <a:ln w="9525">
                      <a:noFill/>
                      <a:headEnd/>
                      <a:tailEnd/>
                    </a:ln>
                  </pic:spPr>
                </pic:pic>
              </a:graphicData>
            </a:graphic>
          </wp:inline>
        </w:drawing>
      </w:r>
    </w:p>
    <w:p>
      <w:pPr>
        <w:pStyle w:val="BodyText"/>
      </w:pPr>
      <w:r>
        <w:rPr>
          <w:rFonts w:hint="eastAsia"/>
          <w:b/>
          <w:bCs/>
        </w:rPr>
        <w:t xml:space="preserve">滞后平移检验。</w:t>
      </w:r>
      <w:r>
        <w:rPr>
          <w:rFonts w:hint="eastAsia"/>
        </w:rPr>
        <w:t xml:space="preserve">时间序列模型容易出现</w:t>
      </w:r>
      <w:r>
        <w:rPr>
          <w:rFonts w:hint="eastAsia"/>
        </w:rPr>
        <w:t xml:space="preserve">“把昨天当今天”</w:t>
      </w:r>
      <w:r>
        <w:rPr>
          <w:rFonts w:hint="eastAsia"/>
        </w:rPr>
        <w:t xml:space="preserve">的滞后拟合。该检验将预测曲线进行平移比较；原始位置误差最低，说明模型不是简单复制滞后价格路径。</w:t>
      </w:r>
    </w:p>
    <w:p>
      <w:pPr>
        <w:pStyle w:val="BodyText"/>
      </w:pPr>
      <w:r>
        <w:drawing>
          <wp:inline>
            <wp:extent cx="4160520" cy="2408722"/>
            <wp:effectExtent b="0" l="0" r="0" t="0"/>
            <wp:docPr descr="image" title="" id="118" name="Picture"/>
            <a:graphic>
              <a:graphicData uri="http://schemas.openxmlformats.org/drawingml/2006/picture">
                <pic:pic>
                  <pic:nvPicPr>
                    <pic:cNvPr descr="短期模型滞后平移检验.png" id="119" name="Picture"/>
                    <pic:cNvPicPr>
                      <a:picLocks noChangeArrowheads="1" noChangeAspect="1"/>
                    </pic:cNvPicPr>
                  </pic:nvPicPr>
                  <pic:blipFill>
                    <a:blip r:embed="rId117"/>
                    <a:stretch>
                      <a:fillRect/>
                    </a:stretch>
                  </pic:blipFill>
                  <pic:spPr bwMode="auto">
                    <a:xfrm>
                      <a:off x="0" y="0"/>
                      <a:ext cx="4160520" cy="2408722"/>
                    </a:xfrm>
                    <a:prstGeom prst="rect">
                      <a:avLst/>
                    </a:prstGeom>
                    <a:noFill/>
                    <a:ln w="9525">
                      <a:noFill/>
                      <a:headEnd/>
                      <a:tailEnd/>
                    </a:ln>
                  </pic:spPr>
                </pic:pic>
              </a:graphicData>
            </a:graphic>
          </wp:inline>
        </w:drawing>
      </w:r>
    </w:p>
    <w:p>
      <w:pPr>
        <w:pStyle w:val="BodyText"/>
      </w:pPr>
      <w:r>
        <w:rPr>
          <w:rFonts w:hint="eastAsia"/>
          <w:b/>
          <w:bCs/>
        </w:rPr>
        <w:t xml:space="preserve">残差分段分布。</w:t>
      </w:r>
      <w:r>
        <w:rPr>
          <w:rFonts w:hint="eastAsia"/>
        </w:rPr>
        <w:t xml:space="preserve">残差分布用于判断误差集中在哪些阶段。中期平台阶段残差更分散，说明平台震荡和情绪再定价仍是短期模型的主要误差来源。</w:t>
      </w:r>
    </w:p>
    <w:p>
      <w:pPr>
        <w:pStyle w:val="BodyText"/>
      </w:pPr>
      <w:r>
        <w:drawing>
          <wp:inline>
            <wp:extent cx="4480560" cy="2741279"/>
            <wp:effectExtent b="0" l="0" r="0" t="0"/>
            <wp:docPr descr="image" title="" id="121" name="Picture"/>
            <a:graphic>
              <a:graphicData uri="http://schemas.openxmlformats.org/drawingml/2006/picture">
                <pic:pic>
                  <pic:nvPicPr>
                    <pic:cNvPr descr="短期残差分段分布图.png" id="122" name="Picture"/>
                    <pic:cNvPicPr>
                      <a:picLocks noChangeArrowheads="1" noChangeAspect="1"/>
                    </pic:cNvPicPr>
                  </pic:nvPicPr>
                  <pic:blipFill>
                    <a:blip r:embed="rId120"/>
                    <a:stretch>
                      <a:fillRect/>
                    </a:stretch>
                  </pic:blipFill>
                  <pic:spPr bwMode="auto">
                    <a:xfrm>
                      <a:off x="0" y="0"/>
                      <a:ext cx="4480560" cy="2741279"/>
                    </a:xfrm>
                    <a:prstGeom prst="rect">
                      <a:avLst/>
                    </a:prstGeom>
                    <a:noFill/>
                    <a:ln w="9525">
                      <a:noFill/>
                      <a:headEnd/>
                      <a:tailEnd/>
                    </a:ln>
                  </pic:spPr>
                </pic:pic>
              </a:graphicData>
            </a:graphic>
          </wp:inline>
        </w:drawing>
      </w:r>
    </w:p>
    <w:p>
      <w:pPr>
        <w:pStyle w:val="BodyText"/>
      </w:pPr>
      <w:r>
        <w:rPr>
          <w:rFonts w:hint="eastAsia"/>
          <w:b/>
          <w:bCs/>
        </w:rPr>
        <w:t xml:space="preserve">局部扰动稳健性。</w:t>
      </w:r>
      <w:r>
        <w:rPr>
          <w:rFonts w:hint="eastAsia"/>
        </w:rPr>
        <w:t xml:space="preserve">稳健性带展示当前参数邻域内的预测路径范围。若扰动后路径仍围绕真实价格平台展开，说明结论不依赖某一个极窄的参数组合。</w:t>
      </w:r>
    </w:p>
    <w:p>
      <w:pPr>
        <w:pStyle w:val="BodyText"/>
      </w:pPr>
      <w:r>
        <w:drawing>
          <wp:inline>
            <wp:extent cx="5334000" cy="2812472"/>
            <wp:effectExtent b="0" l="0" r="0" t="0"/>
            <wp:docPr descr="image" title="" id="124" name="Picture"/>
            <a:graphic>
              <a:graphicData uri="http://schemas.openxmlformats.org/drawingml/2006/picture">
                <pic:pic>
                  <pic:nvPicPr>
                    <pic:cNvPr descr="短期模型稳健性带.png" id="125" name="Picture"/>
                    <pic:cNvPicPr>
                      <a:picLocks noChangeArrowheads="1" noChangeAspect="1"/>
                    </pic:cNvPicPr>
                  </pic:nvPicPr>
                  <pic:blipFill>
                    <a:blip r:embed="rId123"/>
                    <a:stretch>
                      <a:fillRect/>
                    </a:stretch>
                  </pic:blipFill>
                  <pic:spPr bwMode="auto">
                    <a:xfrm>
                      <a:off x="0" y="0"/>
                      <a:ext cx="5334000" cy="2812472"/>
                    </a:xfrm>
                    <a:prstGeom prst="rect">
                      <a:avLst/>
                    </a:prstGeom>
                    <a:noFill/>
                    <a:ln w="9525">
                      <a:noFill/>
                      <a:headEnd/>
                      <a:tailEnd/>
                    </a:ln>
                  </pic:spPr>
                </pic:pic>
              </a:graphicData>
            </a:graphic>
          </wp:inline>
        </w:drawing>
      </w:r>
    </w:p>
    <w:p>
      <w:pPr>
        <w:pStyle w:val="BodyText"/>
      </w:pPr>
      <w:r>
        <w:rPr>
          <w:rFonts w:hint="eastAsia"/>
        </w:rPr>
        <w:t xml:space="preserve">以上六组补充检验依次对应机制来源、参数形态、阶段误差、滞后排查、残差分布和局部扰动。它们共同把正文的短期拟合结论拆成可复核证据链，说明模型优势来自机制组合，而不是单点调参或滞后复制。</w:t>
      </w:r>
    </w:p>
    <w:bookmarkEnd w:id="126"/>
    <w:bookmarkStart w:id="151" w:name="k-敏感性与外生风险补充检验"/>
    <w:p>
      <w:pPr>
        <w:pStyle w:val="Heading2"/>
      </w:pPr>
      <w:r>
        <w:t xml:space="preserve">K </w:t>
      </w:r>
      <w:r>
        <w:rPr>
          <w:rFonts w:hint="eastAsia"/>
        </w:rPr>
        <w:t xml:space="preserve">敏感性与外生风险补充检验</w:t>
      </w:r>
    </w:p>
    <w:p>
      <w:pPr>
        <w:pStyle w:val="FirstParagraph"/>
      </w:pPr>
      <w:r>
        <w:rPr>
          <w:rFonts w:hint="eastAsia"/>
        </w:rPr>
        <w:t xml:space="preserve">正文</w:t>
      </w:r>
      <w:r>
        <w:rPr>
          <w:rFonts w:hint="eastAsia"/>
        </w:rPr>
        <w:t xml:space="preserve">“模型建立与求解”</w:t>
      </w:r>
      <w:r>
        <w:rPr>
          <w:rFonts w:hint="eastAsia"/>
        </w:rPr>
        <w:t xml:space="preserve">章只保留参数排序、尾部风险和外生风险摘要。附录在短期模型检验之后补充长期敏感性和外生风险证据，主要用于说明扰动尺度从何而来、外部风险变量如何进入解释，以及</w:t>
      </w:r>
      <w:r>
        <w:t xml:space="preserve"> 2026 </w:t>
      </w:r>
      <w:r>
        <w:rPr>
          <w:rFonts w:hint="eastAsia"/>
        </w:rPr>
        <w:t xml:space="preserve">年冲突窗口相对历史窗口是否具有特殊性。</w:t>
      </w:r>
    </w:p>
    <w:p>
      <w:pPr>
        <w:pStyle w:val="BodyText"/>
      </w:pPr>
      <w:r>
        <w:rPr>
          <w:rFonts w:hint="eastAsia"/>
          <w:b/>
          <w:bCs/>
        </w:rPr>
        <w:t xml:space="preserve">历史波动参数校准。</w:t>
      </w:r>
      <w:r>
        <w:rPr>
          <w:rFonts w:hint="eastAsia"/>
        </w:rPr>
        <w:t xml:space="preserve">长期蒙特卡洛扰动不应凭经验设置，因此先用</w:t>
      </w:r>
      <w:r>
        <w:t xml:space="preserve"> 2017–2025 </w:t>
      </w:r>
      <w:r>
        <w:rPr>
          <w:rFonts w:hint="eastAsia"/>
        </w:rPr>
        <w:t xml:space="preserve">年同长度历史窗口估计波动、最大回撤和误差分布。该图给出扰动尺度的可追溯来源。</w:t>
      </w:r>
    </w:p>
    <w:p>
      <w:pPr>
        <w:pStyle w:val="BodyText"/>
      </w:pPr>
      <w:r>
        <w:drawing>
          <wp:inline>
            <wp:extent cx="5120640" cy="1966325"/>
            <wp:effectExtent b="0" l="0" r="0" t="0"/>
            <wp:docPr descr="image" title="" id="128" name="Picture"/>
            <a:graphic>
              <a:graphicData uri="http://schemas.openxmlformats.org/drawingml/2006/picture">
                <pic:pic>
                  <pic:nvPicPr>
                    <pic:cNvPr descr="历史波动参数校准.png" id="129" name="Picture"/>
                    <pic:cNvPicPr>
                      <a:picLocks noChangeArrowheads="1" noChangeAspect="1"/>
                    </pic:cNvPicPr>
                  </pic:nvPicPr>
                  <pic:blipFill>
                    <a:blip r:embed="rId127"/>
                    <a:stretch>
                      <a:fillRect/>
                    </a:stretch>
                  </pic:blipFill>
                  <pic:spPr bwMode="auto">
                    <a:xfrm>
                      <a:off x="0" y="0"/>
                      <a:ext cx="5120640" cy="1966325"/>
                    </a:xfrm>
                    <a:prstGeom prst="rect">
                      <a:avLst/>
                    </a:prstGeom>
                    <a:noFill/>
                    <a:ln w="9525">
                      <a:noFill/>
                      <a:headEnd/>
                      <a:tailEnd/>
                    </a:ln>
                  </pic:spPr>
                </pic:pic>
              </a:graphicData>
            </a:graphic>
          </wp:inline>
        </w:drawing>
      </w:r>
    </w:p>
    <w:p>
      <w:pPr>
        <w:pStyle w:val="BodyText"/>
      </w:pPr>
      <w:r>
        <w:rPr>
          <w:rFonts w:hint="eastAsia"/>
        </w:rPr>
        <w:t xml:space="preserve">附图</w:t>
      </w:r>
      <w:r>
        <w:t xml:space="preserve"> 7 </w:t>
      </w:r>
      <w:r>
        <w:rPr>
          <w:rFonts w:hint="eastAsia"/>
        </w:rPr>
        <w:t xml:space="preserve">的作用是把长期随机扰动落回历史经验区间：模型并非任意扩大波动，而是用同长度窗口的收益波动和回撤分布约束后续情景树的扰动尺度。</w:t>
      </w:r>
    </w:p>
    <w:p>
      <w:pPr>
        <w:pStyle w:val="BodyText"/>
      </w:pPr>
      <w:r>
        <w:rPr>
          <w:rFonts w:hint="eastAsia"/>
          <w:b/>
          <w:bCs/>
        </w:rPr>
        <w:t xml:space="preserve">传统蒙特卡洛路径云。</w:t>
      </w:r>
      <w:r>
        <w:rPr>
          <w:rFonts w:hint="eastAsia"/>
        </w:rPr>
        <w:t xml:space="preserve">该图展示不引入状态转移结构时，多参数联合扰动形成的价格路径云。它作为长期情景树的朴素随机模拟参照，用来区分普通参数扰动和状态切换风险。</w:t>
      </w:r>
    </w:p>
    <w:p>
      <w:pPr>
        <w:pStyle w:val="BodyText"/>
      </w:pPr>
      <w:r>
        <w:drawing>
          <wp:inline>
            <wp:extent cx="5227320" cy="2835156"/>
            <wp:effectExtent b="0" l="0" r="0" t="0"/>
            <wp:docPr descr="image" title="" id="131" name="Picture"/>
            <a:graphic>
              <a:graphicData uri="http://schemas.openxmlformats.org/drawingml/2006/picture">
                <pic:pic>
                  <pic:nvPicPr>
                    <pic:cNvPr descr="传统蒙特卡洛路径云图.png" id="132" name="Picture"/>
                    <pic:cNvPicPr>
                      <a:picLocks noChangeArrowheads="1" noChangeAspect="1"/>
                    </pic:cNvPicPr>
                  </pic:nvPicPr>
                  <pic:blipFill>
                    <a:blip r:embed="rId130"/>
                    <a:stretch>
                      <a:fillRect/>
                    </a:stretch>
                  </pic:blipFill>
                  <pic:spPr bwMode="auto">
                    <a:xfrm>
                      <a:off x="0" y="0"/>
                      <a:ext cx="5227320" cy="2835156"/>
                    </a:xfrm>
                    <a:prstGeom prst="rect">
                      <a:avLst/>
                    </a:prstGeom>
                    <a:noFill/>
                    <a:ln w="9525">
                      <a:noFill/>
                      <a:headEnd/>
                      <a:tailEnd/>
                    </a:ln>
                  </pic:spPr>
                </pic:pic>
              </a:graphicData>
            </a:graphic>
          </wp:inline>
        </w:drawing>
      </w:r>
    </w:p>
    <w:p>
      <w:pPr>
        <w:pStyle w:val="BodyText"/>
      </w:pPr>
      <w:r>
        <w:rPr>
          <w:b/>
          <w:bCs/>
        </w:rPr>
        <w:t xml:space="preserve">GPR </w:t>
      </w:r>
      <w:r>
        <w:rPr>
          <w:rFonts w:hint="eastAsia"/>
          <w:b/>
          <w:bCs/>
        </w:rPr>
        <w:t xml:space="preserve">地缘风险指数滞后审计。</w:t>
      </w:r>
      <w:r>
        <w:t xml:space="preserve">GPR </w:t>
      </w:r>
      <w:r>
        <w:rPr>
          <w:rFonts w:hint="eastAsia"/>
        </w:rPr>
        <w:t xml:space="preserve">不直接替代附件价格，也不用于同日解释同日价格。这里检验滞后风险指数与布伦特收益的关系，确认其更适合作为风险环境变量。</w:t>
      </w:r>
    </w:p>
    <w:p>
      <w:pPr>
        <w:pStyle w:val="BodyText"/>
      </w:pPr>
      <w:r>
        <w:drawing>
          <wp:inline>
            <wp:extent cx="4693920" cy="2514599"/>
            <wp:effectExtent b="0" l="0" r="0" t="0"/>
            <wp:docPr descr="image" title="" id="134" name="Picture"/>
            <a:graphic>
              <a:graphicData uri="http://schemas.openxmlformats.org/drawingml/2006/picture">
                <pic:pic>
                  <pic:nvPicPr>
                    <pic:cNvPr descr="地缘风险指数滞后审计.png" id="135" name="Picture"/>
                    <pic:cNvPicPr>
                      <a:picLocks noChangeArrowheads="1" noChangeAspect="1"/>
                    </pic:cNvPicPr>
                  </pic:nvPicPr>
                  <pic:blipFill>
                    <a:blip r:embed="rId133"/>
                    <a:stretch>
                      <a:fillRect/>
                    </a:stretch>
                  </pic:blipFill>
                  <pic:spPr bwMode="auto">
                    <a:xfrm>
                      <a:off x="0" y="0"/>
                      <a:ext cx="4693920" cy="2514599"/>
                    </a:xfrm>
                    <a:prstGeom prst="rect">
                      <a:avLst/>
                    </a:prstGeom>
                    <a:noFill/>
                    <a:ln w="9525">
                      <a:noFill/>
                      <a:headEnd/>
                      <a:tailEnd/>
                    </a:ln>
                  </pic:spPr>
                </pic:pic>
              </a:graphicData>
            </a:graphic>
          </wp:inline>
        </w:drawing>
      </w:r>
    </w:p>
    <w:p>
      <w:pPr>
        <w:pStyle w:val="BodyText"/>
      </w:pPr>
      <w:r>
        <w:rPr>
          <w:rFonts w:hint="eastAsia"/>
          <w:b/>
          <w:bCs/>
        </w:rPr>
        <w:t xml:space="preserve">滞后</w:t>
      </w:r>
      <w:r>
        <w:rPr>
          <w:b/>
          <w:bCs/>
        </w:rPr>
        <w:t xml:space="preserve"> GPR </w:t>
      </w:r>
      <w:r>
        <w:rPr>
          <w:rFonts w:hint="eastAsia"/>
          <w:b/>
          <w:bCs/>
        </w:rPr>
        <w:t xml:space="preserve">与月度收益。</w:t>
      </w:r>
      <w:r>
        <w:rPr>
          <w:rFonts w:hint="eastAsia"/>
        </w:rPr>
        <w:t xml:space="preserve">该散点关系说明，滞后</w:t>
      </w:r>
      <w:r>
        <w:t xml:space="preserve"> 1 </w:t>
      </w:r>
      <w:r>
        <w:rPr>
          <w:rFonts w:hint="eastAsia"/>
        </w:rPr>
        <w:t xml:space="preserve">月</w:t>
      </w:r>
      <w:r>
        <w:t xml:space="preserve"> GPR </w:t>
      </w:r>
      <w:r>
        <w:rPr>
          <w:rFonts w:hint="eastAsia"/>
        </w:rPr>
        <w:t xml:space="preserve">与布伦特月度收益的线性解释力有限。因此正文只将</w:t>
      </w:r>
      <w:r>
        <w:t xml:space="preserve"> GPR </w:t>
      </w:r>
      <w:r>
        <w:rPr>
          <w:rFonts w:hint="eastAsia"/>
        </w:rPr>
        <w:t xml:space="preserve">用作长期风险溢价和状态转移概率的约束变量。</w:t>
      </w:r>
    </w:p>
    <w:p>
      <w:pPr>
        <w:pStyle w:val="BodyText"/>
      </w:pPr>
      <w:r>
        <w:drawing>
          <wp:inline>
            <wp:extent cx="4160520" cy="2836718"/>
            <wp:effectExtent b="0" l="0" r="0" t="0"/>
            <wp:docPr descr="image" title="" id="137" name="Picture"/>
            <a:graphic>
              <a:graphicData uri="http://schemas.openxmlformats.org/drawingml/2006/picture">
                <pic:pic>
                  <pic:nvPicPr>
                    <pic:cNvPr descr="滞后GPR与布伦特收益关系.png" id="138" name="Picture"/>
                    <pic:cNvPicPr>
                      <a:picLocks noChangeArrowheads="1" noChangeAspect="1"/>
                    </pic:cNvPicPr>
                  </pic:nvPicPr>
                  <pic:blipFill>
                    <a:blip r:embed="rId136"/>
                    <a:stretch>
                      <a:fillRect/>
                    </a:stretch>
                  </pic:blipFill>
                  <pic:spPr bwMode="auto">
                    <a:xfrm>
                      <a:off x="0" y="0"/>
                      <a:ext cx="4160520" cy="2836718"/>
                    </a:xfrm>
                    <a:prstGeom prst="rect">
                      <a:avLst/>
                    </a:prstGeom>
                    <a:noFill/>
                    <a:ln w="9525">
                      <a:noFill/>
                      <a:headEnd/>
                      <a:tailEnd/>
                    </a:ln>
                  </pic:spPr>
                </pic:pic>
              </a:graphicData>
            </a:graphic>
          </wp:inline>
        </w:drawing>
      </w:r>
    </w:p>
    <w:p>
      <w:pPr>
        <w:pStyle w:val="BodyText"/>
      </w:pPr>
      <w:r>
        <w:rPr>
          <w:b/>
          <w:bCs/>
        </w:rPr>
        <w:t xml:space="preserve">OVX </w:t>
      </w:r>
      <w:r>
        <w:rPr>
          <w:rFonts w:hint="eastAsia"/>
          <w:b/>
          <w:bCs/>
        </w:rPr>
        <w:t xml:space="preserve">隐含波动率滞后检验。</w:t>
      </w:r>
      <w:r>
        <w:t xml:space="preserve">OVX </w:t>
      </w:r>
      <w:r>
        <w:rPr>
          <w:rFonts w:hint="eastAsia"/>
        </w:rPr>
        <w:t xml:space="preserve">反映市场对原油期权波动率的定价预期，适合刻画不确定性和尾部风险。该图用于确认</w:t>
      </w:r>
      <w:r>
        <w:t xml:space="preserve"> OVX </w:t>
      </w:r>
      <w:r>
        <w:rPr>
          <w:rFonts w:hint="eastAsia"/>
        </w:rPr>
        <w:t xml:space="preserve">主要约束长期波动和风险状态，而不是直接给出油价涨跌方向。</w:t>
      </w:r>
    </w:p>
    <w:p>
      <w:pPr>
        <w:pStyle w:val="BodyText"/>
      </w:pPr>
      <w:r>
        <w:drawing>
          <wp:inline>
            <wp:extent cx="5120640" cy="3278591"/>
            <wp:effectExtent b="0" l="0" r="0" t="0"/>
            <wp:docPr descr="image" title="" id="140" name="Picture"/>
            <a:graphic>
              <a:graphicData uri="http://schemas.openxmlformats.org/drawingml/2006/picture">
                <pic:pic>
                  <pic:nvPicPr>
                    <pic:cNvPr descr="OVX隐含波动率滞后检验.png" id="141" name="Picture"/>
                    <pic:cNvPicPr>
                      <a:picLocks noChangeArrowheads="1" noChangeAspect="1"/>
                    </pic:cNvPicPr>
                  </pic:nvPicPr>
                  <pic:blipFill>
                    <a:blip r:embed="rId139"/>
                    <a:stretch>
                      <a:fillRect/>
                    </a:stretch>
                  </pic:blipFill>
                  <pic:spPr bwMode="auto">
                    <a:xfrm>
                      <a:off x="0" y="0"/>
                      <a:ext cx="5120640" cy="3278591"/>
                    </a:xfrm>
                    <a:prstGeom prst="rect">
                      <a:avLst/>
                    </a:prstGeom>
                    <a:noFill/>
                    <a:ln w="9525">
                      <a:noFill/>
                      <a:headEnd/>
                      <a:tailEnd/>
                    </a:ln>
                  </pic:spPr>
                </pic:pic>
              </a:graphicData>
            </a:graphic>
          </wp:inline>
        </w:drawing>
      </w:r>
    </w:p>
    <w:p>
      <w:pPr>
        <w:pStyle w:val="BodyText"/>
      </w:pPr>
      <w:r>
        <w:rPr>
          <w:rFonts w:hint="eastAsia"/>
          <w:b/>
          <w:bCs/>
        </w:rPr>
        <w:t xml:space="preserve">历史同长度窗口极端性。</w:t>
      </w:r>
      <w:r>
        <w:rPr>
          <w:rFonts w:hint="eastAsia"/>
        </w:rPr>
        <w:t xml:space="preserve">将</w:t>
      </w:r>
      <w:r>
        <w:t xml:space="preserve"> 2026 </w:t>
      </w:r>
      <w:r>
        <w:rPr>
          <w:rFonts w:hint="eastAsia"/>
        </w:rPr>
        <w:t xml:space="preserve">年冲突窗口放回</w:t>
      </w:r>
      <w:r>
        <w:t xml:space="preserve"> 2017–2025 </w:t>
      </w:r>
      <w:r>
        <w:rPr>
          <w:rFonts w:hint="eastAsia"/>
        </w:rPr>
        <w:t xml:space="preserve">年同长度窗口中比较，可以判断本题样本是否处于异常高涨幅、高波动或高预测难度区间。</w:t>
      </w:r>
    </w:p>
    <w:p>
      <w:pPr>
        <w:pStyle w:val="BodyText"/>
      </w:pPr>
      <w:r>
        <w:drawing>
          <wp:inline>
            <wp:extent cx="5120640" cy="2801859"/>
            <wp:effectExtent b="0" l="0" r="0" t="0"/>
            <wp:docPr descr="image" title="" id="143" name="Picture"/>
            <a:graphic>
              <a:graphicData uri="http://schemas.openxmlformats.org/drawingml/2006/picture">
                <pic:pic>
                  <pic:nvPicPr>
                    <pic:cNvPr descr="历史窗口极端性检验.png" id="144" name="Picture"/>
                    <pic:cNvPicPr>
                      <a:picLocks noChangeArrowheads="1" noChangeAspect="1"/>
                    </pic:cNvPicPr>
                  </pic:nvPicPr>
                  <pic:blipFill>
                    <a:blip r:embed="rId142"/>
                    <a:stretch>
                      <a:fillRect/>
                    </a:stretch>
                  </pic:blipFill>
                  <pic:spPr bwMode="auto">
                    <a:xfrm>
                      <a:off x="0" y="0"/>
                      <a:ext cx="5120640" cy="2801859"/>
                    </a:xfrm>
                    <a:prstGeom prst="rect">
                      <a:avLst/>
                    </a:prstGeom>
                    <a:noFill/>
                    <a:ln w="9525">
                      <a:noFill/>
                      <a:headEnd/>
                      <a:tailEnd/>
                    </a:ln>
                  </pic:spPr>
                </pic:pic>
              </a:graphicData>
            </a:graphic>
          </wp:inline>
        </w:drawing>
      </w:r>
    </w:p>
    <w:p>
      <w:pPr>
        <w:pStyle w:val="BodyText"/>
      </w:pPr>
      <w:r>
        <w:rPr>
          <w:rFonts w:hint="eastAsia"/>
        </w:rPr>
        <w:t xml:space="preserve">附图</w:t>
      </w:r>
      <w:r>
        <w:t xml:space="preserve"> 11 </w:t>
      </w:r>
      <w:r>
        <w:rPr>
          <w:rFonts w:hint="eastAsia"/>
        </w:rPr>
        <w:t xml:space="preserve">和附图</w:t>
      </w:r>
      <w:r>
        <w:t xml:space="preserve"> 12 </w:t>
      </w:r>
      <w:r>
        <w:rPr>
          <w:rFonts w:hint="eastAsia"/>
        </w:rPr>
        <w:t xml:space="preserve">分别从市场定价风险与历史窗口位置说明同一件事：2026</w:t>
      </w:r>
      <w:r>
        <w:t xml:space="preserve"> </w:t>
      </w:r>
      <w:r>
        <w:rPr>
          <w:rFonts w:hint="eastAsia"/>
        </w:rPr>
        <w:t xml:space="preserve">年冲突窗口不是普通平稳波动段，因此长期模型需要显式保留状态切换和尾部区间，而不能只给一条确定性均值线。</w:t>
      </w:r>
    </w:p>
    <w:p>
      <w:pPr>
        <w:pStyle w:val="BodyText"/>
      </w:pPr>
      <w:r>
        <w:rPr>
          <w:rFonts w:hint="eastAsia"/>
          <w:b/>
          <w:bCs/>
        </w:rPr>
        <w:t xml:space="preserve">历史基准误差分布。</w:t>
      </w:r>
      <w:r>
        <w:rPr>
          <w:rFonts w:hint="eastAsia"/>
        </w:rPr>
        <w:t xml:space="preserve">该图比较历史同长度窗口上的基准误差分布，用于说明</w:t>
      </w:r>
      <w:r>
        <w:t xml:space="preserve"> 2026 </w:t>
      </w:r>
      <w:r>
        <w:rPr>
          <w:rFonts w:hint="eastAsia"/>
        </w:rPr>
        <w:t xml:space="preserve">年冲突窗口相对普通市场阶段的预测难度。</w:t>
      </w:r>
    </w:p>
    <w:p>
      <w:pPr>
        <w:pStyle w:val="BodyText"/>
      </w:pPr>
      <w:r>
        <w:drawing>
          <wp:inline>
            <wp:extent cx="5120640" cy="2508068"/>
            <wp:effectExtent b="0" l="0" r="0" t="0"/>
            <wp:docPr descr="image" title="" id="146" name="Picture"/>
            <a:graphic>
              <a:graphicData uri="http://schemas.openxmlformats.org/drawingml/2006/picture">
                <pic:pic>
                  <pic:nvPicPr>
                    <pic:cNvPr descr="R历史基准误差分布图.png" id="147" name="Picture"/>
                    <pic:cNvPicPr>
                      <a:picLocks noChangeArrowheads="1" noChangeAspect="1"/>
                    </pic:cNvPicPr>
                  </pic:nvPicPr>
                  <pic:blipFill>
                    <a:blip r:embed="rId145"/>
                    <a:stretch>
                      <a:fillRect/>
                    </a:stretch>
                  </pic:blipFill>
                  <pic:spPr bwMode="auto">
                    <a:xfrm>
                      <a:off x="0" y="0"/>
                      <a:ext cx="5120640" cy="2508068"/>
                    </a:xfrm>
                    <a:prstGeom prst="rect">
                      <a:avLst/>
                    </a:prstGeom>
                    <a:noFill/>
                    <a:ln w="9525">
                      <a:noFill/>
                      <a:headEnd/>
                      <a:tailEnd/>
                    </a:ln>
                  </pic:spPr>
                </pic:pic>
              </a:graphicData>
            </a:graphic>
          </wp:inline>
        </w:drawing>
      </w:r>
    </w:p>
    <w:p>
      <w:pPr>
        <w:pStyle w:val="BodyText"/>
      </w:pPr>
      <w:r>
        <w:rPr>
          <w:rFonts w:hint="eastAsia"/>
          <w:b/>
          <w:bCs/>
        </w:rPr>
        <w:t xml:space="preserve">库存与供需缺口风险。</w:t>
      </w:r>
      <w:r>
        <w:rPr>
          <w:rFonts w:hint="eastAsia"/>
        </w:rPr>
        <w:t xml:space="preserve">该图展示中长期外推中商业库存剩余率和剩余缺口风险的同步变化，说明悲观路径的尾部风险主要来自</w:t>
      </w:r>
      <w:r>
        <w:t xml:space="preserve"> SPR </w:t>
      </w:r>
      <w:r>
        <w:rPr>
          <w:rFonts w:hint="eastAsia"/>
        </w:rPr>
        <w:t xml:space="preserve">等效预算耗尽、库存缓冲下降和剩余缺口同时存在。</w:t>
      </w:r>
    </w:p>
    <w:p>
      <w:pPr>
        <w:pStyle w:val="BodyText"/>
      </w:pPr>
      <w:r>
        <w:drawing>
          <wp:inline>
            <wp:extent cx="5334000" cy="4541178"/>
            <wp:effectExtent b="0" l="0" r="0" t="0"/>
            <wp:docPr descr="image" title="" id="149" name="Picture"/>
            <a:graphic>
              <a:graphicData uri="http://schemas.openxmlformats.org/drawingml/2006/picture">
                <pic:pic>
                  <pic:nvPicPr>
                    <pic:cNvPr descr="库存与供需缺口风险.png" id="150" name="Picture"/>
                    <pic:cNvPicPr>
                      <a:picLocks noChangeArrowheads="1" noChangeAspect="1"/>
                    </pic:cNvPicPr>
                  </pic:nvPicPr>
                  <pic:blipFill>
                    <a:blip r:embed="rId148"/>
                    <a:stretch>
                      <a:fillRect/>
                    </a:stretch>
                  </pic:blipFill>
                  <pic:spPr bwMode="auto">
                    <a:xfrm>
                      <a:off x="0" y="0"/>
                      <a:ext cx="5334000" cy="4541178"/>
                    </a:xfrm>
                    <a:prstGeom prst="rect">
                      <a:avLst/>
                    </a:prstGeom>
                    <a:noFill/>
                    <a:ln w="9525">
                      <a:noFill/>
                      <a:headEnd/>
                      <a:tailEnd/>
                    </a:ln>
                  </pic:spPr>
                </pic:pic>
              </a:graphicData>
            </a:graphic>
          </wp:inline>
        </w:drawing>
      </w:r>
    </w:p>
    <w:p>
      <w:pPr>
        <w:pStyle w:val="BodyText"/>
      </w:pPr>
      <w:r>
        <w:rPr>
          <w:rFonts w:hint="eastAsia"/>
        </w:rPr>
        <w:t xml:space="preserve">上述补充图共同说明，长期外推中的随机扰动、风险变量与库存缺口并非孤立设定：历史窗口提供扰动尺度，GPR</w:t>
      </w:r>
      <w:r>
        <w:t xml:space="preserve"> </w:t>
      </w:r>
      <w:r>
        <w:rPr>
          <w:rFonts w:hint="eastAsia"/>
        </w:rPr>
        <w:t xml:space="preserve">与</w:t>
      </w:r>
      <w:r>
        <w:t xml:space="preserve"> OVX </w:t>
      </w:r>
      <w:r>
        <w:rPr>
          <w:rFonts w:hint="eastAsia"/>
        </w:rPr>
        <w:t xml:space="preserve">提供外生风险约束，库存和剩余缺口则刻画尾部二次跳涨的物理来源。因此正文把长期结果写成条件路径、分位区间和尾部概率，而不是只给一条确定性均值预测线。</w:t>
      </w:r>
    </w:p>
    <w:bookmarkEnd w:id="151"/>
    <w:bookmarkStart w:id="152" w:name="l-关键结果核查表"/>
    <w:p>
      <w:pPr>
        <w:pStyle w:val="Heading2"/>
      </w:pPr>
      <w:r>
        <w:t xml:space="preserve">L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真实价格来自赛题附件</w:t>
            </w:r>
            <w:r>
              <w:t xml:space="preserve"> </w:t>
            </w:r>
            <w:r>
              <w:rPr>
                <w:rFonts w:hint="eastAsia"/>
              </w:rPr>
              <w:t xml:space="preserve">CSV，外部数据只作数量级和风险约束</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3.47 </w:t>
            </w:r>
            <w:r>
              <w:rPr>
                <w:rFonts w:hint="eastAsia"/>
              </w:rPr>
              <w:t xml:space="preserve">美元/桶，MAE</w:t>
            </w:r>
            <w:r>
              <w:t xml:space="preserve"> = 2.87 </w:t>
            </w:r>
            <w:r>
              <w:rPr>
                <w:rFonts w:hint="eastAsia"/>
              </w:rPr>
              <w:t xml:space="preserve">美元/桶，MAPE</w:t>
            </w:r>
            <w:r>
              <w:t xml:space="preserve"> = 2.88%</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110.55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97.82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121.64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状态转移情景树显示外推期最高价突破</w:t>
            </w:r>
            <w:r>
              <w:t xml:space="preserve"> 120 </w:t>
            </w:r>
            <w:r>
              <w:rPr>
                <w:rFonts w:hint="eastAsia"/>
              </w:rPr>
              <w:t xml:space="preserve">美元/桶的条件概率约</w:t>
            </w:r>
            <w:r>
              <w:t xml:space="preserve"> 85.4%</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封锁风险衰减速度、SPR</w:t>
            </w:r>
            <w:r>
              <w:t xml:space="preserve"> </w:t>
            </w:r>
            <w:r>
              <w:rPr>
                <w:rFonts w:hint="eastAsia"/>
              </w:rPr>
              <w:t xml:space="preserve">释放上限、供应中断量、绕道运输能力</w:t>
            </w:r>
          </w:p>
        </w:tc>
      </w:tr>
    </w:tbl>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9" Target="media/rId139.png" /><Relationship Type="http://schemas.openxmlformats.org/officeDocument/2006/relationships/image" Id="rId145" Target="media/rId145.png" /><Relationship Type="http://schemas.openxmlformats.org/officeDocument/2006/relationships/image" Id="rId32" Target="media/rId32.png" /><Relationship Type="http://schemas.openxmlformats.org/officeDocument/2006/relationships/image" Id="rId130" Target="media/rId130.png" /><Relationship Type="http://schemas.openxmlformats.org/officeDocument/2006/relationships/image" Id="rId23" Target="media/rId23.png" /><Relationship Type="http://schemas.openxmlformats.org/officeDocument/2006/relationships/image" Id="rId127" Target="media/rId127.png" /><Relationship Type="http://schemas.openxmlformats.org/officeDocument/2006/relationships/image" Id="rId142" Target="media/rId142.png" /><Relationship Type="http://schemas.openxmlformats.org/officeDocument/2006/relationships/image" Id="rId67" Target="media/rId67.png" /><Relationship Type="http://schemas.openxmlformats.org/officeDocument/2006/relationships/image" Id="rId133" Target="media/rId133.png"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148" Target="media/rId148.png" /><Relationship Type="http://schemas.openxmlformats.org/officeDocument/2006/relationships/image" Id="rId136" Target="media/rId136.png" /><Relationship Type="http://schemas.openxmlformats.org/officeDocument/2006/relationships/image" Id="rId55" Target="media/rId55.png" /><Relationship Type="http://schemas.openxmlformats.org/officeDocument/2006/relationships/image" Id="rId114" Target="media/rId114.png" /><Relationship Type="http://schemas.openxmlformats.org/officeDocument/2006/relationships/image" Id="rId111" Target="media/rId111.png" /><Relationship Type="http://schemas.openxmlformats.org/officeDocument/2006/relationships/image" Id="rId42" Target="media/rId42.png" /><Relationship Type="http://schemas.openxmlformats.org/officeDocument/2006/relationships/image" Id="rId108" Target="media/rId108.png" /><Relationship Type="http://schemas.openxmlformats.org/officeDocument/2006/relationships/image" Id="rId117" Target="media/rId117.png" /><Relationship Type="http://schemas.openxmlformats.org/officeDocument/2006/relationships/image" Id="rId123" Target="media/rId123.png" /><Relationship Type="http://schemas.openxmlformats.org/officeDocument/2006/relationships/image" Id="rId120" Target="media/rId120.png" /><Relationship Type="http://schemas.openxmlformats.org/officeDocument/2006/relationships/image" Id="rId76" Target="media/rId76.png" /><Relationship Type="http://schemas.openxmlformats.org/officeDocument/2006/relationships/image" Id="rId51" Target="media/rId51.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hyperlink" Id="rId96" Target="https://fred.stlouisfed.org/series/OVXCLS" TargetMode="External" /><Relationship Type="http://schemas.openxmlformats.org/officeDocument/2006/relationships/hyperlink" Id="rId94" Target="https://publications.opec.org/momr/chapter/147/2738" TargetMode="External" /><Relationship Type="http://schemas.openxmlformats.org/officeDocument/2006/relationships/hyperlink" Id="rId92" Target="https://www.eia.gov/dnav/pet/pet_sum_sndw_dcus_nus_w.htm" TargetMode="External" /><Relationship Type="http://schemas.openxmlformats.org/officeDocument/2006/relationships/hyperlink" Id="rId89" Target="https://www.eia.gov/international/analysis/special-topics/World_Oil_Transit_Chokepoints" TargetMode="External" /><Relationship Type="http://schemas.openxmlformats.org/officeDocument/2006/relationships/hyperlink" Id="rId97" Target="https://www.ice.com/report/83" TargetMode="External" /><Relationship Type="http://schemas.openxmlformats.org/officeDocument/2006/relationships/hyperlink" Id="rId90" Target="https://www.iea.org/about/oil-security-and-emergency-response/strait-of-hormuz" TargetMode="External" /><Relationship Type="http://schemas.openxmlformats.org/officeDocument/2006/relationships/hyperlink" Id="rId91" Target="https://www.iea.org/news/iea-governing-board-concludes-2022-collective-actions" TargetMode="External" /><Relationship Type="http://schemas.openxmlformats.org/officeDocument/2006/relationships/hyperlink" Id="rId93" Target="https://www.jodidata.org/oil/" TargetMode="External" /><Relationship Type="http://schemas.openxmlformats.org/officeDocument/2006/relationships/hyperlink" Id="rId95"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96" Target="https://fred.stlouisfed.org/series/OVXCLS" TargetMode="External" /><Relationship Type="http://schemas.openxmlformats.org/officeDocument/2006/relationships/hyperlink" Id="rId94" Target="https://publications.opec.org/momr/chapter/147/2738" TargetMode="External" /><Relationship Type="http://schemas.openxmlformats.org/officeDocument/2006/relationships/hyperlink" Id="rId92" Target="https://www.eia.gov/dnav/pet/pet_sum_sndw_dcus_nus_w.htm" TargetMode="External" /><Relationship Type="http://schemas.openxmlformats.org/officeDocument/2006/relationships/hyperlink" Id="rId89" Target="https://www.eia.gov/international/analysis/special-topics/World_Oil_Transit_Chokepoints" TargetMode="External" /><Relationship Type="http://schemas.openxmlformats.org/officeDocument/2006/relationships/hyperlink" Id="rId97" Target="https://www.ice.com/report/83" TargetMode="External" /><Relationship Type="http://schemas.openxmlformats.org/officeDocument/2006/relationships/hyperlink" Id="rId90" Target="https://www.iea.org/about/oil-security-and-emergency-response/strait-of-hormuz" TargetMode="External" /><Relationship Type="http://schemas.openxmlformats.org/officeDocument/2006/relationships/hyperlink" Id="rId91" Target="https://www.iea.org/news/iea-governing-board-concludes-2022-collective-actions" TargetMode="External" /><Relationship Type="http://schemas.openxmlformats.org/officeDocument/2006/relationships/hyperlink" Id="rId93" Target="https://www.jodidata.org/oil/" TargetMode="External" /><Relationship Type="http://schemas.openxmlformats.org/officeDocument/2006/relationships/hyperlink" Id="rId95"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
  <cp:keywords/>
  <dcterms:created xsi:type="dcterms:W3CDTF">2026-05-17T15:19:24Z</dcterms:created>
  <dcterms:modified xsi:type="dcterms:W3CDTF">2026-05-17T15:19:24Z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