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6.png" ContentType="image/png"/>
  <Override PartName="/word/media/rId163.png" ContentType="image/png"/>
  <Override PartName="/word/media/rId83.png" ContentType="image/png"/>
  <Override PartName="/word/media/rId145.png" ContentType="image/png"/>
  <Override PartName="/word/media/rId36.png" ContentType="image/png"/>
  <Override PartName="/word/media/rId137.png" ContentType="image/png"/>
  <Override PartName="/word/media/rId22.png" ContentType="image/png"/>
  <Override PartName="/word/media/rId134.png" ContentType="image/png"/>
  <Override PartName="/word/media/rId160.png" ContentType="image/png"/>
  <Override PartName="/word/media/rId129.png" ContentType="image/png"/>
  <Override PartName="/word/media/rId149.png" ContentType="image/png"/>
  <Override PartName="/word/media/rId19.png" ContentType="image/png"/>
  <Override PartName="/word/media/rId26.png" ContentType="image/png"/>
  <Override PartName="/word/media/rId123.png" ContentType="image/png"/>
  <Override PartName="/word/media/rId152.png" ContentType="image/png"/>
  <Override PartName="/word/media/rId115.png" ContentType="image/png"/>
  <Override PartName="/word/media/rId60.png" ContentType="image/png"/>
  <Override PartName="/word/media/rId90.png" ContentType="image/png"/>
  <Override PartName="/word/media/rId48.png" ContentType="image/png"/>
  <Override PartName="/word/media/rId76.png" ContentType="image/png"/>
  <Override PartName="/word/media/rId97.png" ContentType="image/png"/>
  <Override PartName="/word/media/rId52.png" ContentType="image/png"/>
  <Override PartName="/word/media/rId72.png" ContentType="image/png"/>
  <Override PartName="/word/media/rId63.png" ContentType="image/png"/>
  <Override PartName="/word/media/rId94.png" ContentType="image/png"/>
  <Override PartName="/word/media/rId80.png" ContentType="image/png"/>
  <Override PartName="/word/media/rId68.png" ContentType="image/png"/>
  <Override PartName="/word/media/rId41.png" ContentType="image/png"/>
  <Override PartName="/word/media/rId141.png" ContentType="image/png"/>
  <Override PartName="/word/media/rId111.png" ContentType="image/png"/>
  <Override PartName="/word/media/rId10.png" ContentType="image/png"/>
  <Override PartName="/word/media/rId5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8"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5"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5"/>
    <w:bookmarkEnd w:id="16"/>
    <w:bookmarkStart w:id="17"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7"/>
    <w:bookmarkEnd w:id="18"/>
    <w:bookmarkStart w:id="30" w:name="数据处理与描述性分析"/>
    <w:p>
      <w:pPr>
        <w:pStyle w:val="Heading1"/>
      </w:pPr>
      <w:r>
        <w:rPr>
          <w:rFonts w:hint="eastAsia"/>
        </w:rPr>
        <w:t xml:space="preserve">数据处理与描述性分析</w:t>
      </w:r>
    </w:p>
    <w:bookmarkStart w:id="25"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CaptionedFigure"/>
      </w:pPr>
      <w:r>
        <w:drawing>
          <wp:inline>
            <wp:extent cx="4907280" cy="2453640"/>
            <wp:effectExtent b="0" l="0" r="0" t="0"/>
            <wp:docPr descr="" title="" id="20" name="Picture"/>
            <a:graphic>
              <a:graphicData uri="http://schemas.openxmlformats.org/drawingml/2006/picture">
                <pic:pic>
                  <pic:nvPicPr>
                    <pic:cNvPr descr="布伦特原油长期价格走势.png" id="21" name="Picture"/>
                    <pic:cNvPicPr>
                      <a:picLocks noChangeArrowheads="1" noChangeAspect="1"/>
                    </pic:cNvPicPr>
                  </pic:nvPicPr>
                  <pic:blipFill>
                    <a:blip r:embed="rId19"/>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3" name="Picture"/>
            <a:graphic>
              <a:graphicData uri="http://schemas.openxmlformats.org/drawingml/2006/picture">
                <pic:pic>
                  <pic:nvPicPr>
                    <pic:cNvPr descr="冲突窗口价格走势.png" id="24" name="Picture"/>
                    <pic:cNvPicPr>
                      <a:picLocks noChangeArrowheads="1" noChangeAspect="1"/>
                    </pic:cNvPicPr>
                  </pic:nvPicPr>
                  <pic:blipFill>
                    <a:blip r:embed="rId22"/>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5"/>
    <w:bookmarkStart w:id="29"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7" name="Picture"/>
            <a:graphic>
              <a:graphicData uri="http://schemas.openxmlformats.org/drawingml/2006/picture">
                <pic:pic>
                  <pic:nvPicPr>
                    <pic:cNvPr descr="布伦特收益率与波动率.png" id="28" name="Picture"/>
                    <pic:cNvPicPr>
                      <a:picLocks noChangeArrowheads="1" noChangeAspect="1"/>
                    </pic:cNvPicPr>
                  </pic:nvPicPr>
                  <pic:blipFill>
                    <a:blip r:embed="rId26"/>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29"/>
    <w:bookmarkEnd w:id="30"/>
    <w:bookmarkStart w:id="34" w:name="模型假设与符号说明"/>
    <w:p>
      <w:pPr>
        <w:pStyle w:val="Heading1"/>
      </w:pPr>
      <w:r>
        <w:rPr>
          <w:rFonts w:hint="eastAsia"/>
        </w:rPr>
        <w:t xml:space="preserve">模型假设与符号说明</w:t>
      </w:r>
    </w:p>
    <w:bookmarkStart w:id="31"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1"/>
    <w:bookmarkStart w:id="32"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2"/>
    <w:bookmarkStart w:id="33"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3"/>
    <w:bookmarkEnd w:id="34"/>
    <w:bookmarkStart w:id="40" w:name="传统供需基准模型"/>
    <w:p>
      <w:pPr>
        <w:pStyle w:val="Heading1"/>
      </w:pPr>
      <w:r>
        <w:rPr>
          <w:rFonts w:hint="eastAsia"/>
        </w:rPr>
        <w:t xml:space="preserve">传统供需基准模型</w:t>
      </w:r>
    </w:p>
    <w:bookmarkStart w:id="35"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5"/>
    <w:bookmarkStart w:id="39"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7" name="Picture"/>
            <a:graphic>
              <a:graphicData uri="http://schemas.openxmlformats.org/drawingml/2006/picture">
                <pic:pic>
                  <pic:nvPicPr>
                    <pic:cNvPr descr="传统供需基准与真实价格对比.png" id="38" name="Picture"/>
                    <pic:cNvPicPr>
                      <a:picLocks noChangeArrowheads="1" noChangeAspect="1"/>
                    </pic:cNvPicPr>
                  </pic:nvPicPr>
                  <pic:blipFill>
                    <a:blip r:embed="rId36"/>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9"/>
    <w:bookmarkEnd w:id="40"/>
    <w:bookmarkStart w:id="46"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2" name="Picture"/>
            <a:graphic>
              <a:graphicData uri="http://schemas.openxmlformats.org/drawingml/2006/picture">
                <pic:pic>
                  <pic:nvPicPr>
                    <pic:cNvPr descr="综合机制递推模型结构图.png" id="43" name="Picture"/>
                    <pic:cNvPicPr>
                      <a:picLocks noChangeArrowheads="1" noChangeAspect="1"/>
                    </pic:cNvPicPr>
                  </pic:nvPicPr>
                  <pic:blipFill>
                    <a:blip r:embed="rId41"/>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4"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4"/>
    <w:bookmarkStart w:id="45"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5"/>
    <w:bookmarkEnd w:id="46"/>
    <w:bookmarkStart w:id="106" w:name="参数校准与模型检验"/>
    <w:p>
      <w:pPr>
        <w:pStyle w:val="Heading1"/>
      </w:pPr>
      <w:r>
        <w:rPr>
          <w:rFonts w:hint="eastAsia"/>
        </w:rPr>
        <w:t xml:space="preserve">参数校准与模型检验</w:t>
      </w:r>
    </w:p>
    <w:bookmarkStart w:id="56" w:name="模型校准与拟合表现"/>
    <w:p>
      <w:pPr>
        <w:pStyle w:val="Heading2"/>
      </w:pPr>
      <w:r>
        <w:rPr>
          <w:rFonts w:hint="eastAsia"/>
        </w:rPr>
        <w:t xml:space="preserve">模型校准与拟合表现</w:t>
      </w:r>
    </w:p>
    <w:bookmarkStart w:id="47"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47"/>
    <w:bookmarkStart w:id="55"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bookmarkStart w:id="51" w:name="fig:short-term-fit"/>
    <w:p>
      <w:pPr>
        <w:pStyle w:val="CaptionedFigure"/>
      </w:pPr>
      <w:r>
        <w:drawing>
          <wp:inline>
            <wp:extent cx="4907280" cy="2587474"/>
            <wp:effectExtent b="0" l="0" r="0" t="0"/>
            <wp:docPr descr="" title="" id="49" name="Picture"/>
            <a:graphic>
              <a:graphicData uri="http://schemas.openxmlformats.org/drawingml/2006/picture">
                <pic:pic>
                  <pic:nvPicPr>
                    <pic:cNvPr descr="短期模型拟合效果.png" id="50" name="Picture"/>
                    <pic:cNvPicPr>
                      <a:picLocks noChangeArrowheads="1" noChangeAspect="1"/>
                    </pic:cNvPicPr>
                  </pic:nvPicPr>
                  <pic:blipFill>
                    <a:blip r:embed="rId48"/>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1"/>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3" name="Picture"/>
            <a:graphic>
              <a:graphicData uri="http://schemas.openxmlformats.org/drawingml/2006/picture">
                <pic:pic>
                  <pic:nvPicPr>
                    <pic:cNvPr descr="短期模型机制贡献.png" id="54" name="Picture"/>
                    <pic:cNvPicPr>
                      <a:picLocks noChangeArrowheads="1" noChangeAspect="1"/>
                    </pic:cNvPicPr>
                  </pic:nvPicPr>
                  <pic:blipFill>
                    <a:blip r:embed="rId52"/>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55"/>
    <w:bookmarkEnd w:id="56"/>
    <w:bookmarkStart w:id="67" w:name="基准对比与统计检验"/>
    <w:p>
      <w:pPr>
        <w:pStyle w:val="Heading2"/>
      </w:pPr>
      <w:r>
        <w:rPr>
          <w:rFonts w:hint="eastAsia"/>
        </w:rPr>
        <w:t xml:space="preserve">基准对比与统计检验</w:t>
      </w:r>
    </w:p>
    <w:bookmarkStart w:id="66"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8" name="Picture"/>
            <a:graphic>
              <a:graphicData uri="http://schemas.openxmlformats.org/drawingml/2006/picture">
                <pic:pic>
                  <pic:nvPicPr>
                    <pic:cNvPr descr="评审质疑防御框架图.png" id="59" name="Picture"/>
                    <pic:cNvPicPr>
                      <a:picLocks noChangeArrowheads="1" noChangeAspect="1"/>
                    </pic:cNvPicPr>
                  </pic:nvPicPr>
                  <pic:blipFill>
                    <a:blip r:embed="rId57"/>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61" name="Picture"/>
            <a:graphic>
              <a:graphicData uri="http://schemas.openxmlformats.org/drawingml/2006/picture">
                <pic:pic>
                  <pic:nvPicPr>
                    <pic:cNvPr descr="短期模型基准对比.png" id="62" name="Picture"/>
                    <pic:cNvPicPr>
                      <a:picLocks noChangeArrowheads="1" noChangeAspect="1"/>
                    </pic:cNvPicPr>
                  </pic:nvPicPr>
                  <pic:blipFill>
                    <a:blip r:embed="rId60"/>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2</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4" name="Picture"/>
            <a:graphic>
              <a:graphicData uri="http://schemas.openxmlformats.org/drawingml/2006/picture">
                <pic:pic>
                  <pic:nvPicPr>
                    <pic:cNvPr descr="短期模型滞后平移检验.png" id="65" name="Picture"/>
                    <pic:cNvPicPr>
                      <a:picLocks noChangeArrowheads="1" noChangeAspect="1"/>
                    </pic:cNvPicPr>
                  </pic:nvPicPr>
                  <pic:blipFill>
                    <a:blip r:embed="rId63"/>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66"/>
    <w:bookmarkEnd w:id="67"/>
    <w:bookmarkStart w:id="87" w:name="模型鲁棒性与稳定性评估"/>
    <w:p>
      <w:pPr>
        <w:pStyle w:val="Heading2"/>
      </w:pPr>
      <w:r>
        <w:rPr>
          <w:rFonts w:hint="eastAsia"/>
        </w:rPr>
        <w:t xml:space="preserve">模型鲁棒性与稳定性评估</w:t>
      </w:r>
    </w:p>
    <w:bookmarkStart w:id="71"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9" name="Picture"/>
            <a:graphic>
              <a:graphicData uri="http://schemas.openxmlformats.org/drawingml/2006/picture">
                <pic:pic>
                  <pic:nvPicPr>
                    <pic:cNvPr descr="短期模型过拟合压力测试.png" id="70" name="Picture"/>
                    <pic:cNvPicPr>
                      <a:picLocks noChangeArrowheads="1" noChangeAspect="1"/>
                    </pic:cNvPicPr>
                  </pic:nvPicPr>
                  <pic:blipFill>
                    <a:blip r:embed="rId68"/>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1"/>
    <w:bookmarkStart w:id="75"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73" name="Picture"/>
            <a:graphic>
              <a:graphicData uri="http://schemas.openxmlformats.org/drawingml/2006/picture">
                <pic:pic>
                  <pic:nvPicPr>
                    <pic:cNvPr descr="短期模型残差诊断增强.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5"/>
    <w:bookmarkStart w:id="79"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77" name="Picture"/>
            <a:graphic>
              <a:graphicData uri="http://schemas.openxmlformats.org/drawingml/2006/picture">
                <pic:pic>
                  <pic:nvPicPr>
                    <pic:cNvPr descr="短期模型时间轴与删块稳健性.png" id="78" name="Picture"/>
                    <pic:cNvPicPr>
                      <a:picLocks noChangeArrowheads="1" noChangeAspect="1"/>
                    </pic:cNvPicPr>
                  </pic:nvPicPr>
                  <pic:blipFill>
                    <a:blip r:embed="rId76"/>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79"/>
    <w:bookmarkStart w:id="86"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1" name="Picture"/>
            <a:graphic>
              <a:graphicData uri="http://schemas.openxmlformats.org/drawingml/2006/picture">
                <pic:pic>
                  <pic:nvPicPr>
                    <pic:cNvPr descr="短期模型统计审计.png" id="82" name="Picture"/>
                    <pic:cNvPicPr>
                      <a:picLocks noChangeArrowheads="1" noChangeAspect="1"/>
                    </pic:cNvPicPr>
                  </pic:nvPicPr>
                  <pic:blipFill>
                    <a:blip r:embed="rId80"/>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4" name="Picture"/>
            <a:graphic>
              <a:graphicData uri="http://schemas.openxmlformats.org/drawingml/2006/picture">
                <pic:pic>
                  <pic:nvPicPr>
                    <pic:cNvPr descr="R短期误差学术诊断.png" id="85" name="Picture"/>
                    <pic:cNvPicPr>
                      <a:picLocks noChangeArrowheads="1" noChangeAspect="1"/>
                    </pic:cNvPicPr>
                  </pic:nvPicPr>
                  <pic:blipFill>
                    <a:blip r:embed="rId83"/>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6"/>
    <w:bookmarkEnd w:id="87"/>
    <w:bookmarkStart w:id="105" w:name="机制消融事件边界与机器学习辅助"/>
    <w:p>
      <w:pPr>
        <w:pStyle w:val="Heading2"/>
      </w:pPr>
      <w:r>
        <w:rPr>
          <w:rFonts w:hint="eastAsia"/>
        </w:rPr>
        <w:t xml:space="preserve">机制消融、事件边界与机器学习辅助</w:t>
      </w:r>
    </w:p>
    <w:bookmarkStart w:id="88"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88"/>
    <w:bookmarkStart w:id="89"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End w:id="89"/>
    <w:bookmarkStart w:id="93"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1" name="Picture"/>
            <a:graphic>
              <a:graphicData uri="http://schemas.openxmlformats.org/drawingml/2006/picture">
                <pic:pic>
                  <pic:nvPicPr>
                    <pic:cNvPr descr="短期模型拐点局部检验.png" id="92" name="Picture"/>
                    <pic:cNvPicPr>
                      <a:picLocks noChangeArrowheads="1" noChangeAspect="1"/>
                    </pic:cNvPicPr>
                  </pic:nvPicPr>
                  <pic:blipFill>
                    <a:blip r:embed="rId90"/>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93"/>
    <w:bookmarkStart w:id="101"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5" name="Picture"/>
            <a:graphic>
              <a:graphicData uri="http://schemas.openxmlformats.org/drawingml/2006/picture">
                <pic:pic>
                  <pic:nvPicPr>
                    <pic:cNvPr descr="短期模型稳健性带.png" id="96" name="Picture"/>
                    <pic:cNvPicPr>
                      <a:picLocks noChangeArrowheads="1" noChangeAspect="1"/>
                    </pic:cNvPicPr>
                  </pic:nvPicPr>
                  <pic:blipFill>
                    <a:blip r:embed="rId94"/>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3</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0" w:name="fig:short-quality-gate"/>
    <w:p>
      <w:pPr>
        <w:pStyle w:val="CaptionedFigure"/>
      </w:pPr>
      <w:r>
        <w:drawing>
          <wp:inline>
            <wp:extent cx="4160520" cy="3874484"/>
            <wp:effectExtent b="0" l="0" r="0" t="0"/>
            <wp:docPr descr="" title="" id="98" name="Picture"/>
            <a:graphic>
              <a:graphicData uri="http://schemas.openxmlformats.org/drawingml/2006/picture">
                <pic:pic>
                  <pic:nvPicPr>
                    <pic:cNvPr descr="短期模型最终质量雷达图.png" id="99" name="Picture"/>
                    <pic:cNvPicPr>
                      <a:picLocks noChangeArrowheads="1" noChangeAspect="1"/>
                    </pic:cNvPicPr>
                  </pic:nvPicPr>
                  <pic:blipFill>
                    <a:blip r:embed="rId97"/>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0"/>
    <w:bookmarkEnd w:id="101"/>
    <w:bookmarkStart w:id="102"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02"/>
    <w:bookmarkStart w:id="104"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103"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03"/>
    <w:bookmarkEnd w:id="104"/>
    <w:bookmarkEnd w:id="105"/>
    <w:bookmarkEnd w:id="106"/>
    <w:bookmarkStart w:id="127" w:name="天三情景预测"/>
    <w:p>
      <w:pPr>
        <w:pStyle w:val="Heading1"/>
      </w:pPr>
      <w:r>
        <w:t xml:space="preserve">60–180 </w:t>
      </w:r>
      <w:r>
        <w:rPr>
          <w:rFonts w:hint="eastAsia"/>
        </w:rPr>
        <w:t xml:space="preserve">天三情景预测</w:t>
      </w:r>
    </w:p>
    <w:bookmarkStart w:id="107"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7"/>
    <w:bookmarkStart w:id="110"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08"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08"/>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09"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09"/>
    <w:bookmarkEnd w:id="110"/>
    <w:bookmarkStart w:id="126"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14" w:name="fig:long-term-fan"/>
    <w:p>
      <w:pPr>
        <w:pStyle w:val="CaptionedFigure"/>
      </w:pPr>
      <w:r>
        <w:drawing>
          <wp:inline>
            <wp:extent cx="5227320" cy="2777013"/>
            <wp:effectExtent b="0" l="0" r="0" t="0"/>
            <wp:docPr descr="" title="" id="112" name="Picture"/>
            <a:graphic>
              <a:graphicData uri="http://schemas.openxmlformats.org/drawingml/2006/picture">
                <pic:pic>
                  <pic:nvPicPr>
                    <pic:cNvPr descr="蒙特卡洛情景树高级组合图.png" id="113" name="Picture"/>
                    <pic:cNvPicPr>
                      <a:picLocks noChangeArrowheads="1" noChangeAspect="1"/>
                    </pic:cNvPicPr>
                  </pic:nvPicPr>
                  <pic:blipFill>
                    <a:blip r:embed="rId111"/>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14"/>
    <w:p>
      <w:pPr>
        <w:pStyle w:val="CaptionedFigure"/>
      </w:pPr>
      <w:r>
        <w:drawing>
          <wp:inline>
            <wp:extent cx="5013960" cy="2757678"/>
            <wp:effectExtent b="0" l="0" r="0" t="0"/>
            <wp:docPr descr="" title="" id="116" name="Picture"/>
            <a:graphic>
              <a:graphicData uri="http://schemas.openxmlformats.org/drawingml/2006/picture">
                <pic:pic>
                  <pic:nvPicPr>
                    <pic:cNvPr descr="短期拟合与长期预测总览.png" id="117" name="Picture"/>
                    <pic:cNvPicPr>
                      <a:picLocks noChangeArrowheads="1" noChangeAspect="1"/>
                    </pic:cNvPicPr>
                  </pic:nvPicPr>
                  <pic:blipFill>
                    <a:blip r:embed="rId11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4</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6</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18"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18"/>
    <w:bookmarkStart w:id="122" w:name="fig:state-transition-fan"/>
    <w:p>
      <w:pPr>
        <w:pStyle w:val="CaptionedFigure"/>
      </w:pPr>
      <w:r>
        <w:drawing>
          <wp:inline>
            <wp:extent cx="5013960" cy="3654242"/>
            <wp:effectExtent b="0" l="0" r="0" t="0"/>
            <wp:docPr descr="" title="" id="120" name="Picture"/>
            <a:graphic>
              <a:graphicData uri="http://schemas.openxmlformats.org/drawingml/2006/picture">
                <pic:pic>
                  <pic:nvPicPr>
                    <pic:cNvPr descr="长期状态转移情景树.png" id="121" name="Picture"/>
                    <pic:cNvPicPr>
                      <a:picLocks noChangeArrowheads="1" noChangeAspect="1"/>
                    </pic:cNvPicPr>
                  </pic:nvPicPr>
                  <pic:blipFill>
                    <a:blip r:embed="rId119"/>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2"/>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24" name="Picture"/>
            <a:graphic>
              <a:graphicData uri="http://schemas.openxmlformats.org/drawingml/2006/picture">
                <pic:pic>
                  <pic:nvPicPr>
                    <pic:cNvPr descr="库存与供需缺口风险.png" id="125" name="Picture"/>
                    <pic:cNvPicPr>
                      <a:picLocks noChangeArrowheads="1" noChangeAspect="1"/>
                    </pic:cNvPicPr>
                  </pic:nvPicPr>
                  <pic:blipFill>
                    <a:blip r:embed="rId123"/>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26"/>
    <w:bookmarkEnd w:id="127"/>
    <w:bookmarkStart w:id="167" w:name="敏感性分析"/>
    <w:p>
      <w:pPr>
        <w:pStyle w:val="Heading1"/>
      </w:pPr>
      <w:r>
        <w:rPr>
          <w:rFonts w:hint="eastAsia"/>
        </w:rPr>
        <w:t xml:space="preserve">敏感性分析</w:t>
      </w:r>
    </w:p>
    <w:bookmarkStart w:id="128"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8"/>
    <w:bookmarkStart w:id="133"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2" w:name="fig:sensitivity-tornado"/>
    <w:p>
      <w:pPr>
        <w:pStyle w:val="CaptionedFigure"/>
      </w:pPr>
      <w:r>
        <w:drawing>
          <wp:inline>
            <wp:extent cx="4907280" cy="2998893"/>
            <wp:effectExtent b="0" l="0" r="0" t="0"/>
            <wp:docPr descr="" title="" id="130" name="Picture"/>
            <a:graphic>
              <a:graphicData uri="http://schemas.openxmlformats.org/drawingml/2006/picture">
                <pic:pic>
                  <pic:nvPicPr>
                    <pic:cNvPr descr="参数敏感性龙卷风图.png" id="131" name="Picture"/>
                    <pic:cNvPicPr>
                      <a:picLocks noChangeArrowheads="1" noChangeAspect="1"/>
                    </pic:cNvPicPr>
                  </pic:nvPicPr>
                  <pic:blipFill>
                    <a:blip r:embed="rId129"/>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2"/>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6</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33"/>
    <w:bookmarkStart w:id="144"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35" name="Picture"/>
            <a:graphic>
              <a:graphicData uri="http://schemas.openxmlformats.org/drawingml/2006/picture">
                <pic:pic>
                  <pic:nvPicPr>
                    <pic:cNvPr descr="历史波动参数校准.png" id="136" name="Picture"/>
                    <pic:cNvPicPr>
                      <a:picLocks noChangeArrowheads="1" noChangeAspect="1"/>
                    </pic:cNvPicPr>
                  </pic:nvPicPr>
                  <pic:blipFill>
                    <a:blip r:embed="rId134"/>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40" w:name="fig:mc-path-cloud"/>
    <w:p>
      <w:pPr>
        <w:pStyle w:val="CaptionedFigure"/>
      </w:pPr>
      <w:r>
        <w:drawing>
          <wp:inline>
            <wp:extent cx="4907280" cy="2661575"/>
            <wp:effectExtent b="0" l="0" r="0" t="0"/>
            <wp:docPr descr="" title="" id="138" name="Picture"/>
            <a:graphic>
              <a:graphicData uri="http://schemas.openxmlformats.org/drawingml/2006/picture">
                <pic:pic>
                  <pic:nvPicPr>
                    <pic:cNvPr descr="传统蒙特卡洛路径云图.png" id="139" name="Picture"/>
                    <pic:cNvPicPr>
                      <a:picLocks noChangeArrowheads="1" noChangeAspect="1"/>
                    </pic:cNvPicPr>
                  </pic:nvPicPr>
                  <pic:blipFill>
                    <a:blip r:embed="rId137"/>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40"/>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42" name="Picture"/>
            <a:graphic>
              <a:graphicData uri="http://schemas.openxmlformats.org/drawingml/2006/picture">
                <pic:pic>
                  <pic:nvPicPr>
                    <pic:cNvPr descr="蒙特卡洛尾部风险概率.png" id="143" name="Picture"/>
                    <pic:cNvPicPr>
                      <a:picLocks noChangeArrowheads="1" noChangeAspect="1"/>
                    </pic:cNvPicPr>
                  </pic:nvPicPr>
                  <pic:blipFill>
                    <a:blip r:embed="rId141"/>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44"/>
    <w:bookmarkStart w:id="148"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46" name="Picture"/>
            <a:graphic>
              <a:graphicData uri="http://schemas.openxmlformats.org/drawingml/2006/picture">
                <pic:pic>
                  <pic:nvPicPr>
                    <pic:cNvPr descr="R长期状态转移扇形图.png" id="147" name="Picture"/>
                    <pic:cNvPicPr>
                      <a:picLocks noChangeArrowheads="1" noChangeAspect="1"/>
                    </pic:cNvPicPr>
                  </pic:nvPicPr>
                  <pic:blipFill>
                    <a:blip r:embed="rId145"/>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48"/>
    <w:bookmarkStart w:id="155"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50" name="Picture"/>
            <a:graphic>
              <a:graphicData uri="http://schemas.openxmlformats.org/drawingml/2006/picture">
                <pic:pic>
                  <pic:nvPicPr>
                    <pic:cNvPr descr="地缘风险指数滞后审计.png" id="151" name="Picture"/>
                    <pic:cNvPicPr>
                      <a:picLocks noChangeArrowheads="1" noChangeAspect="1"/>
                    </pic:cNvPicPr>
                  </pic:nvPicPr>
                  <pic:blipFill>
                    <a:blip r:embed="rId149"/>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53" name="Picture"/>
            <a:graphic>
              <a:graphicData uri="http://schemas.openxmlformats.org/drawingml/2006/picture">
                <pic:pic>
                  <pic:nvPicPr>
                    <pic:cNvPr descr="滞后GPR与布伦特收益关系.png" id="154" name="Picture"/>
                    <pic:cNvPicPr>
                      <a:picLocks noChangeArrowheads="1" noChangeAspect="1"/>
                    </pic:cNvPicPr>
                  </pic:nvPicPr>
                  <pic:blipFill>
                    <a:blip r:embed="rId152"/>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55"/>
    <w:bookmarkStart w:id="159"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57" name="Picture"/>
            <a:graphic>
              <a:graphicData uri="http://schemas.openxmlformats.org/drawingml/2006/picture">
                <pic:pic>
                  <pic:nvPicPr>
                    <pic:cNvPr descr="OVX隐含波动率滞后检验.png" id="158" name="Picture"/>
                    <pic:cNvPicPr>
                      <a:picLocks noChangeArrowheads="1" noChangeAspect="1"/>
                    </pic:cNvPicPr>
                  </pic:nvPicPr>
                  <pic:blipFill>
                    <a:blip r:embed="rId156"/>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59"/>
    <w:bookmarkStart w:id="166"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61" name="Picture"/>
            <a:graphic>
              <a:graphicData uri="http://schemas.openxmlformats.org/drawingml/2006/picture">
                <pic:pic>
                  <pic:nvPicPr>
                    <pic:cNvPr descr="历史窗口极端性检验.png" id="162" name="Picture"/>
                    <pic:cNvPicPr>
                      <a:picLocks noChangeArrowheads="1" noChangeAspect="1"/>
                    </pic:cNvPicPr>
                  </pic:nvPicPr>
                  <pic:blipFill>
                    <a:blip r:embed="rId160"/>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64" name="Picture"/>
            <a:graphic>
              <a:graphicData uri="http://schemas.openxmlformats.org/drawingml/2006/picture">
                <pic:pic>
                  <pic:nvPicPr>
                    <pic:cNvPr descr="R历史基准误差分布图.png" id="165" name="Picture"/>
                    <pic:cNvPicPr>
                      <a:picLocks noChangeArrowheads="1" noChangeAspect="1"/>
                    </pic:cNvPicPr>
                  </pic:nvPicPr>
                  <pic:blipFill>
                    <a:blip r:embed="rId163"/>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66"/>
    <w:bookmarkEnd w:id="167"/>
    <w:bookmarkStart w:id="171" w:name="模型评价"/>
    <w:p>
      <w:pPr>
        <w:pStyle w:val="Heading1"/>
      </w:pPr>
      <w:r>
        <w:rPr>
          <w:rFonts w:hint="eastAsia"/>
        </w:rPr>
        <w:t xml:space="preserve">模型评价</w:t>
      </w:r>
    </w:p>
    <w:bookmarkStart w:id="168"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68"/>
    <w:bookmarkStart w:id="169"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69"/>
    <w:bookmarkStart w:id="170"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70"/>
    <w:bookmarkEnd w:id="171"/>
    <w:bookmarkStart w:id="172"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72"/>
    <w:bookmarkStart w:id="181"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73">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74">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75">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76">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77">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78">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79">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80">
        <w:r>
          <w:rPr>
            <w:rStyle w:val="Hyperlink"/>
          </w:rPr>
          <w:t xml:space="preserve">FRED data page</w:t>
        </w:r>
      </w:hyperlink>
      <w:r>
        <w:t xml:space="preserve">.</w:t>
      </w:r>
    </w:p>
    <w:bookmarkEnd w:id="181"/>
    <w:bookmarkStart w:id="188" w:name="附录"/>
    <w:p>
      <w:pPr>
        <w:pStyle w:val="Heading1"/>
      </w:pPr>
      <w:r>
        <w:rPr>
          <w:rFonts w:hint="eastAsia"/>
        </w:rPr>
        <w:t xml:space="preserve">附录</w:t>
      </w:r>
    </w:p>
    <w:bookmarkStart w:id="182"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82"/>
    <w:bookmarkStart w:id="183"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83"/>
    <w:bookmarkStart w:id="184"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84"/>
    <w:bookmarkStart w:id="185"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85"/>
    <w:bookmarkStart w:id="186"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86"/>
    <w:bookmarkStart w:id="187"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6" Target="media/rId156.png" /><Relationship Type="http://schemas.openxmlformats.org/officeDocument/2006/relationships/image" Id="rId163" Target="media/rId163.png" /><Relationship Type="http://schemas.openxmlformats.org/officeDocument/2006/relationships/image" Id="rId83" Target="media/rId83.png" /><Relationship Type="http://schemas.openxmlformats.org/officeDocument/2006/relationships/image" Id="rId145" Target="media/rId145.png" /><Relationship Type="http://schemas.openxmlformats.org/officeDocument/2006/relationships/image" Id="rId36" Target="media/rId36.png" /><Relationship Type="http://schemas.openxmlformats.org/officeDocument/2006/relationships/image" Id="rId137" Target="media/rId137.png" /><Relationship Type="http://schemas.openxmlformats.org/officeDocument/2006/relationships/image" Id="rId22" Target="media/rId22.png" /><Relationship Type="http://schemas.openxmlformats.org/officeDocument/2006/relationships/image" Id="rId134" Target="media/rId134.png" /><Relationship Type="http://schemas.openxmlformats.org/officeDocument/2006/relationships/image" Id="rId160" Target="media/rId160.png" /><Relationship Type="http://schemas.openxmlformats.org/officeDocument/2006/relationships/image" Id="rId129" Target="media/rId129.png" /><Relationship Type="http://schemas.openxmlformats.org/officeDocument/2006/relationships/image" Id="rId149" Target="media/rId149.png"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123" Target="media/rId123.png" /><Relationship Type="http://schemas.openxmlformats.org/officeDocument/2006/relationships/image" Id="rId152" Target="media/rId152.png" /><Relationship Type="http://schemas.openxmlformats.org/officeDocument/2006/relationships/image" Id="rId115" Target="media/rId115.png" /><Relationship Type="http://schemas.openxmlformats.org/officeDocument/2006/relationships/image" Id="rId60" Target="media/rId60.png" /><Relationship Type="http://schemas.openxmlformats.org/officeDocument/2006/relationships/image" Id="rId90" Target="media/rId90.png" /><Relationship Type="http://schemas.openxmlformats.org/officeDocument/2006/relationships/image" Id="rId48" Target="media/rId48.png" /><Relationship Type="http://schemas.openxmlformats.org/officeDocument/2006/relationships/image" Id="rId76" Target="media/rId76.png" /><Relationship Type="http://schemas.openxmlformats.org/officeDocument/2006/relationships/image" Id="rId97" Target="media/rId97.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3" Target="media/rId63.png" /><Relationship Type="http://schemas.openxmlformats.org/officeDocument/2006/relationships/image" Id="rId94" Target="media/rId94.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41" Target="media/rId41.png" /><Relationship Type="http://schemas.openxmlformats.org/officeDocument/2006/relationships/image" Id="rId141" Target="media/rId141.png" /><Relationship Type="http://schemas.openxmlformats.org/officeDocument/2006/relationships/image" Id="rId111" Target="media/rId111.png" /><Relationship Type="http://schemas.openxmlformats.org/officeDocument/2006/relationships/image" Id="rId10" Target="media/rId10.png" /><Relationship Type="http://schemas.openxmlformats.org/officeDocument/2006/relationships/image" Id="rId57" Target="media/rId57.png" /><Relationship Type="http://schemas.openxmlformats.org/officeDocument/2006/relationships/image" Id="rId119" Target="media/rId119.png" /><Relationship Type="http://schemas.openxmlformats.org/officeDocument/2006/relationships/hyperlink" Id="rId180" Target="https://fred.stlouisfed.org/series/OVXCLS" TargetMode="External" /><Relationship Type="http://schemas.openxmlformats.org/officeDocument/2006/relationships/hyperlink" Id="rId178" Target="https://publications.opec.org/momr/chapter/147/2738" TargetMode="External" /><Relationship Type="http://schemas.openxmlformats.org/officeDocument/2006/relationships/hyperlink" Id="rId176" Target="https://www.eia.gov/dnav/pet/pet_sum_sndw_dcus_nus_w.htm" TargetMode="External" /><Relationship Type="http://schemas.openxmlformats.org/officeDocument/2006/relationships/hyperlink" Id="rId173" Target="https://www.eia.gov/international/analysis/special-topics/World_Oil_Transit_Chokepoints" TargetMode="External" /><Relationship Type="http://schemas.openxmlformats.org/officeDocument/2006/relationships/hyperlink" Id="rId174" Target="https://www.iea.org/about/oil-security-and-emergency-response/strait-of-hormuz" TargetMode="External" /><Relationship Type="http://schemas.openxmlformats.org/officeDocument/2006/relationships/hyperlink" Id="rId175" Target="https://www.iea.org/news/iea-governing-board-concludes-2022-collective-actions" TargetMode="External" /><Relationship Type="http://schemas.openxmlformats.org/officeDocument/2006/relationships/hyperlink" Id="rId177" Target="https://www.jodidata.org/oil/" TargetMode="External" /><Relationship Type="http://schemas.openxmlformats.org/officeDocument/2006/relationships/hyperlink" Id="rId179"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80" Target="https://fred.stlouisfed.org/series/OVXCLS" TargetMode="External" /><Relationship Type="http://schemas.openxmlformats.org/officeDocument/2006/relationships/hyperlink" Id="rId178" Target="https://publications.opec.org/momr/chapter/147/2738" TargetMode="External" /><Relationship Type="http://schemas.openxmlformats.org/officeDocument/2006/relationships/hyperlink" Id="rId176" Target="https://www.eia.gov/dnav/pet/pet_sum_sndw_dcus_nus_w.htm" TargetMode="External" /><Relationship Type="http://schemas.openxmlformats.org/officeDocument/2006/relationships/hyperlink" Id="rId173" Target="https://www.eia.gov/international/analysis/special-topics/World_Oil_Transit_Chokepoints" TargetMode="External" /><Relationship Type="http://schemas.openxmlformats.org/officeDocument/2006/relationships/hyperlink" Id="rId174" Target="https://www.iea.org/about/oil-security-and-emergency-response/strait-of-hormuz" TargetMode="External" /><Relationship Type="http://schemas.openxmlformats.org/officeDocument/2006/relationships/hyperlink" Id="rId175" Target="https://www.iea.org/news/iea-governing-board-concludes-2022-collective-actions" TargetMode="External" /><Relationship Type="http://schemas.openxmlformats.org/officeDocument/2006/relationships/hyperlink" Id="rId177" Target="https://www.jodidata.org/oil/" TargetMode="External" /><Relationship Type="http://schemas.openxmlformats.org/officeDocument/2006/relationships/hyperlink" Id="rId179"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2026-05-13T08:12:17Z</dcterms:created>
  <dcterms:modified xsi:type="dcterms:W3CDTF">2026-05-13T08:12:17Z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