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54.png" ContentType="image/png"/>
  <Override PartName="/word/media/rId83.png" ContentType="image/png"/>
  <Override PartName="/word/media/rId136.png" ContentType="image/png"/>
  <Override PartName="/word/media/rId35.png" ContentType="image/png"/>
  <Override PartName="/word/media/rId128.png" ContentType="image/png"/>
  <Override PartName="/word/media/rId21.png" ContentType="image/png"/>
  <Override PartName="/word/media/rId125.png" ContentType="image/png"/>
  <Override PartName="/word/media/rId151.png" ContentType="image/png"/>
  <Override PartName="/word/media/rId121.png" ContentType="image/png"/>
  <Override PartName="/word/media/rId140.png" ContentType="image/png"/>
  <Override PartName="/word/media/rId18.png" ContentType="image/png"/>
  <Override PartName="/word/media/rId25.png" ContentType="image/png"/>
  <Override PartName="/word/media/rId115.png" ContentType="image/png"/>
  <Override PartName="/word/media/rId143.png" ContentType="image/png"/>
  <Override PartName="/word/media/rId108.png" ContentType="image/png"/>
  <Override PartName="/word/media/rId72.png" ContentType="image/png"/>
  <Override PartName="/word/media/rId57.png" ContentType="image/png"/>
  <Override PartName="/word/media/rId88.png" ContentType="image/png"/>
  <Override PartName="/word/media/rId47.png" ContentType="image/png"/>
  <Override PartName="/word/media/rId76.png" ContentType="image/png"/>
  <Override PartName="/word/media/rId50.png" ContentType="image/png"/>
  <Override PartName="/word/media/rId68.png" ContentType="image/png"/>
  <Override PartName="/word/media/rId60.png" ContentType="image/png"/>
  <Override PartName="/word/media/rId92.png" ContentType="image/png"/>
  <Override PartName="/word/media/rId80.png" ContentType="image/png"/>
  <Override PartName="/word/media/rId64.png" ContentType="image/png"/>
  <Override PartName="/word/media/rId40.png" ContentType="image/png"/>
  <Override PartName="/word/media/rId132.png" ContentType="image/png"/>
  <Override PartName="/word/media/rId104.png" ContentType="image/png"/>
  <Override PartName="/word/media/rId10.png" ContentType="image/png"/>
  <Override PartName="/word/media/rId5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基准。进一步加入只使用滞后误差的在线残差校正后，RMSE</w:t>
      </w:r>
      <w:r>
        <w:t xml:space="preserve"> </w:t>
      </w:r>
      <w:r>
        <w:rPr>
          <w:rFonts w:hint="eastAsia"/>
        </w:rPr>
        <w:t xml:space="preserve">降至</w:t>
      </w:r>
      <w:r>
        <w:t xml:space="preserve"> 3.38 </w:t>
      </w:r>
      <w:r>
        <w:rPr>
          <w:rFonts w:hint="eastAsia"/>
        </w:rPr>
        <w:t xml:space="preserve">美元/桶，但方向命中率低于机制主模型，因此仅作为计算机辅助增强层。滞后平移、拐点、机制消融和结构稳定性检验表明，模型不是简单滞后复制，110–120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输入短期拟合，而只将其作为外部风险校验和滞后检验变量，防止同月新闻与同月油价之间的内生性循环。进一步地，本文接入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隐含波动率，将更接近市场交易定价的风险变量用于长期风险权重和不确定性强度约束，而不把它包装成短期方向预测因子。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该层的函数形式来自三个建模约束。第一，Kilian（2009）、Hamilton（2009）和</w:t>
      </w:r>
      <w:r>
        <w:t xml:space="preserve"> Kilian </w:t>
      </w:r>
      <w:r>
        <w:rPr>
          <w:rFonts w:hint="eastAsia"/>
        </w:rPr>
        <w:t xml:space="preserve">与</w:t>
      </w:r>
      <w:r>
        <w:t xml:space="preserve"> </w:t>
      </w:r>
      <w:r>
        <w:rPr>
          <w:rFonts w:hint="eastAsia"/>
        </w:rPr>
        <w:t xml:space="preserve">Murphy（2014）的研究表明，油价冲击应区分物理供给、预防性需求、库存和预期再定价；因此，本文将剩余物理缺口和风险溢价分开建模。第二，题面给出恐慌情绪放大持续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表示约一周尺度的信息吸收，而指数衰减项表示市场在观察到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可知，式中指数项不是为拟合曲线任意添加，而是对</w:t>
      </w:r>
      <w:r>
        <w:rPr>
          <w:rFonts w:hint="eastAsia"/>
        </w:rPr>
        <w:t xml:space="preserve">“冲击建立–风险消化–缓冲确认”</w:t>
      </w:r>
      <w:r>
        <w:rPr>
          <w:rFonts w:hint="eastAsia"/>
        </w:rPr>
        <w:t xml:space="preserve">三类时间过程的简化表示。</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bookmarkEnd w:id="44"/>
    <w:bookmarkEnd w:id="45"/>
    <w:bookmarkStart w:id="99"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避免把校准参数包装成外生事实。</w:t>
      </w:r>
    </w:p>
    <w:p>
      <w:pPr>
        <w:pStyle w:val="BodyText"/>
      </w:pPr>
      <w:r>
        <w:rPr>
          <w:rFonts w:hint="eastAsia"/>
        </w:rPr>
        <w:t xml:space="preserve">其中，供应中断量</w:t>
      </w:r>
      <w:r>
        <w:t xml:space="preserve"> 1493 </w:t>
      </w:r>
      <w:r>
        <w:rPr>
          <w:rFonts w:hint="eastAsia"/>
        </w:rPr>
        <w:t xml:space="preserve">万桶/日不是官方观测到的实际中断量，而是在赛题给定中断范围内由短期冲突窗口校准得到的中心情景值。本文只将其作为模型参数使用，并在长期乐观、中性、悲观情景以及蒙特卡洛抽样中覆盖</w:t>
      </w:r>
      <w:r>
        <w:t xml:space="preserve"> 1400–1800 </w:t>
      </w:r>
      <w:r>
        <w:rPr>
          <w:rFonts w:hint="eastAsia"/>
        </w:rPr>
        <w:t xml:space="preserve">万桶/日的扰动区间，避免把单一校准点误写成外生事实。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鲁棒性检验"/>
    <w:p>
      <w:pPr>
        <w:pStyle w:val="Heading2"/>
      </w:pPr>
      <w:r>
        <w:rPr>
          <w:rFonts w:hint="eastAsia"/>
        </w:rPr>
        <w:t xml:space="preserve">基准对比与鲁棒性检验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结构稳定性检验"/>
    <w:p>
      <w:pPr>
        <w:pStyle w:val="Heading2"/>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5"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主模型负责机制解释和方向判断，在线校正层只用于说明残差层面仍存在有限的自适应改进空间。</w:t>
      </w:r>
    </w:p>
    <w:bookmarkEnd w:id="75"/>
    <w:bookmarkStart w:id="79"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检验与-r-语言辅助定位"/>
    <w:p>
      <w:pPr>
        <w:pStyle w:val="Heading2"/>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Start w:id="87"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7"/>
    <w:bookmarkStart w:id="91"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9" name="Picture"/>
            <a:graphic>
              <a:graphicData uri="http://schemas.openxmlformats.org/drawingml/2006/picture">
                <pic:pic>
                  <pic:nvPicPr>
                    <pic:cNvPr descr="短期模型拐点局部检验.png" id="90" name="Picture"/>
                    <pic:cNvPicPr>
                      <a:picLocks noChangeArrowheads="1" noChangeAspect="1"/>
                    </pic:cNvPicPr>
                  </pic:nvPicPr>
                  <pic:blipFill>
                    <a:blip r:embed="rId88"/>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1"/>
    <w:bookmarkStart w:id="95"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3" name="Picture"/>
            <a:graphic>
              <a:graphicData uri="http://schemas.openxmlformats.org/drawingml/2006/picture">
                <pic:pic>
                  <pic:nvPicPr>
                    <pic:cNvPr descr="短期模型稳健性带.png" id="94" name="Picture"/>
                    <pic:cNvPicPr>
                      <a:picLocks noChangeArrowheads="1" noChangeAspect="1"/>
                    </pic:cNvPicPr>
                  </pic:nvPicPr>
                  <pic:blipFill>
                    <a:blip r:embed="rId9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95"/>
    <w:bookmarkStart w:id="96" w:name="内生性反事实基准与结构边界"/>
    <w:p>
      <w:pPr>
        <w:pStyle w:val="Heading2"/>
      </w:pPr>
      <w:r>
        <w:rPr>
          <w:rFonts w:hint="eastAsia"/>
        </w:rPr>
        <w:t xml:space="preserve">内生性、反事实基准与结构边界</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最后，本文检查递推结构的价格边界。短期动态递推函数中不存在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美元只作为题面观测参考区间出现在图表阴影和展示配置中，不参与价格递推计算。需要强调的是，当前模型也不是严格意义上的微观多智能体涌现模型，更准确的表述应是机制递推模型；本文可以说明</w:t>
      </w:r>
      <w:r>
        <w:t xml:space="preserve"> 120 </w:t>
      </w:r>
      <w:r>
        <w:rPr>
          <w:rFonts w:hint="eastAsia"/>
        </w:rPr>
        <w:t xml:space="preserve">美元平台不是外生价格上限，但不声称已经实现了多智能体动态纳什均衡。</w:t>
      </w:r>
    </w:p>
    <w:bookmarkEnd w:id="96"/>
    <w:bookmarkStart w:id="98" w:name="鲁棒性与边界检验总览"/>
    <w:p>
      <w:pPr>
        <w:pStyle w:val="Heading2"/>
      </w:pPr>
      <w:r>
        <w:rPr>
          <w:rFonts w:hint="eastAsia"/>
        </w:rPr>
        <w:t xml:space="preserve">鲁棒性与边界检验总览</w:t>
      </w:r>
    </w:p>
    <w:p>
      <w:pPr>
        <w:pStyle w:val="FirstParagraph"/>
      </w:pPr>
      <w:r>
        <w:rPr>
          <w:rFonts w:hint="eastAsia"/>
        </w:rPr>
        <w:t xml:space="preserve">为避免模型检验只呈现有利指标，本文将关键不确定性来源转化为鲁棒性与边界检验。表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中的检验均不重新寻找最优参数，而是在同一模型框架下改变某个关键条件，观察主结论是否保持稳定。</w:t>
      </w:r>
    </w:p>
    <w:bookmarkStart w:id="97"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97"/>
    <w:bookmarkEnd w:id="98"/>
    <w:bookmarkEnd w:id="99"/>
    <w:bookmarkStart w:id="119" w:name="天三情景预测"/>
    <w:p>
      <w:pPr>
        <w:pStyle w:val="Heading1"/>
      </w:pPr>
      <w:r>
        <w:t xml:space="preserve">60–180 </w:t>
      </w:r>
      <w:r>
        <w:rPr>
          <w:rFonts w:hint="eastAsia"/>
        </w:rPr>
        <w:t xml:space="preserve">天三情景预测</w:t>
      </w:r>
    </w:p>
    <w:bookmarkStart w:id="100"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0"/>
    <w:bookmarkStart w:id="103"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为避免参数自由度过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校验方式见表</w:t>
      </w:r>
      <w:r>
        <w:t xml:space="preserve"> </w:t>
      </w:r>
      <w:hyperlink w:anchor="tab:long-parameter-audit">
        <w:r>
          <w:rPr>
            <w:rStyle w:val="Hyperlink"/>
          </w:rPr>
          <w:t xml:space="preserve">4</w:t>
        </w:r>
      </w:hyperlink>
      <w:r>
        <w:t xml:space="preserve">。</w:t>
      </w:r>
    </w:p>
    <w:bookmarkStart w:id="101"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01"/>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2"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02"/>
    <w:bookmarkEnd w:id="103"/>
    <w:bookmarkStart w:id="11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07" w:name="fig:long-term-fan"/>
    <w:p>
      <w:pPr>
        <w:pStyle w:val="CaptionedFigure"/>
      </w:pPr>
      <w:r>
        <w:drawing>
          <wp:inline>
            <wp:extent cx="5227320" cy="2777013"/>
            <wp:effectExtent b="0" l="0" r="0" t="0"/>
            <wp:docPr descr="" title="" id="105" name="Picture"/>
            <a:graphic>
              <a:graphicData uri="http://schemas.openxmlformats.org/drawingml/2006/picture">
                <pic:pic>
                  <pic:nvPicPr>
                    <pic:cNvPr descr="蒙特卡洛情景树高级组合图.png" id="106" name="Picture"/>
                    <pic:cNvPicPr>
                      <a:picLocks noChangeArrowheads="1" noChangeAspect="1"/>
                    </pic:cNvPicPr>
                  </pic:nvPicPr>
                  <pic:blipFill>
                    <a:blip r:embed="rId104"/>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w:t>
      </w:r>
    </w:p>
    <w:bookmarkEnd w:id="107"/>
    <w:p>
      <w:pPr>
        <w:pStyle w:val="CaptionedFigure"/>
      </w:pPr>
      <w:r>
        <w:drawing>
          <wp:inline>
            <wp:extent cx="5013960" cy="2757678"/>
            <wp:effectExtent b="0" l="0" r="0" t="0"/>
            <wp:docPr descr="" title="" id="109" name="Picture"/>
            <a:graphic>
              <a:graphicData uri="http://schemas.openxmlformats.org/drawingml/2006/picture">
                <pic:pic>
                  <pic:nvPicPr>
                    <pic:cNvPr descr="短期拟合与长期预测总览.png" id="110" name="Picture"/>
                    <pic:cNvPicPr>
                      <a:picLocks noChangeArrowheads="1" noChangeAspect="1"/>
                    </pic:cNvPicPr>
                  </pic:nvPicPr>
                  <pic:blipFill>
                    <a:blip r:embed="rId10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与实现波动率相关性生成综合状态转移压力，用于温和提高早中期升级概率。这样得到的长期图不再是一条孤立直线，而是中心路径、状态概率和尾部区间的组合。</w:t>
      </w:r>
    </w:p>
    <w:bookmarkStart w:id="114" w:name="fig:state-transition-fan"/>
    <w:p>
      <w:pPr>
        <w:pStyle w:val="CaptionedFigure"/>
      </w:pPr>
      <w:r>
        <w:drawing>
          <wp:inline>
            <wp:extent cx="5013960" cy="3654242"/>
            <wp:effectExtent b="0" l="0" r="0" t="0"/>
            <wp:docPr descr="" title="" id="112" name="Picture"/>
            <a:graphic>
              <a:graphicData uri="http://schemas.openxmlformats.org/drawingml/2006/picture">
                <pic:pic>
                  <pic:nvPicPr>
                    <pic:cNvPr descr="长期状态转移情景树.png" id="113" name="Picture"/>
                    <pic:cNvPicPr>
                      <a:picLocks noChangeArrowheads="1" noChangeAspect="1"/>
                    </pic:cNvPicPr>
                  </pic:nvPicPr>
                  <pic:blipFill>
                    <a:blip r:embed="rId11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14"/>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16" name="Picture"/>
            <a:graphic>
              <a:graphicData uri="http://schemas.openxmlformats.org/drawingml/2006/picture">
                <pic:pic>
                  <pic:nvPicPr>
                    <pic:cNvPr descr="库存与供需缺口风险.png" id="117" name="Picture"/>
                    <pic:cNvPicPr>
                      <a:picLocks noChangeArrowheads="1" noChangeAspect="1"/>
                    </pic:cNvPicPr>
                  </pic:nvPicPr>
                  <pic:blipFill>
                    <a:blip r:embed="rId11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8"/>
    <w:bookmarkEnd w:id="119"/>
    <w:bookmarkStart w:id="158" w:name="敏感性分析"/>
    <w:p>
      <w:pPr>
        <w:pStyle w:val="Heading1"/>
      </w:pPr>
      <w:r>
        <w:rPr>
          <w:rFonts w:hint="eastAsia"/>
        </w:rPr>
        <w:t xml:space="preserve">敏感性分析</w:t>
      </w:r>
    </w:p>
    <w:bookmarkStart w:id="12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0"/>
    <w:bookmarkStart w:id="12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22" name="Picture"/>
            <a:graphic>
              <a:graphicData uri="http://schemas.openxmlformats.org/drawingml/2006/picture">
                <pic:pic>
                  <pic:nvPicPr>
                    <pic:cNvPr descr="参数敏感性龙卷风图.png" id="123" name="Picture"/>
                    <pic:cNvPicPr>
                      <a:picLocks noChangeArrowheads="1" noChangeAspect="1"/>
                    </pic:cNvPicPr>
                  </pic:nvPicPr>
                  <pic:blipFill>
                    <a:blip r:embed="rId12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24"/>
    <w:bookmarkStart w:id="13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为避免蒙特卡洛区间完全依赖主观设定，本文进一步利用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26" name="Picture"/>
            <a:graphic>
              <a:graphicData uri="http://schemas.openxmlformats.org/drawingml/2006/picture">
                <pic:pic>
                  <pic:nvPicPr>
                    <pic:cNvPr descr="历史波动参数校准.png" id="127" name="Picture"/>
                    <pic:cNvPicPr>
                      <a:picLocks noChangeArrowheads="1" noChangeAspect="1"/>
                    </pic:cNvPicPr>
                  </pic:nvPicPr>
                  <pic:blipFill>
                    <a:blip r:embed="rId12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31" w:name="fig:mc-path-cloud"/>
    <w:p>
      <w:pPr>
        <w:pStyle w:val="CaptionedFigure"/>
      </w:pPr>
      <w:r>
        <w:drawing>
          <wp:inline>
            <wp:extent cx="4907280" cy="2661575"/>
            <wp:effectExtent b="0" l="0" r="0" t="0"/>
            <wp:docPr descr="" title="" id="129" name="Picture"/>
            <a:graphic>
              <a:graphicData uri="http://schemas.openxmlformats.org/drawingml/2006/picture">
                <pic:pic>
                  <pic:nvPicPr>
                    <pic:cNvPr descr="传统蒙特卡洛路径云图.png" id="130" name="Picture"/>
                    <pic:cNvPicPr>
                      <a:picLocks noChangeArrowheads="1" noChangeAspect="1"/>
                    </pic:cNvPicPr>
                  </pic:nvPicPr>
                  <pic:blipFill>
                    <a:blip r:embed="rId12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3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33" name="Picture"/>
            <a:graphic>
              <a:graphicData uri="http://schemas.openxmlformats.org/drawingml/2006/picture">
                <pic:pic>
                  <pic:nvPicPr>
                    <pic:cNvPr descr="蒙特卡洛尾部风险概率.png" id="134" name="Picture"/>
                    <pic:cNvPicPr>
                      <a:picLocks noChangeArrowheads="1" noChangeAspect="1"/>
                    </pic:cNvPicPr>
                  </pic:nvPicPr>
                  <pic:blipFill>
                    <a:blip r:embed="rId13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35"/>
    <w:bookmarkStart w:id="13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37" name="Picture"/>
            <a:graphic>
              <a:graphicData uri="http://schemas.openxmlformats.org/drawingml/2006/picture">
                <pic:pic>
                  <pic:nvPicPr>
                    <pic:cNvPr descr="R长期状态转移扇形图.png" id="138" name="Picture"/>
                    <pic:cNvPicPr>
                      <a:picLocks noChangeArrowheads="1" noChangeAspect="1"/>
                    </pic:cNvPicPr>
                  </pic:nvPicPr>
                  <pic:blipFill>
                    <a:blip r:embed="rId13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39"/>
    <w:bookmarkStart w:id="14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月度指数做外部校验，并采用滞后一期口径。</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41" name="Picture"/>
            <a:graphic>
              <a:graphicData uri="http://schemas.openxmlformats.org/drawingml/2006/picture">
                <pic:pic>
                  <pic:nvPicPr>
                    <pic:cNvPr descr="地缘风险指数滞后审计.png" id="142" name="Picture"/>
                    <pic:cNvPicPr>
                      <a:picLocks noChangeArrowheads="1" noChangeAspect="1"/>
                    </pic:cNvPicPr>
                  </pic:nvPicPr>
                  <pic:blipFill>
                    <a:blip r:embed="rId14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44" name="Picture"/>
            <a:graphic>
              <a:graphicData uri="http://schemas.openxmlformats.org/drawingml/2006/picture">
                <pic:pic>
                  <pic:nvPicPr>
                    <pic:cNvPr descr="滞后GPR与布伦特收益关系.png" id="145" name="Picture"/>
                    <pic:cNvPicPr>
                      <a:picLocks noChangeArrowheads="1" noChangeAspect="1"/>
                    </pic:cNvPicPr>
                  </pic:nvPicPr>
                  <pic:blipFill>
                    <a:blip r:embed="rId14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46"/>
    <w:bookmarkStart w:id="15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48" name="Picture"/>
            <a:graphic>
              <a:graphicData uri="http://schemas.openxmlformats.org/drawingml/2006/picture">
                <pic:pic>
                  <pic:nvPicPr>
                    <pic:cNvPr descr="OVX隐含波动率滞后检验.png" id="149" name="Picture"/>
                    <pic:cNvPicPr>
                      <a:picLocks noChangeArrowheads="1" noChangeAspect="1"/>
                    </pic:cNvPicPr>
                  </pic:nvPicPr>
                  <pic:blipFill>
                    <a:blip r:embed="rId14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50"/>
    <w:bookmarkStart w:id="15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52" name="Picture"/>
            <a:graphic>
              <a:graphicData uri="http://schemas.openxmlformats.org/drawingml/2006/picture">
                <pic:pic>
                  <pic:nvPicPr>
                    <pic:cNvPr descr="历史窗口极端性检验.png" id="153" name="Picture"/>
                    <pic:cNvPicPr>
                      <a:picLocks noChangeArrowheads="1" noChangeAspect="1"/>
                    </pic:cNvPicPr>
                  </pic:nvPicPr>
                  <pic:blipFill>
                    <a:blip r:embed="rId15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55" name="Picture"/>
            <a:graphic>
              <a:graphicData uri="http://schemas.openxmlformats.org/drawingml/2006/picture">
                <pic:pic>
                  <pic:nvPicPr>
                    <pic:cNvPr descr="R历史基准误差分布图.png" id="156" name="Picture"/>
                    <pic:cNvPicPr>
                      <a:picLocks noChangeArrowheads="1" noChangeAspect="1"/>
                    </pic:cNvPicPr>
                  </pic:nvPicPr>
                  <pic:blipFill>
                    <a:blip r:embed="rId15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57"/>
    <w:bookmarkEnd w:id="158"/>
    <w:bookmarkStart w:id="162" w:name="模型评价"/>
    <w:p>
      <w:pPr>
        <w:pStyle w:val="Heading1"/>
      </w:pPr>
      <w:r>
        <w:rPr>
          <w:rFonts w:hint="eastAsia"/>
        </w:rPr>
        <w:t xml:space="preserve">模型评价</w:t>
      </w:r>
    </w:p>
    <w:bookmarkStart w:id="159"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证据链完整：从附件数据清洗、传统供需基准、动态模型、校准、鲁棒性检验、三情景预测到敏感性分析均可复现。</w:t>
      </w:r>
    </w:p>
    <w:p>
      <w:pPr>
        <w:numPr>
          <w:ilvl w:val="0"/>
          <w:numId w:val="1005"/>
        </w:numPr>
      </w:pPr>
      <w:r>
        <w:rPr>
          <w:rFonts w:hint="eastAsia"/>
        </w:rPr>
        <w:t xml:space="preserve">机制解释清晰：价格平台由供应缺口、风险溢价和缓冲折价共同递推形成，而非外生给定的价格上限。</w:t>
      </w:r>
    </w:p>
    <w:p>
      <w:pPr>
        <w:numPr>
          <w:ilvl w:val="0"/>
          <w:numId w:val="1005"/>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59"/>
    <w:bookmarkStart w:id="160"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60"/>
    <w:bookmarkStart w:id="16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61"/>
    <w:bookmarkEnd w:id="162"/>
    <w:bookmarkStart w:id="16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7"/>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63"/>
    <w:bookmarkStart w:id="17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6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6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6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6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6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6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7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71">
        <w:r>
          <w:rPr>
            <w:rStyle w:val="Hyperlink"/>
          </w:rPr>
          <w:t xml:space="preserve">FRED data page</w:t>
        </w:r>
      </w:hyperlink>
      <w:r>
        <w:t xml:space="preserve">.</w:t>
      </w:r>
    </w:p>
    <w:bookmarkEnd w:id="172"/>
    <w:bookmarkStart w:id="179" w:name="附录"/>
    <w:p>
      <w:pPr>
        <w:pStyle w:val="Heading1"/>
      </w:pPr>
      <w:r>
        <w:rPr>
          <w:rFonts w:hint="eastAsia"/>
        </w:rPr>
        <w:t xml:space="preserve">附录</w:t>
      </w:r>
    </w:p>
    <w:bookmarkStart w:id="17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外部评审意见和修改记录</w:t>
      </w:r>
    </w:p>
    <w:bookmarkEnd w:id="173"/>
    <w:bookmarkStart w:id="17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74"/>
    <w:bookmarkStart w:id="17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75"/>
    <w:bookmarkStart w:id="17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76"/>
    <w:bookmarkStart w:id="177"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77"/>
    <w:bookmarkStart w:id="17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78"/>
    <w:bookmarkEnd w:id="1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54" Target="media/rId154.png" /><Relationship Type="http://schemas.openxmlformats.org/officeDocument/2006/relationships/image" Id="rId83" Target="media/rId83.png" /><Relationship Type="http://schemas.openxmlformats.org/officeDocument/2006/relationships/image" Id="rId136" Target="media/rId136.png" /><Relationship Type="http://schemas.openxmlformats.org/officeDocument/2006/relationships/image" Id="rId35" Target="media/rId35.png" /><Relationship Type="http://schemas.openxmlformats.org/officeDocument/2006/relationships/image" Id="rId128" Target="media/rId128.png" /><Relationship Type="http://schemas.openxmlformats.org/officeDocument/2006/relationships/image" Id="rId21" Target="media/rId21.png" /><Relationship Type="http://schemas.openxmlformats.org/officeDocument/2006/relationships/image" Id="rId125" Target="media/rId125.png"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140" Target="media/rId140.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43" Target="media/rId143.png" /><Relationship Type="http://schemas.openxmlformats.org/officeDocument/2006/relationships/image" Id="rId108" Target="media/rId108.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32" Target="media/rId132.png" /><Relationship Type="http://schemas.openxmlformats.org/officeDocument/2006/relationships/image" Id="rId104" Target="media/rId10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11" Target="media/rId111.png" /><Relationship Type="http://schemas.openxmlformats.org/officeDocument/2006/relationships/hyperlink" Id="rId171" Target="https://fred.stlouisfed.org/series/OVXCLS" TargetMode="External" /><Relationship Type="http://schemas.openxmlformats.org/officeDocument/2006/relationships/hyperlink" Id="rId169" Target="https://publications.opec.org/momr/chapter/147/2738" TargetMode="External" /><Relationship Type="http://schemas.openxmlformats.org/officeDocument/2006/relationships/hyperlink" Id="rId167" Target="https://www.eia.gov/dnav/pet/pet_sum_sndw_dcus_nus_w.htm" TargetMode="External" /><Relationship Type="http://schemas.openxmlformats.org/officeDocument/2006/relationships/hyperlink" Id="rId164" Target="https://www.eia.gov/international/analysis/special-topics/World_Oil_Transit_Chokepoints" TargetMode="External" /><Relationship Type="http://schemas.openxmlformats.org/officeDocument/2006/relationships/hyperlink" Id="rId165" Target="https://www.iea.org/about/oil-security-and-emergency-response/strait-of-hormuz" TargetMode="External" /><Relationship Type="http://schemas.openxmlformats.org/officeDocument/2006/relationships/hyperlink" Id="rId166" Target="https://www.iea.org/news/iea-governing-board-concludes-2022-collective-actions" TargetMode="External" /><Relationship Type="http://schemas.openxmlformats.org/officeDocument/2006/relationships/hyperlink" Id="rId168" Target="https://www.jodidata.org/oil/" TargetMode="External" /><Relationship Type="http://schemas.openxmlformats.org/officeDocument/2006/relationships/hyperlink" Id="rId17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71" Target="https://fred.stlouisfed.org/series/OVXCLS" TargetMode="External" /><Relationship Type="http://schemas.openxmlformats.org/officeDocument/2006/relationships/hyperlink" Id="rId169" Target="https://publications.opec.org/momr/chapter/147/2738" TargetMode="External" /><Relationship Type="http://schemas.openxmlformats.org/officeDocument/2006/relationships/hyperlink" Id="rId167" Target="https://www.eia.gov/dnav/pet/pet_sum_sndw_dcus_nus_w.htm" TargetMode="External" /><Relationship Type="http://schemas.openxmlformats.org/officeDocument/2006/relationships/hyperlink" Id="rId164" Target="https://www.eia.gov/international/analysis/special-topics/World_Oil_Transit_Chokepoints" TargetMode="External" /><Relationship Type="http://schemas.openxmlformats.org/officeDocument/2006/relationships/hyperlink" Id="rId165" Target="https://www.iea.org/about/oil-security-and-emergency-response/strait-of-hormuz" TargetMode="External" /><Relationship Type="http://schemas.openxmlformats.org/officeDocument/2006/relationships/hyperlink" Id="rId166" Target="https://www.iea.org/news/iea-governing-board-concludes-2022-collective-actions" TargetMode="External" /><Relationship Type="http://schemas.openxmlformats.org/officeDocument/2006/relationships/hyperlink" Id="rId168" Target="https://www.jodidata.org/oil/" TargetMode="External" /><Relationship Type="http://schemas.openxmlformats.org/officeDocument/2006/relationships/hyperlink" Id="rId17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2026-05-13T06:28:22Z</dcterms:created>
  <dcterms:modified xsi:type="dcterms:W3CDTF">2026-05-13T06:28:22Z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