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44.png" ContentType="image/png"/>
  <Override PartName="/word/media/rId32.png" ContentType="image/png"/>
  <Override PartName="/word/media/rId129.png" ContentType="image/png"/>
  <Override PartName="/word/media/rId18.png" ContentType="image/png"/>
  <Override PartName="/word/media/rId126.png" ContentType="image/png"/>
  <Override PartName="/word/media/rId141.png" ContentType="image/png"/>
  <Override PartName="/word/media/rId67.png" ContentType="image/png"/>
  <Override PartName="/word/media/rId132.png" ContentType="image/png"/>
  <Override PartName="/word/media/rId15.png" ContentType="image/png"/>
  <Override PartName="/word/media/rId22.png" ContentType="image/png"/>
  <Override PartName="/word/media/rId147.png" ContentType="image/png"/>
  <Override PartName="/word/media/rId135.png" ContentType="image/png"/>
  <Override PartName="/word/media/rId55.png" ContentType="image/png"/>
  <Override PartName="/word/media/rId113.png" ContentType="image/png"/>
  <Override PartName="/word/media/rId110.png" ContentType="image/png"/>
  <Override PartName="/word/media/rId41.png" ContentType="image/png"/>
  <Override PartName="/word/media/rId107.png" ContentType="image/png"/>
  <Override PartName="/word/media/rId116.png" ContentType="image/png"/>
  <Override PartName="/word/media/rId122.png" ContentType="image/png"/>
  <Override PartName="/word/media/rId119.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需求侧将价格弹性已解释的需求下降与题面需求下降做部分重叠扣减，避免双重计入；商业库存释放由缺口压力和价格压力共同触发，缓冲确认与预期修复由市场感知后的</w:t>
      </w:r>
      <w:r>
        <w:t xml:space="preserve"> </w:t>
      </w:r>
      <w:r>
        <w:rPr>
          <w:rFonts w:hint="eastAsia"/>
        </w:rPr>
        <w:t xml:space="preserve">SPR、库存和绕道覆盖率触发，而不是单纯按日历时间外生扣减。短期冲击模型在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2.87 </w:t>
      </w:r>
      <w:r>
        <w:rPr>
          <w:rFonts w:hint="eastAsia"/>
        </w:rPr>
        <w:t xml:space="preserve">美元/桶、MAPE</w:t>
      </w:r>
      <w:r>
        <w:t xml:space="preserve"> </w:t>
      </w:r>
      <w:r>
        <w:rPr>
          <w:rFonts w:hint="eastAsia"/>
        </w:rPr>
        <w:t xml:space="preserve">为</w:t>
      </w:r>
      <w:r>
        <w:t xml:space="preserve"> 2.88%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3.28 </w:t>
      </w:r>
      <w:r>
        <w:rPr>
          <w:rFonts w:hint="eastAsia"/>
        </w:rPr>
        <w:t xml:space="preserve">美元/桶。滞后平移、拐点、机制消融和结构稳定性检验表明，模型不是简单滞后复制，110–120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97.82 </w:t>
      </w:r>
      <w:r>
        <w:rPr>
          <w:rFonts w:hint="eastAsia"/>
        </w:rPr>
        <w:t xml:space="preserve">美元/桶，悲观情景第</w:t>
      </w:r>
      <w:r>
        <w:t xml:space="preserve"> 180 </w:t>
      </w:r>
      <w:r>
        <w:rPr>
          <w:rFonts w:hint="eastAsia"/>
        </w:rPr>
        <w:t xml:space="preserve">天约为</w:t>
      </w:r>
      <w:r>
        <w:t xml:space="preserve"> 121.64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等效预算耗尽，使剩余缺口和制度风险溢价继续支撑高位。敏感性分析表明，封锁风险衰减速度、SPR</w:t>
      </w:r>
      <w:r>
        <w:t xml:space="preserve"> </w:t>
      </w:r>
      <w:r>
        <w:rPr>
          <w:rFonts w:hint="eastAsia"/>
        </w:rPr>
        <w:t xml:space="preserve">释放上限、供应中断量和绕道运输能力是综合敏感度最高的因素。传统蒙特卡洛情景树用于刻画多参数扰动下的条件区间；进一步引入由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w:t>
      </w:r>
      <w:r>
        <w:t xml:space="preserve"> logit–softmax </w:t>
      </w:r>
      <w:r>
        <w:rPr>
          <w:rFonts w:hint="eastAsia"/>
        </w:rPr>
        <w:t xml:space="preserve">转移扰动后，第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条件区间为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承担全球原油海运的重要份额，是中东原油进入国际市场的关键通道。若该通道因地缘冲突、航运安全或军事风险发生封锁，国际原油市场将同时面对实际供应缺口、运输成本上升、市场恐慌放大和政策缓冲响应，价格可能在短期内剧烈波动，并在封锁延长后进入新的风险定价区间。</w:t>
      </w:r>
    </w:p>
    <w:p>
      <w:pPr>
        <w:pStyle w:val="BodyText"/>
      </w:pPr>
      <w:r>
        <w:rPr>
          <w:rFonts w:hint="eastAsia"/>
        </w:rPr>
        <w:t xml:space="preserve">赛题要求基于布伦特原油期货价格数据和国际原油供需规律，建立数学模型分析霍尔木兹海峡封锁对国际原油价格的影响。结合题意，本文需要回答四个问题：</w:t>
      </w:r>
    </w:p>
    <w:p>
      <w:pPr>
        <w:numPr>
          <w:ilvl w:val="0"/>
          <w:numId w:val="1001"/>
        </w:numPr>
      </w:pPr>
      <w:r>
        <w:rPr>
          <w:rFonts w:hint="eastAsia"/>
        </w:rPr>
        <w:t xml:space="preserve">构建短期冲击模型，量化</w:t>
      </w:r>
      <w:r>
        <w:t xml:space="preserve"> 0–60 </w:t>
      </w:r>
      <w:r>
        <w:rPr>
          <w:rFonts w:hint="eastAsia"/>
        </w:rPr>
        <w:t xml:space="preserve">天内封锁对油价的即时影响，解释供应缺口、政策缓冲和风险溢价的共同作用。</w:t>
      </w:r>
    </w:p>
    <w:p>
      <w:pPr>
        <w:numPr>
          <w:ilvl w:val="0"/>
          <w:numId w:val="1001"/>
        </w:numPr>
      </w:pPr>
      <w:r>
        <w:rPr>
          <w:rFonts w:hint="eastAsia"/>
        </w:rPr>
        <w:t xml:space="preserve">构建中长期油价调节模型，预测封锁持续</w:t>
      </w:r>
      <w:r>
        <w:t xml:space="preserve"> 60–180 </w:t>
      </w:r>
      <w:r>
        <w:rPr>
          <w:rFonts w:hint="eastAsia"/>
        </w:rPr>
        <w:t xml:space="preserve">天时的价格演化路径和可能的价格平衡区间。</w:t>
      </w:r>
    </w:p>
    <w:p>
      <w:pPr>
        <w:numPr>
          <w:ilvl w:val="0"/>
          <w:numId w:val="1001"/>
        </w:numPr>
      </w:pPr>
      <w:r>
        <w:rPr>
          <w:rFonts w:hint="eastAsia"/>
        </w:rPr>
        <w:t xml:space="preserve">识别影响油价的关键参数，分析供应中断、SPR</w:t>
      </w:r>
      <w:r>
        <w:t xml:space="preserve"> </w:t>
      </w:r>
      <w:r>
        <w:rPr>
          <w:rFonts w:hint="eastAsia"/>
        </w:rPr>
        <w:t xml:space="preserve">释放、商业库存、绕道运输、需求弹性和地缘风险变量的敏感性。</w:t>
      </w:r>
    </w:p>
    <w:p>
      <w:pPr>
        <w:numPr>
          <w:ilvl w:val="0"/>
          <w:numId w:val="1001"/>
        </w:numPr>
      </w:pPr>
      <w:r>
        <w:rPr>
          <w:rFonts w:hint="eastAsia"/>
        </w:rPr>
        <w:t xml:space="preserve">检验模型稳定性，说明模型适用边界，并给出可用于风险预警和政策评估的量化结论。</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
    <w:p>
      <w:pPr>
        <w:pStyle w:val="Heading1"/>
      </w:pPr>
      <w:r>
        <w:rPr>
          <w:rFonts w:hint="eastAsia"/>
        </w:rPr>
        <w:t xml:space="preserve">问题分析</w:t>
      </w:r>
    </w:p>
    <w:p>
      <w:pPr>
        <w:pStyle w:val="FirstParagraph"/>
      </w:pPr>
      <w:r>
        <w:rPr>
          <w:rFonts w:hint="eastAsia"/>
        </w:rPr>
        <w:t xml:space="preserve">本题的核心不是简单外推油价曲线，而是解释封锁冲击如何经过供需缺口、政策缓冲、运输替代、库存消耗和风险预期传导到布伦特原油价格。题面给定的短期低弹性会放大无缓冲反事实价格，但附件真实价格只在约</w:t>
      </w:r>
      <w:r>
        <w:t xml:space="preserve"> 110–120 </w:t>
      </w:r>
      <w:r>
        <w:rPr>
          <w:rFonts w:hint="eastAsia"/>
        </w:rPr>
        <w:t xml:space="preserve">美元/桶附近形成平台，说明市场中存在多重缓冲和再定价过程。因此，本文采用</w:t>
      </w:r>
      <w:r>
        <w:rPr>
          <w:rFonts w:hint="eastAsia"/>
        </w:rPr>
        <w:t xml:space="preserve">“反事实基准–短期递推–中长期情景–敏感性检验”</w:t>
      </w:r>
      <w:r>
        <w:rPr>
          <w:rFonts w:hint="eastAsia"/>
        </w:rPr>
        <w:t xml:space="preserve">的建模路线。</w:t>
      </w:r>
    </w:p>
    <w:p>
      <w:pPr>
        <w:numPr>
          <w:ilvl w:val="0"/>
          <w:numId w:val="1002"/>
        </w:numPr>
      </w:pPr>
      <w:r>
        <w:rPr>
          <w:rFonts w:hint="eastAsia"/>
        </w:rPr>
        <w:t xml:space="preserve">传统供需基准用于估计无缓冲条件下的理论压力上界，为后续模型提供反事实参照。</w:t>
      </w:r>
    </w:p>
    <w:p>
      <w:pPr>
        <w:numPr>
          <w:ilvl w:val="0"/>
          <w:numId w:val="1002"/>
        </w:numPr>
      </w:pPr>
      <w:r>
        <w:rPr>
          <w:rFonts w:hint="eastAsia"/>
        </w:rPr>
        <w:t xml:space="preserve">短期冲击模型在日度递推中纳入供应中断、SPR、商业库存、绕道运输、需求收缩、恐慌衰减和预期修复，用于解释附件冲突窗口内的真实价格路径。</w:t>
      </w:r>
    </w:p>
    <w:p>
      <w:pPr>
        <w:numPr>
          <w:ilvl w:val="0"/>
          <w:numId w:val="1002"/>
        </w:numPr>
      </w:pPr>
      <w:r>
        <w:rPr>
          <w:rFonts w:hint="eastAsia"/>
        </w:rPr>
        <w:t xml:space="preserve">中长期油价调节模型在</w:t>
      </w:r>
      <w:r>
        <w:t xml:space="preserve"> 60–180 </w:t>
      </w:r>
      <w:r>
        <w:rPr>
          <w:rFonts w:hint="eastAsia"/>
        </w:rPr>
        <w:t xml:space="preserve">天范围内设置乐观、中性和悲观三类情景，并用蒙特卡洛情景树和状态转移模型刻画尾部风险。</w:t>
      </w:r>
    </w:p>
    <w:p>
      <w:pPr>
        <w:numPr>
          <w:ilvl w:val="0"/>
          <w:numId w:val="1002"/>
        </w:numPr>
      </w:pPr>
      <w:r>
        <w:rPr>
          <w:rFonts w:hint="eastAsia"/>
        </w:rPr>
        <w:t xml:space="preserve">敏感性分析和外部风险校验用于识别关键驱动因素，避免把单一路径误读为确定性预测。</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本文围绕三个问题展开：传统供需模型为什么给出高理论压力；哪些缓冲机制能把价格压回现实平台；封锁延长至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相关研究表明，油价冲击不能只由当期供应缺口解释，还需要考虑库存、预期、地缘风险和宏观需求环境。Kilian（2009）、Hamilton（2009）和</w:t>
      </w:r>
      <w:r>
        <w:t xml:space="preserve"> Kilian </w:t>
      </w:r>
      <w:r>
        <w:rPr>
          <w:rFonts w:hint="eastAsia"/>
        </w:rPr>
        <w:t xml:space="preserve">与</w:t>
      </w:r>
      <w:r>
        <w:t xml:space="preserve"> </w:t>
      </w:r>
      <w:r>
        <w:rPr>
          <w:rFonts w:hint="eastAsia"/>
        </w:rPr>
        <w:t xml:space="preserve">Murphy（2014）的研究说明，库存与预防性需求会改变冲击传导路径。因此，本文将传统供需模型定位为低弹性反事实上界，而不是最终预测模型。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Vigfusson（2013）指出，原油价格预测需要与无变化预测、随机游走等基准比较，并明确预测期限和不确定性边界。因此，本文在短期部分设置上一日价格朴素基准、漂移随机游走和滚动</w:t>
      </w:r>
      <w:r>
        <w:t xml:space="preserve"> </w:t>
      </w:r>
      <w:r>
        <w:rPr>
          <w:rFonts w:hint="eastAsia"/>
        </w:rPr>
        <w:t xml:space="preserve">ARIMA；在长期部分同时给出三情景中心路径、蒙特卡洛扇形区间和状态转移尾部风险。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释放能够影响油价，但其作用更接近削峰和稳定预期，而不是完全抵消供应中断。因此，本文把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等（2019）说明地缘风险更适合解释油价波动和尾部风险。本文将</w:t>
      </w:r>
      <w:r>
        <w:t xml:space="preserve"> GPR </w:t>
      </w:r>
      <w:r>
        <w:rPr>
          <w:rFonts w:hint="eastAsia"/>
        </w:rPr>
        <w:t xml:space="preserve">用于外部风险校验和滞后检验，将</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隐含波动率用于长期风险权重和不确定性强度约束，而不把二者作为短期同步拟合因子。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
    <w:p>
      <w:pPr>
        <w:pStyle w:val="Heading1"/>
      </w:pPr>
      <w:r>
        <w:rPr>
          <w:rFonts w:hint="eastAsia"/>
        </w:rPr>
        <w:t xml:space="preserve">数据处理</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本节的数据处理逻辑是：附件价格用于拟合和评价，EIA、JODI、OPEC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82" w:name="模型建立与求解"/>
    <w:p>
      <w:pPr>
        <w:pStyle w:val="Heading1"/>
      </w:pPr>
      <w:r>
        <w:rPr>
          <w:rFonts w:hint="eastAsia"/>
        </w:rPr>
        <w:t xml:space="preserve">模型建立与求解</w:t>
      </w:r>
    </w:p>
    <w:bookmarkStart w:id="36" w:name="传统供需基准模型"/>
    <w:p>
      <w:pPr>
        <w:pStyle w:val="Heading2"/>
      </w:pPr>
      <w:r>
        <w:rPr>
          <w:rFonts w:hint="eastAsia"/>
        </w:rPr>
        <w:t xml:space="preserve">传统供需基准模型</w:t>
      </w:r>
    </w:p>
    <w:bookmarkStart w:id="31" w:name="模型建立"/>
    <w:p>
      <w:pPr>
        <w:pStyle w:val="Heading3"/>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3"/>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2"/>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3"/>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eqArr>
            <m:e>
              <m:sSub>
                <m:e>
                  <m:acc>
                    <m:accPr>
                      <m:chr m:val="̃"/>
                    </m:accPr>
                    <m:e>
                      <m:r>
                        <m:t>D</m:t>
                      </m:r>
                    </m:e>
                  </m:acc>
                </m:e>
                <m:sub>
                  <m:r>
                    <m:t>t</m:t>
                  </m:r>
                </m:sub>
              </m:sSub>
              <m:r>
                <m:t>&amp;</m:t>
              </m:r>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e>
            <m:e>
              <m:sSub>
                <m:e>
                  <m:r>
                    <m:t>L</m:t>
                  </m:r>
                </m:e>
                <m:sub>
                  <m:r>
                    <m:t>t</m:t>
                  </m:r>
                </m:sub>
              </m:sSub>
              <m:r>
                <m:t>&amp;</m:t>
              </m:r>
              <m:r>
                <m:rPr>
                  <m:sty m:val="p"/>
                </m:rPr>
                <m:t>=</m:t>
              </m:r>
              <m:r>
                <m:rPr>
                  <m:sty m:val="p"/>
                </m:rPr>
                <m:t>max</m:t>
              </m:r>
              <m:r>
                <m:rPr>
                  <m:sty m:val="p"/>
                </m:rPr>
                <m:t>(</m:t>
              </m:r>
              <m:sSub>
                <m:e>
                  <m:r>
                    <m:t>D</m:t>
                  </m:r>
                </m:e>
                <m:sub>
                  <m:r>
                    <m:t>0</m:t>
                  </m:r>
                </m:sub>
              </m:sSub>
              <m:r>
                <m:rPr>
                  <m:sty m:val="p"/>
                </m:rPr>
                <m:t>−</m:t>
              </m:r>
              <m:sSub>
                <m:e>
                  <m:acc>
                    <m:accPr>
                      <m:chr m:val="̃"/>
                    </m:accPr>
                    <m:e>
                      <m:r>
                        <m:t>D</m:t>
                      </m:r>
                    </m:e>
                  </m:acc>
                </m:e>
                <m:sub>
                  <m:r>
                    <m:t>t</m:t>
                  </m:r>
                </m:sub>
              </m:sSub>
              <m:r>
                <m:rPr>
                  <m:sty m:val="p"/>
                </m:rPr>
                <m:t>,</m:t>
              </m:r>
              <m:r>
                <m:t>0</m:t>
              </m:r>
              <m:r>
                <m:rPr>
                  <m:sty m:val="p"/>
                </m:rPr>
                <m:t>)</m:t>
              </m:r>
              <m:r>
                <m:rPr>
                  <m:sty m:val="p"/>
                </m:rPr>
                <m:t>,</m:t>
              </m:r>
            </m:e>
            <m:e>
              <m:sSub>
                <m:e>
                  <m:r>
                    <m:t>C</m:t>
                  </m:r>
                </m:e>
                <m:sub>
                  <m:r>
                    <m:t>t</m:t>
                  </m:r>
                </m:sub>
              </m:sSub>
              <m:r>
                <m:t>&amp;</m:t>
              </m:r>
              <m:r>
                <m:rPr>
                  <m:sty m:val="p"/>
                </m:rPr>
                <m:t>=</m:t>
              </m:r>
              <m:r>
                <m:rPr>
                  <m:sty m:val="p"/>
                </m:rPr>
                <m:t>max</m:t>
              </m:r>
              <m:r>
                <m:rPr>
                  <m:sty m:val="p"/>
                </m:rPr>
                <m:t>(</m:t>
              </m:r>
              <m:sSubSup>
                <m:e>
                  <m:r>
                    <m:t>C</m:t>
                  </m:r>
                </m:e>
                <m:sub>
                  <m:r>
                    <m:t>t</m:t>
                  </m:r>
                </m:sub>
                <m:sup>
                  <m:r>
                    <m:rPr>
                      <m:sty m:val="p"/>
                    </m:rPr>
                    <m:t>o</m:t>
                  </m:r>
                  <m:r>
                    <m:rPr>
                      <m:sty m:val="p"/>
                    </m:rPr>
                    <m:t>b</m:t>
                  </m:r>
                  <m:r>
                    <m:rPr>
                      <m:sty m:val="p"/>
                    </m:rPr>
                    <m:t>s</m:t>
                  </m:r>
                </m:sup>
              </m:sSubSup>
              <m:r>
                <m:rPr>
                  <m:sty m:val="p"/>
                </m:rPr>
                <m:t>−</m:t>
              </m:r>
              <m:r>
                <m:t>ρ</m:t>
              </m:r>
              <m:sSub>
                <m:e>
                  <m:r>
                    <m:t>L</m:t>
                  </m:r>
                </m:e>
                <m:sub>
                  <m:r>
                    <m:t>t</m:t>
                  </m:r>
                </m:sub>
              </m:sSub>
              <m:r>
                <m:rPr>
                  <m:sty m:val="p"/>
                </m:rPr>
                <m:t>,</m:t>
              </m:r>
              <m:r>
                <m:t>0</m:t>
              </m:r>
              <m:r>
                <m:rPr>
                  <m:sty m:val="p"/>
                </m:rPr>
                <m:t>)</m:t>
              </m:r>
              <m:r>
                <m:rPr>
                  <m:sty m:val="p"/>
                </m:rPr>
                <m:t>,</m:t>
              </m:r>
              <m:r>
                <m:t> </m:t>
              </m:r>
              <m:r>
                <m:t>ρ</m:t>
              </m:r>
              <m:r>
                <m:rPr>
                  <m:sty m:val="p"/>
                </m:rPr>
                <m:t>=</m:t>
              </m:r>
              <m:r>
                <m:t>0.35</m:t>
              </m:r>
              <m:r>
                <m:rPr>
                  <m:sty m:val="p"/>
                </m:rPr>
                <m:t>,</m:t>
              </m:r>
            </m:e>
            <m:e>
              <m:sSub>
                <m:e>
                  <m:r>
                    <m:t>D</m:t>
                  </m:r>
                </m:e>
                <m:sub>
                  <m:r>
                    <m:t>t</m:t>
                  </m:r>
                </m:sub>
              </m:sSub>
              <m:r>
                <m:t>&amp;</m:t>
              </m:r>
              <m:r>
                <m:rPr>
                  <m:sty m:val="p"/>
                </m:rPr>
                <m:t>=</m:t>
              </m:r>
              <m:r>
                <m:rPr>
                  <m:sty m:val="p"/>
                </m:rPr>
                <m:t>max</m:t>
              </m:r>
              <m:r>
                <m:rPr>
                  <m:sty m:val="p"/>
                </m:rPr>
                <m:t>(</m:t>
              </m:r>
              <m:sSub>
                <m:e>
                  <m:acc>
                    <m:accPr>
                      <m:chr m:val="̃"/>
                    </m:accPr>
                    <m:e>
                      <m:r>
                        <m:t>D</m:t>
                      </m:r>
                    </m:e>
                  </m:acc>
                </m:e>
                <m:sub>
                  <m:r>
                    <m:t>t</m:t>
                  </m:r>
                </m:sub>
              </m:sSub>
              <m:r>
                <m:rPr>
                  <m:sty m:val="p"/>
                </m:rPr>
                <m:t>−</m:t>
              </m:r>
              <m:sSub>
                <m:e>
                  <m:r>
                    <m:t>C</m:t>
                  </m:r>
                </m:e>
                <m:sub>
                  <m:r>
                    <m:t>t</m:t>
                  </m:r>
                </m:sub>
              </m:sSub>
              <m:r>
                <m:rPr>
                  <m:sty m:val="p"/>
                </m:rPr>
                <m:t>,</m:t>
              </m:r>
              <m:r>
                <m:t>0.70</m:t>
              </m:r>
              <m:sSub>
                <m:e>
                  <m:r>
                    <m:t>D</m:t>
                  </m:r>
                </m:e>
                <m:sub>
                  <m:r>
                    <m:t>0</m:t>
                  </m:r>
                </m:sub>
              </m:sSub>
              <m:r>
                <m:rPr>
                  <m:sty m:val="p"/>
                </m:rPr>
                <m:t>)</m:t>
              </m:r>
              <m:r>
                <m:rPr>
                  <m:sty m:val="p"/>
                </m:rPr>
                <m:t>.</m:t>
              </m:r>
            </m:e>
          </m:eqArr>
        </m:oMath>
      </m:oMathPara>
    </w:p>
    <w:p>
      <w:pPr>
        <w:pStyle w:val="FirstParagraph"/>
      </w:pPr>
      <w:r>
        <w:rPr>
          <w:rFonts w:hint="eastAsia"/>
        </w:rPr>
        <w:t xml:space="preserve">其中</w:t>
      </w:r>
      <w:r>
        <w:t xml:space="preserve"> </w:t>
      </w:r>
      <m:oMath>
        <m:sSub>
          <m:e>
            <m:acc>
              <m:accPr>
                <m:chr m:val="̃"/>
              </m:accPr>
              <m:e>
                <m:r>
                  <m:t>D</m:t>
                </m:r>
              </m:e>
            </m:acc>
          </m:e>
          <m:sub>
            <m:r>
              <m:t>t</m:t>
            </m:r>
          </m:sub>
        </m:sSub>
      </m:oMath>
      <w:r>
        <w:t xml:space="preserve"> </w:t>
      </w:r>
      <w:r>
        <w:rPr>
          <w:rFonts w:hint="eastAsia"/>
        </w:rPr>
        <w:t xml:space="preserve">为价格弹性调整后的需求，</w:t>
      </w:r>
      <m:oMath>
        <m:sSub>
          <m:e>
            <m:r>
              <m:t>L</m:t>
            </m:r>
          </m:e>
          <m:sub>
            <m:r>
              <m:t>t</m:t>
            </m:r>
          </m:sub>
        </m:sSub>
      </m:oMath>
      <w:r>
        <w:t xml:space="preserve"> </w:t>
      </w:r>
      <w:r>
        <w:rPr>
          <w:rFonts w:hint="eastAsia"/>
        </w:rPr>
        <w:t xml:space="preserve">为价格弹性已解释的需求下降，</w:t>
      </w:r>
      <m:oMath>
        <m:sSubSup>
          <m:e>
            <m:r>
              <m:t>C</m:t>
            </m:r>
          </m:e>
          <m:sub>
            <m:r>
              <m:t>t</m:t>
            </m:r>
          </m:sub>
          <m:sup>
            <m:r>
              <m:rPr>
                <m:sty m:val="p"/>
              </m:rPr>
              <m:t>o</m:t>
            </m:r>
            <m:r>
              <m:rPr>
                <m:sty m:val="p"/>
              </m:rPr>
              <m:t>b</m:t>
            </m:r>
            <m:r>
              <m:rPr>
                <m:sty m:val="p"/>
              </m:rPr>
              <m:t>s</m:t>
            </m:r>
          </m:sup>
        </m:sSubSup>
      </m:oMath>
      <w:r>
        <w:t xml:space="preserve"> </w:t>
      </w:r>
      <w:r>
        <w:rPr>
          <w:rFonts w:hint="eastAsia"/>
        </w:rPr>
        <w:t xml:space="preserve">为题面给出的需求下降量递推值。为避免价格弹性和题面需求下降重复全额扣减，本文仅将</w:t>
      </w:r>
      <w:r>
        <w:t xml:space="preserve"> </w:t>
      </w:r>
      <m:oMath>
        <m:r>
          <m:t>35</m:t>
        </m:r>
        <m:r>
          <m:rPr>
            <m:sty m:val="p"/>
          </m:rPr>
          <m:t>%</m:t>
        </m:r>
      </m:oMath>
      <w:r>
        <w:t xml:space="preserve"> </w:t>
      </w:r>
      <w:r>
        <w:rPr>
          <w:rFonts w:hint="eastAsia"/>
        </w:rPr>
        <w:t xml:space="preserve">的价格弹性下降视作与观测需求下降重叠，其余部分表示非价格行为调整和强制消费削减。第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受剩余缺口、价格压力、库存日释放上限和剩余库存约束。记</w:t>
      </w:r>
      <w:r>
        <w:t xml:space="preserve"> </w:t>
      </w:r>
      <m:oMath>
        <m:sSub>
          <m:e>
            <m:r>
              <m:t>ω</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为由缺口压力和价格压力共同生成的库存释放压力，则</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t>
              </m:r>
              <m:r>
                <m:t>0.65</m:t>
              </m:r>
              <m:r>
                <m:rPr>
                  <m:sty m:val="p"/>
                </m:rPr>
                <m:t>+</m:t>
              </m:r>
              <m:r>
                <m:t>0.35</m:t>
              </m:r>
              <m:sSub>
                <m:e>
                  <m:r>
                    <m:t>ω</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acc>
                    <m:accPr>
                      <m:chr m:val="‾"/>
                    </m:accPr>
                    <m:e>
                      <m:r>
                        <m:t>B</m:t>
                      </m:r>
                    </m:e>
                  </m:acc>
                </m:e>
                <m:sub>
                  <m:r>
                    <m:t>t</m:t>
                  </m:r>
                </m:sub>
              </m:sSub>
              <m:r>
                <m:rPr>
                  <m:sty m:val="p"/>
                </m:rPr>
                <m:t>(</m:t>
              </m:r>
              <m:sSub>
                <m:e>
                  <m:r>
                    <m:t>K</m:t>
                  </m:r>
                </m:e>
                <m:sub>
                  <m:r>
                    <m:t>t</m:t>
                  </m:r>
                  <m:r>
                    <m:rPr>
                      <m:sty m:val="p"/>
                    </m:rPr>
                    <m:t>−</m:t>
                  </m:r>
                  <m:r>
                    <m:t>1</m:t>
                  </m:r>
                </m:sub>
              </m:sSub>
              <m:r>
                <m:rPr>
                  <m:sty m:val="p"/>
                </m:rPr>
                <m:t>)</m:t>
              </m:r>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为避免将政策与物流缓冲写成纯时间函数，本文进一步定义当日客观缓冲覆盖率</w:t>
      </w:r>
    </w:p>
    <w:p>
      <w:pPr>
        <w:pStyle w:val="BodyText"/>
      </w:pPr>
      <m:oMathPara>
        <m:oMathParaPr>
          <m:jc m:val="center"/>
        </m:oMathParaPr>
        <m:oMath>
          <m:sSubSup>
            <m:e>
              <m:r>
                <m:t>η</m:t>
              </m:r>
            </m:e>
            <m:sub>
              <m:r>
                <m:t>t</m:t>
              </m:r>
            </m:sub>
            <m:sup>
              <m:r>
                <m:rPr>
                  <m:sty m:val="p"/>
                </m:rPr>
                <m:t>o</m:t>
              </m:r>
              <m:r>
                <m:rPr>
                  <m:sty m:val="p"/>
                </m:rPr>
                <m:t>b</m:t>
              </m:r>
              <m:r>
                <m:rPr>
                  <m:sty m:val="p"/>
                </m:rPr>
                <m:t>s</m:t>
              </m:r>
            </m:sup>
          </m:sSubSup>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SPR、绕道运输和商业库存共同形成的当日缓冲供给，分母表示不考虑缓冲时的总短缺压力。考虑到库存、运输和政策执行信息并非当日完全透明，市场用于定价的覆盖率采用一阶感知更新：</w:t>
      </w:r>
    </w:p>
    <w:p>
      <w:pPr>
        <w:pStyle w:val="BodyText"/>
      </w:pPr>
      <m:oMathPara>
        <m:oMathParaPr>
          <m:jc m:val="center"/>
        </m:oMathParaPr>
        <m:oMath>
          <m:sSub>
            <m:e>
              <m:r>
                <m:t>η</m:t>
              </m:r>
            </m:e>
            <m:sub>
              <m:r>
                <m:t>t</m:t>
              </m:r>
            </m:sub>
          </m:sSub>
          <m:r>
            <m:rPr>
              <m:sty m:val="p"/>
            </m:rPr>
            <m:t>=</m:t>
          </m:r>
          <m:sSub>
            <m:e>
              <m:r>
                <m:t>η</m:t>
              </m:r>
            </m:e>
            <m:sub>
              <m:r>
                <m:t>t</m:t>
              </m:r>
              <m:r>
                <m:rPr>
                  <m:sty m:val="p"/>
                </m:rPr>
                <m:t>−</m:t>
              </m:r>
              <m:r>
                <m:t>1</m:t>
              </m:r>
            </m:sub>
          </m:sSub>
          <m:r>
            <m:rPr>
              <m:sty m:val="p"/>
            </m:rPr>
            <m:t>+</m:t>
          </m:r>
          <m:sSub>
            <m:e>
              <m:r>
                <m:t>α</m:t>
              </m:r>
            </m:e>
            <m:sub>
              <m:r>
                <m:t>η</m:t>
              </m:r>
            </m:sub>
          </m:sSub>
          <m:d>
            <m:dPr>
              <m:begChr m:val="("/>
              <m:sepChr m:val=""/>
              <m:endChr m:val=")"/>
              <m:grow/>
            </m:dPr>
            <m:e>
              <m:sSubSup>
                <m:e>
                  <m:r>
                    <m:t>η</m:t>
                  </m:r>
                </m:e>
                <m:sub>
                  <m:r>
                    <m:t>t</m:t>
                  </m:r>
                </m:sub>
                <m:sup>
                  <m:r>
                    <m:rPr>
                      <m:sty m:val="p"/>
                    </m:rPr>
                    <m:t>o</m:t>
                  </m:r>
                  <m:r>
                    <m:rPr>
                      <m:sty m:val="p"/>
                    </m:rPr>
                    <m:t>b</m:t>
                  </m:r>
                  <m:r>
                    <m:rPr>
                      <m:sty m:val="p"/>
                    </m:rPr>
                    <m:t>s</m:t>
                  </m:r>
                </m:sup>
              </m:sSubSup>
              <m:r>
                <m:rPr>
                  <m:sty m:val="p"/>
                </m:rPr>
                <m:t>−</m:t>
              </m:r>
              <m:sSub>
                <m:e>
                  <m:r>
                    <m:t>η</m:t>
                  </m:r>
                </m:e>
                <m:sub>
                  <m:r>
                    <m:t>t</m:t>
                  </m:r>
                  <m:r>
                    <m:rPr>
                      <m:sty m:val="p"/>
                    </m:rPr>
                    <m:t>−</m:t>
                  </m:r>
                  <m:r>
                    <m:t>1</m:t>
                  </m:r>
                </m:sub>
              </m:sSub>
            </m:e>
          </m:d>
          <m:r>
            <m:rPr>
              <m:sty m:val="p"/>
            </m:rPr>
            <m:t>,</m:t>
          </m:r>
          <m:r>
            <m:t> </m:t>
          </m:r>
          <m:sSub>
            <m:e>
              <m:r>
                <m:t>α</m:t>
              </m:r>
            </m:e>
            <m:sub>
              <m:r>
                <m:t>η</m:t>
              </m:r>
            </m:sub>
          </m:sSub>
          <m:r>
            <m:rPr>
              <m:sty m:val="p"/>
            </m:rPr>
            <m:t>=</m:t>
          </m:r>
          <m:r>
            <m:t>0.35</m:t>
          </m:r>
          <m:r>
            <m:rPr>
              <m:sty m:val="p"/>
            </m:rPr>
            <m:t>.</m:t>
          </m:r>
        </m:oMath>
      </m:oMathPara>
    </w:p>
    <w:p>
      <w:pPr>
        <w:pStyle w:val="FirstParagraph"/>
      </w:pPr>
      <m:oMath>
        <m:sSub>
          <m:e>
            <m:r>
              <m:t>η</m:t>
            </m:r>
          </m:e>
          <m:sub>
            <m:r>
              <m:t>t</m:t>
            </m:r>
          </m:sub>
        </m:sSub>
      </m:oMath>
      <w:r>
        <w:t xml:space="preserve"> </w:t>
      </w:r>
      <w:r>
        <w:rPr>
          <w:rFonts w:hint="eastAsia"/>
        </w:rPr>
        <w:t xml:space="preserve">越高，说明市场越相信缺口正在被覆盖，缓冲确认和预期修复越容易形成。实际计算中将覆盖率限制在合理区间内，避免极小分母造成异常放大。</w:t>
      </w:r>
    </w:p>
    <w:bookmarkEnd w:id="38"/>
    <w:bookmarkStart w:id="39" w:name="市场价格形成层"/>
    <w:p>
      <w:pPr>
        <w:pStyle w:val="Heading3"/>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市场感知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SPR、库存和绕道对总短缺的覆盖率持续提高时，折价项才逐步生效。由此得到的指数项对应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根据剩余缺口、价格压力、日释放上限和剩余库存计算商业库存缓冲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计算客观缓冲覆盖率</w:t>
      </w:r>
      <w:r>
        <w:t xml:space="preserve"> </w:t>
      </w:r>
      <m:oMath>
        <m:sSubSup>
          <m:e>
            <m:r>
              <m:t>η</m:t>
            </m:r>
          </m:e>
          <m:sub>
            <m:r>
              <m:t>t</m:t>
            </m:r>
          </m:sub>
          <m:sup>
            <m:r>
              <m:rPr>
                <m:sty m:val="p"/>
              </m:rPr>
              <m:t>o</m:t>
            </m:r>
            <m:r>
              <m:rPr>
                <m:sty m:val="p"/>
              </m:rPr>
              <m:t>b</m:t>
            </m:r>
            <m:r>
              <m:rPr>
                <m:sty m:val="p"/>
              </m:rPr>
              <m:t>s</m:t>
            </m:r>
          </m:sup>
        </m:sSubSup>
      </m:oMath>
      <w:r>
        <w:rPr>
          <w:rFonts w:hint="eastAsia"/>
        </w:rPr>
        <w:t xml:space="preserve">，再通过一阶感知更新得到</w:t>
      </w:r>
      <w:r>
        <w:t xml:space="preserve"> </w:t>
      </w:r>
      <m:oMath>
        <m:sSub>
          <m:e>
            <m:r>
              <m:t>η</m:t>
            </m:r>
          </m:e>
          <m:sub>
            <m:r>
              <m:t>t</m:t>
            </m:r>
          </m:sub>
        </m:sSub>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求解与核心结果"/>
    <w:p>
      <w:pPr>
        <w:pStyle w:val="Heading2"/>
      </w:pPr>
      <w:r>
        <w:rPr>
          <w:rFonts w:hint="eastAsia"/>
        </w:rPr>
        <w:t xml:space="preserve">参数求解与核心结果</w:t>
      </w:r>
    </w:p>
    <w:p>
      <w:pPr>
        <w:pStyle w:val="FirstParagraph"/>
      </w:pPr>
      <w:r>
        <w:rPr>
          <w:rFonts w:hint="eastAsia"/>
        </w:rPr>
        <w:t xml:space="preserve">前文给出短期冲击模型结构，本节说明参数校准、基准对比和必要检验。正文只保留与模型求解直接相关的关键结果；参数剖面、残差分布、R</w:t>
      </w:r>
      <w:r>
        <w:t xml:space="preserve"> </w:t>
      </w:r>
      <w:r>
        <w:rPr>
          <w:rFonts w:hint="eastAsia"/>
        </w:rPr>
        <w:t xml:space="preserve">语言复核和事件窗口明细放入附录。</w:t>
      </w:r>
    </w:p>
    <w:bookmarkStart w:id="45" w:name="校准结果与拟合表现"/>
    <w:p>
      <w:pPr>
        <w:pStyle w:val="Heading3"/>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1422 &amp; SPR </w:t>
      </w:r>
      <w:r>
        <w:rPr>
          <w:rFonts w:hint="eastAsia"/>
        </w:rPr>
        <w:t xml:space="preserve">释放上限</w:t>
      </w:r>
      <w:r>
        <w:t xml:space="preserve"> &amp; 671</w:t>
      </w:r>
      <w:r>
        <w:br/>
      </w:r>
      <w:r>
        <w:t xml:space="preserve">SPR </w:t>
      </w:r>
      <w:r>
        <w:rPr>
          <w:rFonts w:hint="eastAsia"/>
        </w:rPr>
        <w:t xml:space="preserve">启动延迟</w:t>
      </w:r>
      <w:r>
        <w:t xml:space="preserve"> &amp; 6 &amp; </w:t>
      </w:r>
      <w:r>
        <w:rPr>
          <w:rFonts w:hint="eastAsia"/>
        </w:rPr>
        <w:t xml:space="preserve">绕道启动日</w:t>
      </w:r>
      <w:r>
        <w:t xml:space="preserve"> &amp; 7</w:t>
      </w:r>
      <w:r>
        <w:br/>
      </w:r>
      <w:r>
        <w:rPr>
          <w:rFonts w:hint="eastAsia"/>
        </w:rPr>
        <w:t xml:space="preserve">绕道能力上限</w:t>
      </w:r>
      <w:r>
        <w:t xml:space="preserve"> &amp; 294 &amp; </w:t>
      </w:r>
      <w:r>
        <w:rPr>
          <w:rFonts w:hint="eastAsia"/>
        </w:rPr>
        <w:t xml:space="preserve">长期需求弹性</w:t>
      </w:r>
      <w:r>
        <w:t xml:space="preserve"> &amp; -0.22</w:t>
      </w:r>
      <w:r>
        <w:br/>
      </w:r>
      <w:r>
        <w:rPr>
          <w:rFonts w:hint="eastAsia"/>
        </w:rPr>
        <w:t xml:space="preserve">恐慌初始强度</w:t>
      </w:r>
      <w:r>
        <w:t xml:space="preserve"> &amp; 0.13 &amp; </w:t>
      </w:r>
      <w:r>
        <w:rPr>
          <w:rFonts w:hint="eastAsia"/>
        </w:rPr>
        <w:t xml:space="preserve">恐慌衰减速度</w:t>
      </w:r>
      <w:r>
        <w:t xml:space="preserve"> &amp; 0.12</w:t>
      </w:r>
      <w:r>
        <w:br/>
      </w:r>
      <w:r>
        <w:rPr>
          <w:rFonts w:hint="eastAsia"/>
        </w:rPr>
        <w:t xml:space="preserve">库存日缓冲上限</w:t>
      </w:r>
      <w:r>
        <w:t xml:space="preserve"> &amp; 395 &amp; </w:t>
      </w:r>
      <w:r>
        <w:rPr>
          <w:rFonts w:hint="eastAsia"/>
        </w:rPr>
        <w:t xml:space="preserve">价格传导系数</w:t>
      </w:r>
      <w:r>
        <w:t xml:space="preserve"> </w:t>
      </w:r>
      <m:oMath>
        <m:r>
          <m:t>ϕ</m:t>
        </m:r>
      </m:oMath>
      <w:r>
        <w:t xml:space="preserve"> </w:t>
      </w:r>
      <w:r>
        <w:t xml:space="preserve">&amp; 0.034</w:t>
      </w:r>
      <w:r>
        <w:br/>
      </w:r>
      <w:r>
        <w:rPr>
          <w:rFonts w:hint="eastAsia"/>
        </w:rPr>
        <w:t xml:space="preserve">调整速度</w:t>
      </w:r>
      <w:r>
        <w:t xml:space="preserve"> </w:t>
      </w:r>
      <m:oMath>
        <m:r>
          <m:t>v</m:t>
        </m:r>
      </m:oMath>
      <w:r>
        <w:t xml:space="preserve"> </w:t>
      </w:r>
      <w:r>
        <w:t xml:space="preserve">&amp; 0.328 &amp; </w:t>
      </w:r>
      <w:r>
        <w:rPr>
          <w:rFonts w:hint="eastAsia"/>
        </w:rPr>
        <w:t xml:space="preserve">风险权重</w:t>
      </w:r>
      <w:r>
        <w:t xml:space="preserve"> </w:t>
      </w:r>
      <m:oMath>
        <m:r>
          <m:t>β</m:t>
        </m:r>
      </m:oMath>
      <w:r>
        <w:t xml:space="preserve"> </w:t>
      </w:r>
      <w:r>
        <w:t xml:space="preserve">&amp; 2.366</w:t>
      </w:r>
      <w:r>
        <w:br/>
      </w:r>
      <w:r>
        <w:rPr>
          <w:rFonts w:hint="eastAsia"/>
        </w:rPr>
        <w:t xml:space="preserve">不确定性/制度风险强度</w:t>
      </w:r>
      <w:r>
        <w:t xml:space="preserve"> &amp; 0.288 &amp; </w:t>
      </w:r>
      <w:r>
        <w:rPr>
          <w:rFonts w:hint="eastAsia"/>
        </w:rPr>
        <w:t xml:space="preserve">库存响应系数</w:t>
      </w:r>
      <w:r>
        <w:t xml:space="preserve"> &amp; 0.543</w:t>
      </w:r>
      <w:r>
        <w:br/>
      </w:r>
      <w:r>
        <w:rPr>
          <w:rFonts w:hint="eastAsia"/>
        </w:rPr>
        <w:t xml:space="preserve">缓冲确认强度</w:t>
      </w:r>
      <w:r>
        <w:t xml:space="preserve"> &amp; 0.218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1422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3.47 </w:t>
      </w:r>
      <w:r>
        <w:rPr>
          <w:rFonts w:hint="eastAsia"/>
        </w:rPr>
        <w:t xml:space="preserve">美元/桶、MAE</w:t>
      </w:r>
      <w:r>
        <w:t xml:space="preserve"> 2.87 </w:t>
      </w:r>
      <w:r>
        <w:rPr>
          <w:rFonts w:hint="eastAsia"/>
        </w:rPr>
        <w:t xml:space="preserve">美元/桶。模拟峰值为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美元/桶，MAPE</w:t>
      </w:r>
      <w:r>
        <w:t xml:space="preserve"> </w:t>
      </w:r>
      <w:r>
        <w:rPr>
          <w:rFonts w:hint="eastAsia"/>
        </w:rPr>
        <w:t xml:space="preserve">为</w:t>
      </w:r>
      <w:r>
        <w:t xml:space="preserve"> 2.79%。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3.47 &amp; 2.87 &amp; 6.80</w:t>
      </w:r>
      <w:r>
        <w:br/>
      </w:r>
      <w:r>
        <w:rPr>
          <w:rFonts w:hint="eastAsia"/>
        </w:rPr>
        <w:t xml:space="preserve">前期冲击</w:t>
      </w:r>
      <w:r>
        <w:t xml:space="preserve"> &amp; 11 &amp; 3.15 &amp; 2.68 &amp; 5.75</w:t>
      </w:r>
      <w:r>
        <w:br/>
      </w:r>
      <w:r>
        <w:rPr>
          <w:rFonts w:hint="eastAsia"/>
        </w:rPr>
        <w:t xml:space="preserve">中期平台</w:t>
      </w:r>
      <w:r>
        <w:t xml:space="preserve"> &amp; 14 &amp; 4.29 &amp; 3.63 &amp; 6.80</w:t>
      </w:r>
      <w:r>
        <w:br/>
      </w:r>
      <w:r>
        <w:rPr>
          <w:rFonts w:hint="eastAsia"/>
        </w:rPr>
        <w:t xml:space="preserve">后期再定价</w:t>
      </w:r>
      <w:r>
        <w:t xml:space="preserve"> &amp; 21 &amp; 2.98 &amp; 2.47 &amp; 5.12</w:t>
      </w:r>
      <w:r>
        <w:br/>
      </w:r>
      <w:r>
        <w:rPr>
          <w:rFonts w:hint="eastAsia"/>
        </w:rPr>
        <w:t xml:space="preserve">高价平台</w:t>
      </w:r>
      <w:r>
        <w:t xml:space="preserve"> &amp; 4 &amp; 2.95 &amp; 2.49 &amp; 4.04</w:t>
      </w:r>
      <w:r>
        <w:br/>
      </w:r>
      <w:r>
        <w:rPr>
          <w:rFonts w:hint="eastAsia"/>
        </w:rPr>
        <w:t xml:space="preserve">低价回落</w:t>
      </w:r>
      <w:r>
        <w:t xml:space="preserve"> &amp; 21 &amp; 3.50 &amp; 3.01 &amp; 5.75</w:t>
      </w:r>
      <w:r>
        <w:br/>
      </w:r>
    </w:p>
    <w:bookmarkEnd w:id="45"/>
    <w:bookmarkStart w:id="46" w:name="基准模型对比"/>
    <w:p>
      <w:pPr>
        <w:pStyle w:val="Heading3"/>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3.47；向左平移后误差上升，说明曲线不存在明显滞后复制。剔除首日后的可比较样本中，短期冲击模型</w:t>
      </w:r>
      <w:r>
        <w:t xml:space="preserve"> RMSE </w:t>
      </w:r>
      <w:r>
        <w:rPr>
          <w:rFonts w:hint="eastAsia"/>
        </w:rPr>
        <w:t xml:space="preserve">明显低于朴素上一日基准；R</w:t>
      </w:r>
      <w:r>
        <w:t xml:space="preserve"> </w:t>
      </w:r>
      <w:r>
        <w:rPr>
          <w:rFonts w:hint="eastAsia"/>
        </w:rPr>
        <w:t xml:space="preserve">语言复核的</w:t>
      </w:r>
      <w:r>
        <w:t xml:space="preserve"> DM </w:t>
      </w:r>
      <w:r>
        <w:rPr>
          <w:rFonts w:hint="eastAsia"/>
        </w:rPr>
        <w:t xml:space="preserve">平方损失单侧检验和方向命中率二项检验均支持模型具有基准优势。Ljung–Box</w:t>
      </w:r>
      <w:r>
        <w:t xml:space="preserve"> lag10 </w:t>
      </w:r>
      <w:r>
        <w:rPr>
          <w:rFonts w:hint="eastAsia"/>
        </w:rPr>
        <w:t xml:space="preserve">检验未见显著线性自相关。</w:t>
      </w:r>
    </w:p>
    <w:bookmarkEnd w:id="46"/>
    <w:bookmarkStart w:id="47" w:name="鲁棒性与边界检验摘要"/>
    <w:p>
      <w:pPr>
        <w:pStyle w:val="Heading3"/>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3.47</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2"/>
      </w:pPr>
      <w:r>
        <w:rPr>
          <w:rFonts w:hint="eastAsia"/>
        </w:rPr>
        <w:t xml:space="preserve">中长期油价调节模型（60–180</w:t>
      </w:r>
      <w:r>
        <w:t xml:space="preserve"> </w:t>
      </w:r>
      <w:r>
        <w:rPr>
          <w:rFonts w:hint="eastAsia"/>
        </w:rPr>
        <w:t xml:space="preserve">天）</w:t>
      </w:r>
    </w:p>
    <w:bookmarkStart w:id="49" w:name="情景设定"/>
    <w:p>
      <w:pPr>
        <w:pStyle w:val="Heading3"/>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同时，长期外推不再永久使用战前价格作为所有压力判断的唯一锚点。设</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为市场适应性价格锚，60</w:t>
      </w:r>
      <w:r>
        <w:t xml:space="preserve"> </w:t>
      </w:r>
      <w:r>
        <w:rPr>
          <w:rFonts w:hint="eastAsia"/>
        </w:rPr>
        <w:t xml:space="preserve">天后若高油价持续，该锚点按较小速度向上一期价格移动：</w:t>
      </w:r>
    </w:p>
    <w:p>
      <w:pPr>
        <w:pStyle w:val="BodyText"/>
      </w:pPr>
      <m:oMathPara>
        <m:oMathParaPr>
          <m:jc m:val="center"/>
        </m:oMathParaPr>
        <m:oMath>
          <m:sSubSup>
            <m:e>
              <m:r>
                <m:t>P</m:t>
              </m:r>
            </m:e>
            <m:sub>
              <m:r>
                <m:t>t</m:t>
              </m:r>
            </m:sub>
            <m:sup>
              <m:r>
                <m:rPr>
                  <m:sty m:val="p"/>
                </m:rPr>
                <m:t>r</m:t>
              </m:r>
              <m:r>
                <m:rPr>
                  <m:sty m:val="p"/>
                </m:rPr>
                <m:t>e</m:t>
              </m:r>
              <m:r>
                <m:rPr>
                  <m:sty m:val="p"/>
                </m:rPr>
                <m:t>f</m:t>
              </m:r>
            </m:sup>
          </m:sSubSup>
          <m:r>
            <m:rPr>
              <m:sty m:val="p"/>
            </m:rPr>
            <m:t>=</m:t>
          </m:r>
          <m:sSubSup>
            <m:e>
              <m:r>
                <m:t>P</m:t>
              </m:r>
            </m:e>
            <m:sub>
              <m:r>
                <m:t>t</m:t>
              </m:r>
              <m:r>
                <m:rPr>
                  <m:sty m:val="p"/>
                </m:rPr>
                <m:t>−</m:t>
              </m:r>
              <m:r>
                <m:t>1</m:t>
              </m:r>
            </m:sub>
            <m:sup>
              <m:r>
                <m:rPr>
                  <m:sty m:val="p"/>
                </m:rPr>
                <m:t>r</m:t>
              </m:r>
              <m:r>
                <m:rPr>
                  <m:sty m:val="p"/>
                </m:rPr>
                <m:t>e</m:t>
              </m:r>
              <m:r>
                <m:rPr>
                  <m:sty m:val="p"/>
                </m:rPr>
                <m:t>f</m:t>
              </m:r>
            </m:sup>
          </m:sSubSup>
          <m:r>
            <m:rPr>
              <m:sty m:val="p"/>
            </m:rPr>
            <m:t>+</m:t>
          </m:r>
          <m:sSub>
            <m:e>
              <m:r>
                <m:t>α</m:t>
              </m:r>
            </m:e>
            <m:sub>
              <m:r>
                <m:t>P</m:t>
              </m:r>
            </m:sub>
          </m:sSub>
          <m:r>
            <m:rPr>
              <m:sty m:val="p"/>
            </m:rPr>
            <m:t>(</m:t>
          </m:r>
          <m:sSub>
            <m:e>
              <m:acc>
                <m:accPr>
                  <m:chr m:val="̂"/>
                </m:accPr>
                <m:e>
                  <m:r>
                    <m:t>P</m:t>
                  </m:r>
                </m:e>
              </m:acc>
            </m:e>
            <m:sub>
              <m:r>
                <m:t>t</m:t>
              </m:r>
              <m:r>
                <m:rPr>
                  <m:sty m:val="p"/>
                </m:rPr>
                <m:t>−</m:t>
              </m:r>
              <m:r>
                <m:t>1</m:t>
              </m:r>
            </m:sub>
          </m:sSub>
          <m:r>
            <m:rPr>
              <m:sty m:val="p"/>
            </m:rPr>
            <m:t>−</m:t>
          </m:r>
          <m:sSubSup>
            <m:e>
              <m:r>
                <m:t>P</m:t>
              </m:r>
            </m:e>
            <m:sub>
              <m:r>
                <m:t>t</m:t>
              </m:r>
              <m:r>
                <m:rPr>
                  <m:sty m:val="p"/>
                </m:rPr>
                <m:t>−</m:t>
              </m:r>
              <m:r>
                <m:t>1</m:t>
              </m:r>
            </m:sub>
            <m:sup>
              <m:r>
                <m:rPr>
                  <m:sty m:val="p"/>
                </m:rPr>
                <m:t>r</m:t>
              </m:r>
              <m:r>
                <m:rPr>
                  <m:sty m:val="p"/>
                </m:rPr>
                <m:t>e</m:t>
              </m:r>
              <m:r>
                <m:rPr>
                  <m:sty m:val="p"/>
                </m:rPr>
                <m:t>f</m:t>
              </m:r>
            </m:sup>
          </m:sSubSup>
          <m:r>
            <m:rPr>
              <m:sty m:val="p"/>
            </m:rPr>
            <m:t>)</m:t>
          </m:r>
          <m:r>
            <m:rPr>
              <m:sty m:val="p"/>
            </m:rPr>
            <m:t>,</m:t>
          </m:r>
          <m:r>
            <m:t> </m:t>
          </m:r>
          <m:sSub>
            <m:e>
              <m:r>
                <m:t>α</m:t>
              </m:r>
            </m:e>
            <m:sub>
              <m:r>
                <m:t>P</m:t>
              </m:r>
            </m:sub>
          </m:sSub>
          <m:r>
            <m:rPr>
              <m:sty m:val="p"/>
            </m:rPr>
            <m:t>=</m:t>
          </m:r>
          <m:r>
            <m:t>0.035</m:t>
          </m:r>
          <m:r>
            <m:rPr>
              <m:sty m:val="p"/>
            </m:rPr>
            <m:t>.</m:t>
          </m:r>
        </m:oMath>
      </m:oMathPara>
    </w:p>
    <w:p>
      <w:pPr>
        <w:pStyle w:val="FirstParagraph"/>
      </w:pPr>
      <w:r>
        <w:rPr>
          <w:rFonts w:hint="eastAsia"/>
        </w:rPr>
        <w:t xml:space="preserve">需求价格比、SPR</w:t>
      </w:r>
      <w:r>
        <w:t xml:space="preserve"> </w:t>
      </w:r>
      <w:r>
        <w:rPr>
          <w:rFonts w:hint="eastAsia"/>
        </w:rPr>
        <w:t xml:space="preserve">价格压力、绕道利用率和商业库存释放压力均使用</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计算；目标价格水平仍以冲击前</w:t>
      </w:r>
      <w:r>
        <w:t xml:space="preserve"> </w:t>
      </w:r>
      <m:oMath>
        <m:sSub>
          <m:e>
            <m:r>
              <m:t>P</m:t>
            </m:r>
          </m:e>
          <m:sub>
            <m:r>
              <m:t>0</m:t>
            </m:r>
          </m:sub>
        </m:sSub>
      </m:oMath>
      <w:r>
        <w:t xml:space="preserve"> </w:t>
      </w:r>
      <w:r>
        <w:rPr>
          <w:rFonts w:hint="eastAsia"/>
        </w:rPr>
        <w:t xml:space="preserve">为基准。这样既保留赛题的冲击起点，又避免</w:t>
      </w:r>
      <w:r>
        <w:t xml:space="preserve"> 60–180 </w:t>
      </w:r>
      <w:r>
        <w:rPr>
          <w:rFonts w:hint="eastAsia"/>
        </w:rPr>
        <w:t xml:space="preserve">天内市场永远被锁定在战前心理锚上。</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3"/>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3"/>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109.63 &amp; 93.50 &amp; 90.76 &amp; 86.26 &amp; 104.65 &amp; 90.82 &amp; </w:t>
      </w:r>
      <w:r>
        <w:rPr>
          <w:rFonts w:hint="eastAsia"/>
        </w:rPr>
        <w:t xml:space="preserve">低</w:t>
      </w:r>
      <w:r>
        <w:br/>
      </w:r>
      <w:r>
        <w:rPr>
          <w:rFonts w:hint="eastAsia"/>
        </w:rPr>
        <w:t xml:space="preserve">中性</w:t>
      </w:r>
      <w:r>
        <w:t xml:space="preserve"> &amp; 109.63 &amp; 104.24 &amp; 97.30 &amp; 97.82 &amp; 110.87 &amp; 98.84 &amp; </w:t>
      </w:r>
      <w:r>
        <w:rPr>
          <w:rFonts w:hint="eastAsia"/>
        </w:rPr>
        <w:t xml:space="preserve">高</w:t>
      </w:r>
      <w:r>
        <w:br/>
      </w:r>
      <w:r>
        <w:rPr>
          <w:rFonts w:hint="eastAsia"/>
        </w:rPr>
        <w:t xml:space="preserve">悲观</w:t>
      </w:r>
      <w:r>
        <w:t xml:space="preserve"> &amp; 109.63 &amp; 133.85 &amp; 125.86 &amp; 121.64 &amp; 137.75 &amp; 127.70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120</w:t>
            </w:r>
          </w:p>
        </w:tc>
        <w:tc>
          <w:tcPr/>
          <w:p>
            <w:pPr>
              <w:pStyle w:val="Compact"/>
              <w:jc w:val="right"/>
            </w:pPr>
            <w:r>
              <w:t xml:space="preserve">0.060</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73.5%</w:t>
            </w:r>
          </w:p>
        </w:tc>
        <w:tc>
          <w:tcPr/>
          <w:p>
            <w:pPr>
              <w:pStyle w:val="Compact"/>
              <w:jc w:val="right"/>
            </w:pPr>
            <w:r>
              <w:t xml:space="preserve">22.5%</w:t>
            </w:r>
          </w:p>
        </w:tc>
        <w:tc>
          <w:tcPr/>
          <w:p>
            <w:pPr>
              <w:pStyle w:val="Compact"/>
              <w:jc w:val="right"/>
            </w:pPr>
            <w:r>
              <w:t xml:space="preserve">135.78</w:t>
            </w:r>
          </w:p>
        </w:tc>
        <w:tc>
          <w:tcPr/>
          <w:p>
            <w:pPr>
              <w:pStyle w:val="Compact"/>
              <w:jc w:val="right"/>
            </w:pPr>
            <w:r>
              <w:t xml:space="preserve">113.61</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80.7%</w:t>
            </w:r>
          </w:p>
        </w:tc>
        <w:tc>
          <w:tcPr/>
          <w:p>
            <w:pPr>
              <w:pStyle w:val="Compact"/>
              <w:jc w:val="right"/>
            </w:pPr>
            <w:r>
              <w:t xml:space="preserve">26.8%</w:t>
            </w:r>
          </w:p>
        </w:tc>
        <w:tc>
          <w:tcPr/>
          <w:p>
            <w:pPr>
              <w:pStyle w:val="Compact"/>
              <w:jc w:val="right"/>
            </w:pPr>
            <w:r>
              <w:t xml:space="preserve">136.88</w:t>
            </w:r>
          </w:p>
        </w:tc>
        <w:tc>
          <w:tcPr/>
          <w:p>
            <w:pPr>
              <w:pStyle w:val="Compact"/>
              <w:jc w:val="right"/>
            </w:pPr>
            <w:r>
              <w:t xml:space="preserve">115.78</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85.4%</w:t>
            </w:r>
          </w:p>
        </w:tc>
        <w:tc>
          <w:tcPr/>
          <w:p>
            <w:pPr>
              <w:pStyle w:val="Compact"/>
              <w:jc w:val="right"/>
            </w:pPr>
            <w:r>
              <w:t xml:space="preserve">34.6%</w:t>
            </w:r>
          </w:p>
        </w:tc>
        <w:tc>
          <w:tcPr/>
          <w:p>
            <w:pPr>
              <w:pStyle w:val="Compact"/>
              <w:jc w:val="right"/>
            </w:pPr>
            <w:r>
              <w:t xml:space="preserve">137.62</w:t>
            </w:r>
          </w:p>
        </w:tc>
        <w:tc>
          <w:tcPr/>
          <w:p>
            <w:pPr>
              <w:pStyle w:val="Compact"/>
              <w:jc w:val="right"/>
            </w:pPr>
            <w:r>
              <w:t xml:space="preserve">116.21</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97.82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137.75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121.64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85.4%，说明长期结果应重点关注尾部区间和状态切换风险。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87.77–116.59 </w:t>
            </w:r>
            <w:r>
              <w:rPr>
                <w:rFonts w:hint="eastAsia"/>
              </w:rPr>
              <w:t xml:space="preserve">美元/桶，最高价突破</w:t>
            </w:r>
            <w:r>
              <w:t xml:space="preserve"> 120 </w:t>
            </w:r>
            <w:r>
              <w:rPr>
                <w:rFonts w:hint="eastAsia"/>
              </w:rPr>
              <w:t xml:space="preserve">概率约</w:t>
            </w:r>
            <w:r>
              <w:t xml:space="preserve"> 20.0%</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概率约</w:t>
            </w:r>
            <w:r>
              <w:t xml:space="preserve"> 85.4%</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86.26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97.82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121.64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天物理缺口仍保留约</w:t>
      </w:r>
      <w:r>
        <w:t xml:space="preserve"> 545 </w:t>
      </w:r>
      <w:r>
        <w:rPr>
          <w:rFonts w:hint="eastAsia"/>
        </w:rPr>
        <w:t xml:space="preserve">万桶/日的尾部压力，且价格仍高于战前</w:t>
      </w:r>
      <w:r>
        <w:t xml:space="preserve"> 75 </w:t>
      </w:r>
      <w:r>
        <w:rPr>
          <w:rFonts w:hint="eastAsia"/>
        </w:rPr>
        <w:t xml:space="preserve">美元/桶，原因是模型中同时保留不确定性和制度风险溢价。该设定表示：即便政策缓冲和绕道恢复显著压低初期冲击，只要霍尔木兹封锁的制度状态没有完全解除，市场仍会对运输保险、航运安全、库存再补充和再次升级风险给出残余溢价。因此</w:t>
      </w:r>
      <w:r>
        <w:t xml:space="preserve"> 97.82 </w:t>
      </w:r>
      <w:r>
        <w:rPr>
          <w:rFonts w:hint="eastAsia"/>
        </w:rPr>
        <w:t xml:space="preserve">美元/桶应理解为</w:t>
      </w:r>
      <w:r>
        <w:rPr>
          <w:rFonts w:hint="eastAsia"/>
        </w:rPr>
        <w:t xml:space="preserve">“物理缓冲显著生效但制度风险尚未完全消失”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与尾部风险"/>
    <w:p>
      <w:pPr>
        <w:pStyle w:val="Heading2"/>
      </w:pPr>
      <w:r>
        <w:rPr>
          <w:rFonts w:hint="eastAsia"/>
        </w:rPr>
        <w:t xml:space="preserve">敏感性分析与尾部风险</w:t>
      </w:r>
    </w:p>
    <w:p>
      <w:pPr>
        <w:pStyle w:val="FirstParagraph"/>
      </w:pPr>
      <w:r>
        <w:rPr>
          <w:rFonts w:hint="eastAsia"/>
        </w:rPr>
        <w:t xml:space="preserve">本节回答三个问题：哪些参数主导长期结果，多因素扰动下尾部风险有多大，外生风险变量和历史样本是否支持该判断。GPR、OVX、历史窗口和传统蒙特卡洛路径图放入附录，正文保留排序、区间和摘要证据。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3"/>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3"/>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20.0%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5.0%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91.2%</w:t>
            </w:r>
          </w:p>
        </w:tc>
      </w:tr>
      <w:tr>
        <w:tc>
          <w:tcPr/>
          <w:p>
            <w:pPr>
              <w:pStyle w:val="Compact"/>
              <w:jc w:val="left"/>
            </w:pPr>
            <w:r>
              <w:rPr>
                <w:rFonts w:hint="eastAsia"/>
              </w:rPr>
              <w:t xml:space="preserve">二次跳涨风险为高概率</w:t>
            </w:r>
          </w:p>
        </w:tc>
        <w:tc>
          <w:tcPr/>
          <w:p>
            <w:pPr>
              <w:pStyle w:val="Compact"/>
              <w:jc w:val="right"/>
            </w:pPr>
            <w:r>
              <w:t xml:space="preserve">91.2%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87.77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104.91</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116.59</w:t>
            </w:r>
          </w:p>
        </w:tc>
      </w:tr>
      <w:tr>
        <w:tc>
          <w:tcPr/>
          <w:p>
            <w:pPr>
              <w:pStyle w:val="Compact"/>
              <w:jc w:val="left"/>
            </w:pPr>
            <w:r>
              <w:rPr>
                <w:rFonts w:hint="eastAsia"/>
              </w:rPr>
              <w:t xml:space="preserve">外推期最高价</w:t>
            </w:r>
            <w:r>
              <w:t xml:space="preserve"> P95</w:t>
            </w:r>
          </w:p>
        </w:tc>
        <w:tc>
          <w:tcPr/>
          <w:p>
            <w:pPr>
              <w:pStyle w:val="Compact"/>
              <w:jc w:val="right"/>
            </w:pPr>
            <w:r>
              <w:t xml:space="preserve">129.97</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104.91 </w:t>
      </w:r>
      <w:r>
        <w:rPr>
          <w:rFonts w:hint="eastAsia"/>
        </w:rPr>
        <w:t xml:space="preserve">美元/桶，与中性情景</w:t>
      </w:r>
      <w:r>
        <w:t xml:space="preserve"> 97.82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20.0%，突破</w:t>
      </w:r>
      <w:r>
        <w:t xml:space="preserve"> 130 </w:t>
      </w:r>
      <w:r>
        <w:rPr>
          <w:rFonts w:hint="eastAsia"/>
        </w:rPr>
        <w:t xml:space="preserve">美元/桶的概率为</w:t>
      </w:r>
      <w:r>
        <w:t xml:space="preserve"> </w:t>
      </w:r>
      <w:r>
        <w:rPr>
          <w:rFonts w:hint="eastAsia"/>
        </w:rPr>
        <w:t xml:space="preserve">5.0%。因此，长期风险重点不在中性点预测，而在多因素联动恶化下的尾部组合。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w:t>
      </w:r>
    </w:p>
    <w:bookmarkEnd w:id="79"/>
    <w:bookmarkStart w:id="80" w:name="外生风险变量与历史稳健性摘要"/>
    <w:p>
      <w:pPr>
        <w:pStyle w:val="Heading3"/>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End w:id="82"/>
    <w:bookmarkStart w:id="86" w:name="结果分析与模型检验"/>
    <w:p>
      <w:pPr>
        <w:pStyle w:val="Heading1"/>
      </w:pPr>
      <w:r>
        <w:rPr>
          <w:rFonts w:hint="eastAsia"/>
        </w:rPr>
        <w:t xml:space="preserve">结果分析与模型检验</w:t>
      </w:r>
    </w:p>
    <w:p>
      <w:pPr>
        <w:pStyle w:val="FirstParagraph"/>
      </w:pPr>
      <w:r>
        <w:rPr>
          <w:rFonts w:hint="eastAsia"/>
        </w:rPr>
        <w:t xml:space="preserve">本节汇总模型求解后的核心结果，并给出必要的模型检验。正文只保留与结论判断直接相关的证据；参数剖面、残差分布、事件窗口、R</w:t>
      </w:r>
      <w:r>
        <w:t xml:space="preserve"> </w:t>
      </w:r>
      <w:r>
        <w:rPr>
          <w:rFonts w:hint="eastAsia"/>
        </w:rPr>
        <w:t xml:space="preserve">语言复核和外生风险补充图放入附录。</w:t>
      </w:r>
    </w:p>
    <w:bookmarkStart w:id="83" w:name="短期冲击模型结果分析"/>
    <w:p>
      <w:pPr>
        <w:pStyle w:val="Heading2"/>
      </w:pPr>
      <w:r>
        <w:rPr>
          <w:rFonts w:hint="eastAsia"/>
        </w:rPr>
        <w:t xml:space="preserve">短期冲击模型结果分析</w:t>
      </w:r>
    </w:p>
    <w:p>
      <w:pPr>
        <w:pStyle w:val="FirstParagraph"/>
      </w:pPr>
      <w:r>
        <w:rPr>
          <w:rFonts w:hint="eastAsia"/>
        </w:rPr>
        <w:t xml:space="preserve">短期冲击模型在</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日的冲突窗口内取得</w:t>
      </w:r>
      <w:r>
        <w:t xml:space="preserve"> RMSE 3.47 </w:t>
      </w:r>
      <w:r>
        <w:rPr>
          <w:rFonts w:hint="eastAsia"/>
        </w:rPr>
        <w:t xml:space="preserve">美元/桶、MAE</w:t>
      </w:r>
      <w:r>
        <w:t xml:space="preserve"> 2.87 </w:t>
      </w:r>
      <w:r>
        <w:rPr>
          <w:rFonts w:hint="eastAsia"/>
        </w:rPr>
        <w:t xml:space="preserve">美元/桶、MAPE</w:t>
      </w:r>
      <w:r>
        <w:t xml:space="preserve"> </w:t>
      </w:r>
      <w:r>
        <w:rPr>
          <w:rFonts w:hint="eastAsia"/>
        </w:rPr>
        <w:t xml:space="preserve">2.88%。模拟峰值为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美元/桶，实际期末价格为</w:t>
      </w:r>
      <w:r>
        <w:t xml:space="preserve"> 110.31 </w:t>
      </w:r>
      <w:r>
        <w:rPr>
          <w:rFonts w:hint="eastAsia"/>
        </w:rPr>
        <w:t xml:space="preserve">美元/桶。加入仅使用历史滞后价格特征的阶段</w:t>
      </w:r>
      <w:r>
        <w:t xml:space="preserve"> Ridge </w:t>
      </w:r>
      <w:r>
        <w:rPr>
          <w:rFonts w:hint="eastAsia"/>
        </w:rPr>
        <w:t xml:space="preserve">收益率辅助层后，RMSE</w:t>
      </w:r>
      <w:r>
        <w:t xml:space="preserv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单位为美元/桶。增强路径只在残差薄弱窗口启用低自由度收益率修正，不替代机制递推。</w:t>
      </w:r>
    </w:p>
    <w:p>
      <w:pPr>
        <w:pStyle w:val="BodyText"/>
      </w:pPr>
      <w:r>
        <w:rPr>
          <w:rFonts w:hint="eastAsia"/>
        </w:rPr>
        <w:t xml:space="preserve">基准对比表明，短期冲击模型优于上一日价格朴素基准和滚动</w:t>
      </w:r>
      <w:r>
        <w:t xml:space="preserve"> ARIMA </w:t>
      </w:r>
      <w:r>
        <w:rPr>
          <w:rFonts w:hint="eastAsia"/>
        </w:rPr>
        <w:t xml:space="preserve">基准。平移检验显示，原始预测位置的</w:t>
      </w:r>
      <w:r>
        <w:t xml:space="preserve"> RMSE </w:t>
      </w:r>
      <w:r>
        <w:rPr>
          <w:rFonts w:hint="eastAsia"/>
        </w:rPr>
        <w:t xml:space="preserve">最低，向左平移后误差上升，说明模型不是简单把</w:t>
      </w:r>
      <w:r>
        <w:rPr>
          <w:rFonts w:hint="eastAsia"/>
        </w:rPr>
        <w:t xml:space="preserve">“昨天价格”</w:t>
      </w:r>
      <w:r>
        <w:rPr>
          <w:rFonts w:hint="eastAsia"/>
        </w:rPr>
        <w:t xml:space="preserve">当作</w:t>
      </w:r>
      <w:r>
        <w:rPr>
          <w:rFonts w:hint="eastAsia"/>
        </w:rPr>
        <w:t xml:space="preserve">“今天预测”</w:t>
      </w:r>
      <w:r>
        <w:rPr>
          <w:rFonts w:hint="eastAsia"/>
        </w:rPr>
        <w:t xml:space="preserve">。机制消融结果显示，SPR、商业库存、风险溢价、缓冲确认和预期修复分别承担不同功能：前两者解释物理缺口吸收，后三者解释价格平台和后期回落。</w:t>
      </w:r>
    </w:p>
    <w:bookmarkEnd w:id="83"/>
    <w:bookmarkStart w:id="84" w:name="中长期油价调节结果分析"/>
    <w:p>
      <w:pPr>
        <w:pStyle w:val="Heading2"/>
      </w:pPr>
      <w:r>
        <w:rPr>
          <w:rFonts w:hint="eastAsia"/>
        </w:rPr>
        <w:t xml:space="preserve">中长期油价调节结果分析</w:t>
      </w:r>
    </w:p>
    <w:p>
      <w:pPr>
        <w:pStyle w:val="FirstParagraph"/>
      </w:pPr>
      <w:r>
        <w:rPr>
          <w:rFonts w:hint="eastAsia"/>
        </w:rPr>
        <w:t xml:space="preserve">中长期油价调节模型给出</w:t>
      </w:r>
      <w:r>
        <w:t xml:space="preserve"> 60–180 </w:t>
      </w:r>
      <w:r>
        <w:rPr>
          <w:rFonts w:hint="eastAsia"/>
        </w:rPr>
        <w:t xml:space="preserve">天乐观、中性和悲观三种路径。中性情景第</w:t>
      </w:r>
      <w:r>
        <w:t xml:space="preserve"> 180 </w:t>
      </w:r>
      <w:r>
        <w:rPr>
          <w:rFonts w:hint="eastAsia"/>
        </w:rPr>
        <w:t xml:space="preserve">天价格约为</w:t>
      </w:r>
      <w:r>
        <w:t xml:space="preserve"> 97.82 </w:t>
      </w:r>
      <w:r>
        <w:rPr>
          <w:rFonts w:hint="eastAsia"/>
        </w:rPr>
        <w:t xml:space="preserve">美元/桶；悲观情景第</w:t>
      </w:r>
      <w:r>
        <w:t xml:space="preserve"> 180 </w:t>
      </w:r>
      <w:r>
        <w:rPr>
          <w:rFonts w:hint="eastAsia"/>
        </w:rPr>
        <w:t xml:space="preserve">天约为</w:t>
      </w:r>
      <w:r>
        <w:t xml:space="preserve"> 121.64 </w:t>
      </w:r>
      <w:r>
        <w:rPr>
          <w:rFonts w:hint="eastAsia"/>
        </w:rPr>
        <w:t xml:space="preserve">美元/桶，说明若供应中断接近上界、SPR</w:t>
      </w:r>
      <w:r>
        <w:t xml:space="preserve"> </w:t>
      </w:r>
      <w:r>
        <w:rPr>
          <w:rFonts w:hint="eastAsia"/>
        </w:rPr>
        <w:t xml:space="preserve">等效预算耗尽、绕道恢复慢且制度风险溢价持续，油价仍可能维持高位并保留二次跳涨风险。</w:t>
      </w:r>
    </w:p>
    <w:p>
      <w:pPr>
        <w:pStyle w:val="TableCaption"/>
      </w:pPr>
      <w:r>
        <w:rPr>
          <w:rFonts w:hint="eastAsia"/>
        </w:rPr>
        <w:t xml:space="preserve">中长期油价调节模型三情景关键结果</w:t>
      </w:r>
    </w:p>
    <w:tbl>
      <w:tblPr>
        <w:tblStyle w:val="Table"/>
        <w:tblW w:type="auto" w:w="0"/>
        <w:tblLook w:firstRow="1" w:lastRow="0" w:firstColumn="0" w:lastColumn="0" w:noHBand="0" w:noVBand="0" w:val="0020"/>
        <w:tblCaption w:val="中长期油价调节模型三情景关键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lef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109.63</w:t>
            </w:r>
          </w:p>
        </w:tc>
        <w:tc>
          <w:tcPr/>
          <w:p>
            <w:pPr>
              <w:pStyle w:val="Compact"/>
              <w:jc w:val="right"/>
            </w:pPr>
            <w:r>
              <w:t xml:space="preserve">93.50</w:t>
            </w:r>
          </w:p>
        </w:tc>
        <w:tc>
          <w:tcPr/>
          <w:p>
            <w:pPr>
              <w:pStyle w:val="Compact"/>
              <w:jc w:val="right"/>
            </w:pPr>
            <w:r>
              <w:t xml:space="preserve">90.76</w:t>
            </w:r>
          </w:p>
        </w:tc>
        <w:tc>
          <w:tcPr/>
          <w:p>
            <w:pPr>
              <w:pStyle w:val="Compact"/>
              <w:jc w:val="right"/>
            </w:pPr>
            <w:r>
              <w:t xml:space="preserve">86.26</w:t>
            </w:r>
          </w:p>
        </w:tc>
        <w:tc>
          <w:tcPr/>
          <w:p>
            <w:pPr>
              <w:pStyle w:val="Compact"/>
              <w:jc w:val="right"/>
            </w:pPr>
            <w:r>
              <w:t xml:space="preserve">104.65</w:t>
            </w:r>
          </w:p>
        </w:tc>
        <w:tc>
          <w:tcPr/>
          <w:p>
            <w:pPr>
              <w:pStyle w:val="Compact"/>
              <w:jc w:val="right"/>
            </w:pPr>
            <w:r>
              <w:t xml:space="preserve">90.82</w:t>
            </w:r>
          </w:p>
        </w:tc>
        <w:tc>
          <w:tcPr/>
          <w:p>
            <w:pPr>
              <w:pStyle w:val="Compact"/>
              <w:jc w:val="lef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109.63</w:t>
            </w:r>
          </w:p>
        </w:tc>
        <w:tc>
          <w:tcPr/>
          <w:p>
            <w:pPr>
              <w:pStyle w:val="Compact"/>
              <w:jc w:val="right"/>
            </w:pPr>
            <w:r>
              <w:t xml:space="preserve">104.24</w:t>
            </w:r>
          </w:p>
        </w:tc>
        <w:tc>
          <w:tcPr/>
          <w:p>
            <w:pPr>
              <w:pStyle w:val="Compact"/>
              <w:jc w:val="right"/>
            </w:pPr>
            <w:r>
              <w:t xml:space="preserve">97.30</w:t>
            </w:r>
          </w:p>
        </w:tc>
        <w:tc>
          <w:tcPr/>
          <w:p>
            <w:pPr>
              <w:pStyle w:val="Compact"/>
              <w:jc w:val="right"/>
            </w:pPr>
            <w:r>
              <w:t xml:space="preserve">97.82</w:t>
            </w:r>
          </w:p>
        </w:tc>
        <w:tc>
          <w:tcPr/>
          <w:p>
            <w:pPr>
              <w:pStyle w:val="Compact"/>
              <w:jc w:val="right"/>
            </w:pPr>
            <w:r>
              <w:t xml:space="preserve">110.87</w:t>
            </w:r>
          </w:p>
        </w:tc>
        <w:tc>
          <w:tcPr/>
          <w:p>
            <w:pPr>
              <w:pStyle w:val="Compact"/>
              <w:jc w:val="right"/>
            </w:pPr>
            <w:r>
              <w:t xml:space="preserve">98.84</w:t>
            </w:r>
          </w:p>
        </w:tc>
        <w:tc>
          <w:tcPr/>
          <w:p>
            <w:pPr>
              <w:pStyle w:val="Compact"/>
              <w:jc w:val="left"/>
            </w:pPr>
            <w:r>
              <w:rPr>
                <w:rFonts w:hint="eastAsia"/>
              </w:rPr>
              <w:t xml:space="preserve">高</w:t>
            </w:r>
          </w:p>
        </w:tc>
      </w:tr>
      <w:tr>
        <w:tc>
          <w:tcPr/>
          <w:p>
            <w:pPr>
              <w:pStyle w:val="Compact"/>
              <w:jc w:val="left"/>
            </w:pPr>
            <w:r>
              <w:rPr>
                <w:rFonts w:hint="eastAsia"/>
              </w:rPr>
              <w:t xml:space="preserve">悲观</w:t>
            </w:r>
          </w:p>
        </w:tc>
        <w:tc>
          <w:tcPr/>
          <w:p>
            <w:pPr>
              <w:pStyle w:val="Compact"/>
              <w:jc w:val="right"/>
            </w:pPr>
            <w:r>
              <w:t xml:space="preserve">109.63</w:t>
            </w:r>
          </w:p>
        </w:tc>
        <w:tc>
          <w:tcPr/>
          <w:p>
            <w:pPr>
              <w:pStyle w:val="Compact"/>
              <w:jc w:val="right"/>
            </w:pPr>
            <w:r>
              <w:t xml:space="preserve">133.85</w:t>
            </w:r>
          </w:p>
        </w:tc>
        <w:tc>
          <w:tcPr/>
          <w:p>
            <w:pPr>
              <w:pStyle w:val="Compact"/>
              <w:jc w:val="right"/>
            </w:pPr>
            <w:r>
              <w:t xml:space="preserve">125.86</w:t>
            </w:r>
          </w:p>
        </w:tc>
        <w:tc>
          <w:tcPr/>
          <w:p>
            <w:pPr>
              <w:pStyle w:val="Compact"/>
              <w:jc w:val="right"/>
            </w:pPr>
            <w:r>
              <w:t xml:space="preserve">121.64</w:t>
            </w:r>
          </w:p>
        </w:tc>
        <w:tc>
          <w:tcPr/>
          <w:p>
            <w:pPr>
              <w:pStyle w:val="Compact"/>
              <w:jc w:val="right"/>
            </w:pPr>
            <w:r>
              <w:t xml:space="preserve">137.75</w:t>
            </w:r>
          </w:p>
        </w:tc>
        <w:tc>
          <w:tcPr/>
          <w:p>
            <w:pPr>
              <w:pStyle w:val="Compact"/>
              <w:jc w:val="right"/>
            </w:pPr>
            <w:r>
              <w:t xml:space="preserve">127.70</w:t>
            </w:r>
          </w:p>
        </w:tc>
        <w:tc>
          <w:tcPr/>
          <w:p>
            <w:pPr>
              <w:pStyle w:val="Compact"/>
              <w:jc w:val="left"/>
            </w:pPr>
            <w:r>
              <w:rPr>
                <w:rFonts w:hint="eastAsia"/>
              </w:rPr>
              <w:t xml:space="preserve">高</w:t>
            </w:r>
          </w:p>
        </w:tc>
      </w:tr>
    </w:tbl>
    <w:p>
      <w:pPr>
        <w:pStyle w:val="BodyText"/>
      </w:pPr>
      <w:r>
        <w:rPr>
          <w:rFonts w:hint="eastAsia"/>
        </w:rPr>
        <w:t xml:space="preserve">三情景结果说明，长期价格并非一条确定性均值线，而是随</w:t>
      </w:r>
      <w:r>
        <w:t xml:space="preserve"> SPR </w:t>
      </w:r>
      <w:r>
        <w:rPr>
          <w:rFonts w:hint="eastAsia"/>
        </w:rPr>
        <w:t xml:space="preserve">释放能力、库存消耗、绕道恢复、需求弹性恢复和制度风险溢价变化而分化。悲观路径的高位主要来自剩余缺口与政策缓冲能力下降共同作用，不是对价格上限的硬编码。</w:t>
      </w:r>
    </w:p>
    <w:bookmarkEnd w:id="84"/>
    <w:bookmarkStart w:id="85" w:name="模型检验与尾部风险"/>
    <w:p>
      <w:pPr>
        <w:pStyle w:val="Heading2"/>
      </w:pPr>
      <w:r>
        <w:rPr>
          <w:rFonts w:hint="eastAsia"/>
        </w:rPr>
        <w:t xml:space="preserve">模型检验与尾部风险</w:t>
      </w:r>
    </w:p>
    <w:p>
      <w:pPr>
        <w:pStyle w:val="FirstParagraph"/>
      </w:pPr>
      <w:r>
        <w:rPr>
          <w:rFonts w:hint="eastAsia"/>
        </w:rPr>
        <w:t xml:space="preserve">短期检验方面，模型同时通过基准对比、滞后平移、机制消融和参数扰动复核。局部参数扰动表明，最优参数附近预测路径仍围绕真实价格平台展开，说明结论不依赖某一个极窄参数点。R</w:t>
      </w:r>
      <w:r>
        <w:t xml:space="preserve"> </w:t>
      </w:r>
      <w:r>
        <w:rPr>
          <w:rFonts w:hint="eastAsia"/>
        </w:rPr>
        <w:t xml:space="preserve">语言独立计量检验进一步复核了主模型相对朴素基准的误差优势和残差结构。</w:t>
      </w:r>
    </w:p>
    <w:p>
      <w:pPr>
        <w:pStyle w:val="BodyText"/>
      </w:pPr>
      <w:r>
        <w:rPr>
          <w:rFonts w:hint="eastAsia"/>
        </w:rPr>
        <w:t xml:space="preserve">长期检验方面，蒙特卡洛情景树给出第</w:t>
      </w:r>
      <w:r>
        <w:t xml:space="preserve"> 180 </w:t>
      </w:r>
      <w:r>
        <w:rPr>
          <w:rFonts w:hint="eastAsia"/>
        </w:rPr>
        <w:t xml:space="preserve">天价格</w:t>
      </w:r>
      <w:r>
        <w:t xml:space="preserve"> 5%–95% </w:t>
      </w:r>
      <w:r>
        <w:rPr>
          <w:rFonts w:hint="eastAsia"/>
        </w:rPr>
        <w:t xml:space="preserve">区间</w:t>
      </w:r>
      <w:r>
        <w:t xml:space="preserve"> 87.77–116.59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20.0%。状态转移情景树进一步引入缓和、维持、升级三类状态，第</w:t>
      </w:r>
      <w:r>
        <w:t xml:space="preserve"> 180 </w:t>
      </w:r>
      <w:r>
        <w:rPr>
          <w:rFonts w:hint="eastAsia"/>
        </w:rPr>
        <w:t xml:space="preserve">天价格</w:t>
      </w:r>
      <w:r>
        <w:t xml:space="preserve"> 5%–95%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约为</w:t>
      </w:r>
      <w:r>
        <w:t xml:space="preserve"> 137.62 </w:t>
      </w:r>
      <w:r>
        <w:rPr>
          <w:rFonts w:hint="eastAsia"/>
        </w:rPr>
        <w:t xml:space="preserve">美元/桶，突破</w:t>
      </w:r>
      <w:r>
        <w:t xml:space="preserve"> 120 </w:t>
      </w:r>
      <w:r>
        <w:rPr>
          <w:rFonts w:hint="eastAsia"/>
        </w:rPr>
        <w:t xml:space="preserve">美元/桶的条件概率约为</w:t>
      </w:r>
      <w:r>
        <w:t xml:space="preserve"> 85.4%。</w:t>
      </w:r>
    </w:p>
    <w:p>
      <w:pPr>
        <w:pStyle w:val="TableCaption"/>
      </w:pPr>
      <w:r>
        <w:rPr>
          <w:rFonts w:hint="eastAsia"/>
        </w:rPr>
        <w:t xml:space="preserve">模型检验与可靠性摘要</w:t>
      </w:r>
    </w:p>
    <w:tbl>
      <w:tblPr>
        <w:tblStyle w:val="Table"/>
        <w:tblW w:type="auto" w:w="0"/>
        <w:tblLook w:firstRow="1" w:lastRow="0" w:firstColumn="0" w:lastColumn="0" w:noHBand="0" w:noVBand="0" w:val="0020"/>
        <w:tblCaption w:val="模型检验与可靠性摘要"/>
      </w:tblPr>
      <w:tblGrid>
        <w:gridCol w:w="3960"/>
        <w:gridCol w:w="396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主要结论</w:t>
            </w:r>
          </w:p>
        </w:tc>
      </w:tr>
      <w:tr>
        <w:tc>
          <w:tcPr/>
          <w:p>
            <w:pPr>
              <w:pStyle w:val="Compact"/>
              <w:jc w:val="left"/>
            </w:pPr>
            <w:r>
              <w:rPr>
                <w:rFonts w:hint="eastAsia"/>
              </w:rPr>
              <w:t xml:space="preserve">基准对比</w:t>
            </w:r>
          </w:p>
        </w:tc>
        <w:tc>
          <w:tcPr/>
          <w:p>
            <w:pPr>
              <w:pStyle w:val="Compact"/>
              <w:jc w:val="left"/>
            </w:pPr>
            <w:r>
              <w:rPr>
                <w:rFonts w:hint="eastAsia"/>
              </w:rPr>
              <w:t xml:space="preserve">短期冲击模型</w:t>
            </w:r>
            <w:r>
              <w:t xml:space="preserve"> RMSE </w:t>
            </w:r>
            <w:r>
              <w:rPr>
                <w:rFonts w:hint="eastAsia"/>
              </w:rPr>
              <w:t xml:space="preserve">低于朴素上一日基准和滚动</w:t>
            </w:r>
            <w:r>
              <w:t xml:space="preserve"> ARIMA </w:t>
            </w:r>
            <w:r>
              <w:rPr>
                <w:rFonts w:hint="eastAsia"/>
              </w:rPr>
              <w:t xml:space="preserve">基准。</w:t>
            </w:r>
          </w:p>
        </w:tc>
      </w:tr>
      <w:tr>
        <w:tc>
          <w:tcPr/>
          <w:p>
            <w:pPr>
              <w:pStyle w:val="Compact"/>
              <w:jc w:val="left"/>
            </w:pPr>
            <w:r>
              <w:rPr>
                <w:rFonts w:hint="eastAsia"/>
              </w:rPr>
              <w:t xml:space="preserve">滞后检验</w:t>
            </w:r>
          </w:p>
        </w:tc>
        <w:tc>
          <w:tcPr/>
          <w:p>
            <w:pPr>
              <w:pStyle w:val="Compact"/>
              <w:jc w:val="left"/>
            </w:pPr>
            <w:r>
              <w:rPr>
                <w:rFonts w:hint="eastAsia"/>
              </w:rPr>
              <w:t xml:space="preserve">原始位置误差最低，预测曲线不存在明显滞后复制。</w:t>
            </w:r>
          </w:p>
        </w:tc>
      </w:tr>
      <w:tr>
        <w:tc>
          <w:tcPr/>
          <w:p>
            <w:pPr>
              <w:pStyle w:val="Compact"/>
              <w:jc w:val="left"/>
            </w:pPr>
            <w:r>
              <w:rPr>
                <w:rFonts w:hint="eastAsia"/>
              </w:rPr>
              <w:t xml:space="preserve">机制消融</w:t>
            </w:r>
          </w:p>
        </w:tc>
        <w:tc>
          <w:tcPr/>
          <w:p>
            <w:pPr>
              <w:pStyle w:val="Compact"/>
              <w:jc w:val="left"/>
            </w:pPr>
            <w:r>
              <w:rPr>
                <w:rFonts w:hint="eastAsia"/>
              </w:rPr>
              <w:t xml:space="preserve">关闭风险、缓冲确认或预期修复机制会显著改变误差结构。</w:t>
            </w:r>
          </w:p>
        </w:tc>
      </w:tr>
      <w:tr>
        <w:tc>
          <w:tcPr/>
          <w:p>
            <w:pPr>
              <w:pStyle w:val="Compact"/>
              <w:jc w:val="left"/>
            </w:pPr>
            <w:r>
              <w:rPr>
                <w:rFonts w:hint="eastAsia"/>
              </w:rPr>
              <w:t xml:space="preserve">参数扰动</w:t>
            </w:r>
          </w:p>
        </w:tc>
        <w:tc>
          <w:tcPr/>
          <w:p>
            <w:pPr>
              <w:pStyle w:val="Compact"/>
              <w:jc w:val="left"/>
            </w:pPr>
            <w:r>
              <w:rPr>
                <w:rFonts w:hint="eastAsia"/>
              </w:rPr>
              <w:t xml:space="preserve">局部扰动下价格平台仍稳定，说明结论不依赖单点参数。</w:t>
            </w:r>
          </w:p>
        </w:tc>
      </w:tr>
      <w:tr>
        <w:tc>
          <w:tcPr/>
          <w:p>
            <w:pPr>
              <w:pStyle w:val="Compact"/>
              <w:jc w:val="left"/>
            </w:pPr>
            <w:r>
              <w:rPr>
                <w:rFonts w:hint="eastAsia"/>
              </w:rPr>
              <w:t xml:space="preserve">尾部风险</w:t>
            </w:r>
          </w:p>
        </w:tc>
        <w:tc>
          <w:tcPr/>
          <w:p>
            <w:pPr>
              <w:pStyle w:val="Compact"/>
              <w:jc w:val="left"/>
            </w:pPr>
            <w:r>
              <w:rPr>
                <w:rFonts w:hint="eastAsia"/>
              </w:rPr>
              <w:t xml:space="preserve">长期结果需结合三情景、蒙特卡洛分位区间和状态转移概率理解。</w:t>
            </w:r>
          </w:p>
        </w:tc>
      </w:tr>
      <w:tr>
        <w:tc>
          <w:tcPr/>
          <w:p>
            <w:pPr>
              <w:pStyle w:val="Compact"/>
              <w:jc w:val="left"/>
            </w:pPr>
            <w:r>
              <w:rPr>
                <w:rFonts w:hint="eastAsia"/>
              </w:rPr>
              <w:t xml:space="preserve">外生变量</w:t>
            </w:r>
          </w:p>
        </w:tc>
        <w:tc>
          <w:tcPr/>
          <w:p>
            <w:pPr>
              <w:pStyle w:val="Compact"/>
              <w:jc w:val="left"/>
            </w:pPr>
            <w:r>
              <w:t xml:space="preserve">GPR </w:t>
            </w:r>
            <w:r>
              <w:rPr>
                <w:rFonts w:hint="eastAsia"/>
              </w:rPr>
              <w:t xml:space="preserve">与</w:t>
            </w:r>
            <w:r>
              <w:t xml:space="preserve"> OVX </w:t>
            </w:r>
            <w:r>
              <w:rPr>
                <w:rFonts w:hint="eastAsia"/>
              </w:rPr>
              <w:t xml:space="preserve">用于风险环境和长期状态约束，不替代附件真实价格。</w:t>
            </w:r>
          </w:p>
        </w:tc>
      </w:tr>
    </w:tbl>
    <w:p>
      <w:pPr>
        <w:pStyle w:val="BodyText"/>
      </w:pPr>
      <w:r>
        <w:rPr>
          <w:rFonts w:hint="eastAsia"/>
          <w:b/>
          <w:bCs/>
        </w:rPr>
        <w:t xml:space="preserve">结论</w:t>
      </w:r>
      <w:r>
        <w:rPr>
          <w:rFonts w:hint="eastAsia"/>
        </w:rPr>
        <w:t xml:space="preserve">短期模型给出可复核的事件窗口拟合，长期模型给出条件情景和尾部风险边界。模型结论应读作霍尔木兹封锁条件下的机制解释和风险评估，而非跨年份通用油价交易预测。</w:t>
      </w:r>
    </w:p>
    <w:bookmarkEnd w:id="85"/>
    <w:bookmarkEnd w:id="86"/>
    <w:bookmarkStart w:id="87"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本文围绕霍尔木兹海峡封锁对国际原油价格的影响，建立传统供需基准模型、短期冲击模型和中长期油价调节模型，得到以下结论。</w:t>
      </w:r>
    </w:p>
    <w:p>
      <w:pPr>
        <w:pStyle w:val="BodyText"/>
      </w:pPr>
      <w:r>
        <w:rPr>
          <w:rFonts w:hint="eastAsia"/>
        </w:rPr>
        <w:t xml:space="preserve">第一，在赛题低短期弹性设定下，静态反事实基准给出</w:t>
      </w:r>
      <w:r>
        <w:t xml:space="preserve"> 278–337 </w:t>
      </w:r>
      <w:r>
        <w:rPr>
          <w:rFonts w:hint="eastAsia"/>
        </w:rPr>
        <w:t xml:space="preserve">美元/桶的压力上界。该数值刻画低弹性框架下的边际压力，不代表现实价格必然到达。其作用是说明：若忽略</w:t>
      </w:r>
      <w:r>
        <w:t xml:space="preserve"> </w:t>
      </w:r>
      <w:r>
        <w:rPr>
          <w:rFonts w:hint="eastAsia"/>
        </w:rPr>
        <w:t xml:space="preserve">SPR、商业库存、绕道运输、需求收缩和市场预期修复，传统供需框架会系统性高估现实价格。</w:t>
      </w:r>
    </w:p>
    <w:p>
      <w:pPr>
        <w:pStyle w:val="BodyText"/>
      </w:pPr>
      <w:r>
        <w:rPr>
          <w:rFonts w:hint="eastAsia"/>
        </w:rPr>
        <w:t xml:space="preserve">第二，短期冲击模型能够解释冲突窗口内约</w:t>
      </w:r>
      <w:r>
        <w:t xml:space="preserve"> 110–120 </w:t>
      </w:r>
      <w:r>
        <w:rPr>
          <w:rFonts w:hint="eastAsia"/>
        </w:rPr>
        <w:t xml:space="preserve">美元/桶的价格平台。加入</w:t>
      </w:r>
      <w:r>
        <w:t xml:space="preserve"> </w:t>
      </w:r>
      <w:r>
        <w:rPr>
          <w:rFonts w:hint="eastAsia"/>
        </w:rPr>
        <w:t xml:space="preserve">SPR、商业库存、绕道运输、需求收缩、恐慌衰减、地缘风险溢价和预期修复后，模型在冲突窗口内取得</w:t>
      </w:r>
      <w:r>
        <w:t xml:space="preserve"> RMSE 3.47 </w:t>
      </w:r>
      <w:r>
        <w:rPr>
          <w:rFonts w:hint="eastAsia"/>
        </w:rPr>
        <w:t xml:space="preserve">美元/桶、MAE</w:t>
      </w:r>
      <w:r>
        <w:t xml:space="preserve"> 2.87 </w:t>
      </w:r>
      <w:r>
        <w:rPr>
          <w:rFonts w:hint="eastAsia"/>
        </w:rPr>
        <w:t xml:space="preserve">美元/桶，并优于朴素上一日基准和滚动</w:t>
      </w:r>
      <w:r>
        <w:t xml:space="preserve"> ARIMA </w:t>
      </w:r>
      <w:r>
        <w:rPr>
          <w:rFonts w:hint="eastAsia"/>
        </w:rPr>
        <w:t xml:space="preserve">基准。短期平台并非简单复制昨日价格，而是物理缺口、政策缓冲和市场预期共同再定价的结果。</w:t>
      </w:r>
    </w:p>
    <w:p>
      <w:pPr>
        <w:pStyle w:val="BodyText"/>
      </w:pPr>
      <w:r>
        <w:rPr>
          <w:rFonts w:hint="eastAsia"/>
        </w:rPr>
        <w:t xml:space="preserve">第三，中长期油价调节模型显示，中性情景第</w:t>
      </w:r>
      <w:r>
        <w:t xml:space="preserve"> 180 </w:t>
      </w:r>
      <w:r>
        <w:rPr>
          <w:rFonts w:hint="eastAsia"/>
        </w:rPr>
        <w:t xml:space="preserve">天价格约为</w:t>
      </w:r>
      <w:r>
        <w:t xml:space="preserve"> 97.82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121.64 </w:t>
      </w:r>
      <w:r>
        <w:rPr>
          <w:rFonts w:hint="eastAsia"/>
        </w:rPr>
        <w:t xml:space="preserve">美元/桶，并保留二次跳涨风险。敏感性分析表明，封锁风险衰减速度、SPR</w:t>
      </w:r>
      <w:r>
        <w:t xml:space="preserve"> </w:t>
      </w:r>
      <w:r>
        <w:rPr>
          <w:rFonts w:hint="eastAsia"/>
        </w:rPr>
        <w:t xml:space="preserve">释放上限、供应中断量和绕道运输能力是长期结果的主要驱动因素。</w:t>
      </w:r>
    </w:p>
    <w:p>
      <w:pPr>
        <w:pStyle w:val="BodyText"/>
      </w:pPr>
      <w:r>
        <w:rPr>
          <w:rFonts w:hint="eastAsia"/>
        </w:rPr>
        <w:t xml:space="preserve">第四，外部风险变量用于约束风险环境而非替代附件价格。GPR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w:t>
      </w:r>
    </w:p>
    <w:p>
      <w:pPr>
        <w:pStyle w:val="BodyText"/>
      </w:pPr>
      <w:r>
        <w:rPr>
          <w:rFonts w:hint="eastAsia"/>
        </w:rPr>
        <w:t xml:space="preserve">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7"/>
    <w:bookmarkStart w:id="97"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8">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9">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90">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91">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92">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93">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94">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5">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6">
        <w:r>
          <w:rPr>
            <w:rStyle w:val="Hyperlink"/>
          </w:rPr>
          <w:t xml:space="preserve">ICE report center</w:t>
        </w:r>
      </w:hyperlink>
      <w:r>
        <w:t xml:space="preserve">.</w:t>
      </w:r>
    </w:p>
    <w:bookmarkEnd w:id="97"/>
    <w:bookmarkStart w:id="152"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8"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8"/>
    <w:bookmarkStart w:id="99"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9"/>
    <w:bookmarkStart w:id="100" w:name="c-短期冲击模型关键实现"/>
    <w:p>
      <w:pPr>
        <w:pStyle w:val="Heading2"/>
      </w:pPr>
      <w:r>
        <w:t xml:space="preserve">C </w:t>
      </w:r>
      <w:r>
        <w:rPr>
          <w:rFonts w:hint="eastAsia"/>
        </w:rPr>
        <w:t xml:space="preserve">短期冲击模型关键实现</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摘录短期冲击模型的关键递推逻辑，重点展示需求净扣减、商业库存自适应释放、市场感知缓冲率和价格形成层的实现方式。</w:t>
      </w:r>
    </w:p>
    <w:p>
      <w:pPr>
        <w:pStyle w:val="BodyText"/>
      </w:pPr>
      <w:r>
        <w:t xml:space="preserve">lst:dynamic-recursion</w:t>
      </w:r>
      <w:r>
        <w:t xml:space="preserve">python</w:t>
      </w:r>
      <w:r>
        <w:rPr>
          <w:rFonts w:hint="eastAsia"/>
        </w:rPr>
        <w:t xml:space="preserve">短期冲击模型关键递推</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perceived_coverage = 0.0</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p>
    <w:p>
      <w:pPr>
        <w:pStyle w:val="BodyText"/>
      </w:pPr>
      <w:r>
        <w:t xml:space="preserve"># </w:t>
      </w:r>
      <w:r>
        <w:rPr>
          <w:rFonts w:hint="eastAsia"/>
        </w:rPr>
        <w:t xml:space="preserve">需求侧：价格弹性解释一部分需求下降，题面需求收缩只扣除净额</w:t>
      </w:r>
      <w:r>
        <w:t xml:space="preserve"> </w:t>
      </w:r>
      <w:r>
        <w:t xml:space="preserve">price_ratio = max(previous_price / base_price, 0.1)</w:t>
      </w:r>
      <w:r>
        <w:t xml:space="preserve"> </w:t>
      </w:r>
      <w:r>
        <w:t xml:space="preserve">price_adjusted_demand = assumptions.base_demand * (price_ratio**elasticity)</w:t>
      </w:r>
      <w:r>
        <w:t xml:space="preserve"> </w:t>
      </w:r>
      <w:r>
        <w:t xml:space="preserve">observed_decline = ramp(day_index, 0, assumptions.demand_decline_ramp_days,</w:t>
      </w:r>
      <w:r>
        <w:t xml:space="preserve"> </w:t>
      </w:r>
      <w:r>
        <w:t xml:space="preserve">assumptions.observed_demand_decline)</w:t>
      </w:r>
      <w:r>
        <w:t xml:space="preserve"> </w:t>
      </w:r>
      <w:r>
        <w:t xml:space="preserve">effective_demand, demand_decline, elasticity_loss = effective_demand_after_adjustments(</w:t>
      </w:r>
      <w:r>
        <w:t xml:space="preserve"> </w:t>
      </w:r>
      <w:r>
        <w:t xml:space="preserve">assumptions.base_demand, price_adjusted_demand, observed_decline</w:t>
      </w:r>
      <w:r>
        <w:t xml:space="preserve"> </w:t>
      </w:r>
      <w:r>
        <w:t xml:space="preserve">)</w:t>
      </w:r>
    </w:p>
    <w:p>
      <w:pPr>
        <w:pStyle w:val="BodyText"/>
      </w:pPr>
      <w:r>
        <w:t xml:space="preserve"># </w:t>
      </w:r>
      <w:r>
        <w:rPr>
          <w:rFonts w:hint="eastAsia"/>
        </w:rPr>
        <w:t xml:space="preserve">供给侧：SPR、绕道和商业库存共同缓冲供应缺口</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 - assumptions.supply_interruption</w:t>
      </w:r>
      <w:r>
        <w:t xml:space="preserve"> </w:t>
      </w:r>
      <w:r>
        <w:t xml:space="preserve">+ spr_release + route_supply)</w:t>
      </w:r>
      <w:r>
        <w:t xml:space="preserve"> </w:t>
      </w:r>
      <w:r>
        <w:t xml:space="preserve">raw_gap = max(effective_demand - supply_without_inventory, 0.0)</w:t>
      </w:r>
      <w:r>
        <w:t xml:space="preserve"> </w:t>
      </w:r>
      <w:r>
        <w:t xml:space="preserve">inventory_buffer, inventory_release_pressure = adaptive_inventory_buffer(</w:t>
      </w:r>
      <w:r>
        <w:t xml:space="preserve"> </w:t>
      </w:r>
      <w:r>
        <w:t xml:space="preserve">raw_gap, previous_price, base_price, inventory_remaining, assumptions, behavior</w:t>
      </w:r>
      <w:r>
        <w:t xml:space="preserve"> </w:t>
      </w:r>
      <w:r>
        <w:t xml:space="preserve">)</w:t>
      </w:r>
      <w:r>
        <w:t xml:space="preserve"> </w:t>
      </w:r>
      <w:r>
        <w:t xml:space="preserve">inventory_remaining -= inventory_buffer</w:t>
      </w:r>
      <w:r>
        <w:t xml:space="preserve"> </w:t>
      </w:r>
      <w:r>
        <w:t xml:space="preserve">residual_gap = max(effective_demand - supply_without_inventory - inventory_buffer, 0.0)</w:t>
      </w:r>
    </w:p>
    <w:p>
      <w:pPr>
        <w:pStyle w:val="BodyText"/>
      </w:pPr>
      <w:r>
        <w:t xml:space="preserve"># </w:t>
      </w:r>
      <w:r>
        <w:rPr>
          <w:rFonts w:hint="eastAsia"/>
        </w:rPr>
        <w:t xml:space="preserve">市场不是立即相信所有缓冲，因此用感知覆盖率触发折价项</w:t>
      </w:r>
      <w:r>
        <w:t xml:space="preserve"> </w:t>
      </w:r>
      <w:r>
        <w:t xml:space="preserve">gross_shortage = max(effective_demand - (assumptions.base_supply</w:t>
      </w:r>
      <w:r>
        <w:t xml:space="preserve"> </w:t>
      </w:r>
      <w:r>
        <w:t xml:space="preserve">- assumptions.supply_interruption), 0.0)</w:t>
      </w:r>
      <w:r>
        <w:t xml:space="preserve"> </w:t>
      </w:r>
      <w:r>
        <w:t xml:space="preserve">total_buffer_supply = spr_release + route_supply + inventory_buffer</w:t>
      </w:r>
      <w:r>
        <w:t xml:space="preserve"> </w:t>
      </w:r>
      <w:r>
        <w:t xml:space="preserve">old_coverage = perceived_coverage</w:t>
      </w:r>
      <w:r>
        <w:t xml:space="preserve"> </w:t>
      </w:r>
      <w:r>
        <w:t xml:space="preserve">observed_coverage = np.clip(total_buffer_supply / max(gross_shortage, 1.0), 0.0, 1.5)</w:t>
      </w:r>
      <w:r>
        <w:t xml:space="preserve"> </w:t>
      </w:r>
      <w:r>
        <w:t xml:space="preserve">perceived_coverage = update_perceived_buffer_coverage(old_coverage, observed_coverage)</w:t>
      </w:r>
      <w:r>
        <w:t xml:space="preserve"> </w:t>
      </w:r>
      <w:r>
        <w:t xml:space="preserve">coverage_momentum = perceived_coverage - old_coverage</w:t>
      </w:r>
      <w:r>
        <w:t xml:space="preserve"> </w:t>
      </w:r>
      <w:r>
        <w:t xml:space="preserve">if (gap_closure_day is None</w:t>
      </w:r>
      <w:r>
        <w:t xml:space="preserve"> </w:t>
      </w:r>
      <w:r>
        <w:t xml:space="preserve">and residual_gap &lt;= assumptions.base_demand * 0.005</w:t>
      </w:r>
      <w:r>
        <w:t xml:space="preserve"> </w:t>
      </w:r>
      <w:r>
        <w:t xml:space="preserve">and perceived_coverage &gt;= 0.55):</w:t>
      </w:r>
      <w:r>
        <w:t xml:space="preserve"> </w:t>
      </w:r>
      <w:r>
        <w:t xml:space="preserve">gap_closure_day = day_index</w:t>
      </w:r>
    </w:p>
    <w:p>
      <w:pPr>
        <w:pStyle w:val="BodyText"/>
      </w:pPr>
      <w:r>
        <w:t xml:space="preserve"># </w:t>
      </w:r>
      <w:r>
        <w:rPr>
          <w:rFonts w:hint="eastAsia"/>
        </w:rPr>
        <w:t xml:space="preserve">价格形成层：物理缺口、地缘风险、恐慌、不确定性与缓冲折价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uncertainty_premium = base_price * behavior.uncertainty_floor * (1 - np.exp(-day_index / 18))</w:t>
      </w:r>
      <w:r>
        <w:t xml:space="preserve"> </w:t>
      </w:r>
      <w:r>
        <w:t xml:space="preserve">panic_premium = base_price * 0.45 * fear_excess</w:t>
      </w:r>
      <w:r>
        <w:t xml:space="preserve"> </w:t>
      </w:r>
      <w:r>
        <w:t xml:space="preserve">buffer_discount = buffer_confirmation_discount(day_index, gap_closure_day,</w:t>
      </w:r>
      <w:r>
        <w:t xml:space="preserve"> </w:t>
      </w:r>
      <w:r>
        <w:t xml:space="preserve">base_price, behavior, perceived_coverage)</w:t>
      </w:r>
      <w:r>
        <w:t xml:space="preserve"> </w:t>
      </w:r>
      <w:r>
        <w:t xml:space="preserve">relief_discount = expectation_relief_discount(day_index, base_price, behavior,</w:t>
      </w:r>
      <w:r>
        <w:t xml:space="preserve"> </w:t>
      </w:r>
      <w:r>
        <w:t xml:space="preserve">perceived_coverage, coverage_momentum)</w:t>
      </w:r>
      <w:r>
        <w:t xml:space="preserve"> </w:t>
      </w:r>
      <w:r>
        <w:t xml:space="preserve">target_price = (base_price + shortage_pressure + blockade_risk_premium</w:t>
      </w:r>
      <w:r>
        <w:t xml:space="preserve"> </w:t>
      </w:r>
      <w:r>
        <w:t xml:space="preserve">+ uncertainty_premium + panic_premium</w:t>
      </w:r>
      <w:r>
        <w:t xml:space="preserve"> </w:t>
      </w:r>
      <w:r>
        <w:t xml:space="preserve">- buffer_discount - relief_discount)</w:t>
      </w:r>
      <w:r>
        <w:t xml:space="preserve"> </w:t>
      </w:r>
      <w:r>
        <w:t xml:space="preserve">simulated_price = previous_price + behavior.adjustment_speed * (target_price - previous_price)</w:t>
      </w:r>
      <w:r>
        <w:t xml:space="preserve"> </w:t>
      </w:r>
      <w:r>
        <w:t xml:space="preserve">simulated_price += 2.5 * (fear_excess - previous_fear_excess)</w:t>
      </w:r>
      <w:r>
        <w:t xml:space="preserve"> </w:t>
      </w:r>
      <w:r>
        <w:t xml:space="preserve">simulated_price = float(np.clip(simulated_price, base_price * 0.75, 180.0))</w:t>
      </w:r>
    </w:p>
    <w:p>
      <w:pPr>
        <w:pStyle w:val="BodyText"/>
      </w:pPr>
      <w:r>
        <w:t xml:space="preserve">rows.append(</w:t>
      </w:r>
      <w:r>
        <w:t xml:space="preserve"> </w:t>
      </w:r>
      <w:r>
        <w:t xml:space="preserve">"day_index": day_index,</w:t>
      </w:r>
      <w:r>
        <w:t xml:space="preserve"> </w:t>
      </w:r>
      <w:r>
        <w:t xml:space="preserve">"simulated_price": simulated_price,</w:t>
      </w:r>
      <w:r>
        <w:t xml:space="preserve"> </w:t>
      </w:r>
      <w:r>
        <w:t xml:space="preserve">"supply_gap": residual_gap,</w:t>
      </w:r>
      <w:r>
        <w:t xml:space="preserve"> </w:t>
      </w:r>
      <w:r>
        <w:t xml:space="preserve">"inventory_buffer": inventory_buffer,</w:t>
      </w:r>
      <w:r>
        <w:t xml:space="preserve"> </w:t>
      </w:r>
      <w:r>
        <w:t xml:space="preserve">"inventory_release_pressure": inventory_release_pressure,</w:t>
      </w:r>
      <w:r>
        <w:t xml:space="preserve"> </w:t>
      </w:r>
      <w:r>
        <w:t xml:space="preserve">"perceived_buffer_coverage_ratio": perceived_coverage,</w:t>
      </w:r>
      <w:r>
        <w:t xml:space="preserve"> </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00"/>
    <w:bookmarkStart w:id="101" w:name="d-参数校准模块"/>
    <w:p>
      <w:pPr>
        <w:pStyle w:val="Heading2"/>
      </w:pPr>
      <w:r>
        <w:t xml:space="preserve">D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01"/>
    <w:bookmarkStart w:id="102" w:name="e-中长期油价调节模型递推与政策缓冲"/>
    <w:p>
      <w:pPr>
        <w:pStyle w:val="Heading2"/>
      </w:pPr>
      <w:r>
        <w:t xml:space="preserve">E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02"/>
    <w:bookmarkStart w:id="103" w:name="f-长期状态转移递推"/>
    <w:p>
      <w:pPr>
        <w:pStyle w:val="Heading2"/>
      </w:pPr>
      <w:r>
        <w:t xml:space="preserve">F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03"/>
    <w:bookmarkStart w:id="104" w:name="g-蒙特卡洛情景预测"/>
    <w:p>
      <w:pPr>
        <w:pStyle w:val="Heading2"/>
      </w:pPr>
      <w:r>
        <w:t xml:space="preserve">G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04"/>
    <w:bookmarkStart w:id="105" w:name="h-机制消融与统计检验"/>
    <w:p>
      <w:pPr>
        <w:pStyle w:val="Heading2"/>
      </w:pPr>
      <w:r>
        <w:t xml:space="preserve">H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05"/>
    <w:bookmarkStart w:id="106" w:name="i-独立计量检验补充"/>
    <w:p>
      <w:pPr>
        <w:pStyle w:val="Heading2"/>
      </w:pPr>
      <w:r>
        <w:t xml:space="preserve">I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06"/>
    <w:bookmarkStart w:id="125" w:name="j-短期冲击模型补充检验"/>
    <w:p>
      <w:pPr>
        <w:pStyle w:val="Heading2"/>
      </w:pPr>
      <w:r>
        <w:t xml:space="preserve">J </w:t>
      </w:r>
      <w:r>
        <w:rPr>
          <w:rFonts w:hint="eastAsia"/>
        </w:rPr>
        <w:t xml:space="preserve">短期冲击模型补充检验</w:t>
      </w:r>
    </w:p>
    <w:p>
      <w:pPr>
        <w:pStyle w:val="FirstParagraph"/>
      </w:pPr>
      <w:r>
        <w:rPr>
          <w:rFonts w:hint="eastAsia"/>
        </w:rPr>
        <w:t xml:space="preserve">正文</w:t>
      </w:r>
      <w:r>
        <w:rPr>
          <w:rFonts w:hint="eastAsia"/>
        </w:rPr>
        <w:t xml:space="preserve">“模型建立与求解”</w:t>
      </w:r>
      <w:r>
        <w:rPr>
          <w:rFonts w:hint="eastAsia"/>
        </w:rPr>
        <w:t xml:space="preserve">章只保留校准、基准对比和鲁棒性摘要。附录补充给出短期模型的机制贡献、参数剖面、事件窗口、滞后平移、残差分布和局部扰动稳健性图。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108" name="Picture"/>
            <a:graphic>
              <a:graphicData uri="http://schemas.openxmlformats.org/drawingml/2006/picture">
                <pic:pic>
                  <pic:nvPicPr>
                    <pic:cNvPr descr="短期模型机制贡献.png" id="109" name="Picture"/>
                    <pic:cNvPicPr>
                      <a:picLocks noChangeArrowheads="1" noChangeAspect="1"/>
                    </pic:cNvPicPr>
                  </pic:nvPicPr>
                  <pic:blipFill>
                    <a:blip r:embed="rId107"/>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111" name="Picture"/>
            <a:graphic>
              <a:graphicData uri="http://schemas.openxmlformats.org/drawingml/2006/picture">
                <pic:pic>
                  <pic:nvPicPr>
                    <pic:cNvPr descr="短期模型参数剖面图.png" id="112" name="Picture"/>
                    <pic:cNvPicPr>
                      <a:picLocks noChangeArrowheads="1" noChangeAspect="1"/>
                    </pic:cNvPicPr>
                  </pic:nvPicPr>
                  <pic:blipFill>
                    <a:blip r:embed="rId110"/>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14" name="Picture"/>
            <a:graphic>
              <a:graphicData uri="http://schemas.openxmlformats.org/drawingml/2006/picture">
                <pic:pic>
                  <pic:nvPicPr>
                    <pic:cNvPr descr="短期模型事件窗口检验.png" id="115" name="Picture"/>
                    <pic:cNvPicPr>
                      <a:picLocks noChangeArrowheads="1" noChangeAspect="1"/>
                    </pic:cNvPicPr>
                  </pic:nvPicPr>
                  <pic:blipFill>
                    <a:blip r:embed="rId113"/>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17" name="Picture"/>
            <a:graphic>
              <a:graphicData uri="http://schemas.openxmlformats.org/drawingml/2006/picture">
                <pic:pic>
                  <pic:nvPicPr>
                    <pic:cNvPr descr="短期模型滞后平移检验.png" id="118" name="Picture"/>
                    <pic:cNvPicPr>
                      <a:picLocks noChangeArrowheads="1" noChangeAspect="1"/>
                    </pic:cNvPicPr>
                  </pic:nvPicPr>
                  <pic:blipFill>
                    <a:blip r:embed="rId116"/>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20" name="Picture"/>
            <a:graphic>
              <a:graphicData uri="http://schemas.openxmlformats.org/drawingml/2006/picture">
                <pic:pic>
                  <pic:nvPicPr>
                    <pic:cNvPr descr="短期残差分段分布图.png" id="121" name="Picture"/>
                    <pic:cNvPicPr>
                      <a:picLocks noChangeArrowheads="1" noChangeAspect="1"/>
                    </pic:cNvPicPr>
                  </pic:nvPicPr>
                  <pic:blipFill>
                    <a:blip r:embed="rId119"/>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23" name="Picture"/>
            <a:graphic>
              <a:graphicData uri="http://schemas.openxmlformats.org/drawingml/2006/picture">
                <pic:pic>
                  <pic:nvPicPr>
                    <pic:cNvPr descr="短期模型稳健性带.png" id="124" name="Picture"/>
                    <pic:cNvPicPr>
                      <a:picLocks noChangeArrowheads="1" noChangeAspect="1"/>
                    </pic:cNvPicPr>
                  </pic:nvPicPr>
                  <pic:blipFill>
                    <a:blip r:embed="rId122"/>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25"/>
    <w:bookmarkStart w:id="150" w:name="k-敏感性与外生风险补充检验"/>
    <w:p>
      <w:pPr>
        <w:pStyle w:val="Heading2"/>
      </w:pPr>
      <w:r>
        <w:t xml:space="preserve">K </w:t>
      </w:r>
      <w:r>
        <w:rPr>
          <w:rFonts w:hint="eastAsia"/>
        </w:rPr>
        <w:t xml:space="preserve">敏感性与外生风险补充检验</w:t>
      </w:r>
    </w:p>
    <w:p>
      <w:pPr>
        <w:pStyle w:val="FirstParagraph"/>
      </w:pPr>
      <w:r>
        <w:rPr>
          <w:rFonts w:hint="eastAsia"/>
        </w:rPr>
        <w:t xml:space="preserve">正文</w:t>
      </w:r>
      <w:r>
        <w:rPr>
          <w:rFonts w:hint="eastAsia"/>
        </w:rPr>
        <w:t xml:space="preserve">“模型建立与求解”</w:t>
      </w:r>
      <w:r>
        <w:rPr>
          <w:rFonts w:hint="eastAsia"/>
        </w:rPr>
        <w:t xml:space="preserve">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27" name="Picture"/>
            <a:graphic>
              <a:graphicData uri="http://schemas.openxmlformats.org/drawingml/2006/picture">
                <pic:pic>
                  <pic:nvPicPr>
                    <pic:cNvPr descr="历史波动参数校准.png" id="128" name="Picture"/>
                    <pic:cNvPicPr>
                      <a:picLocks noChangeArrowheads="1" noChangeAspect="1"/>
                    </pic:cNvPicPr>
                  </pic:nvPicPr>
                  <pic:blipFill>
                    <a:blip r:embed="rId126"/>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5227320" cy="2835156"/>
            <wp:effectExtent b="0" l="0" r="0" t="0"/>
            <wp:docPr descr="image" title="" id="130" name="Picture"/>
            <a:graphic>
              <a:graphicData uri="http://schemas.openxmlformats.org/drawingml/2006/picture">
                <pic:pic>
                  <pic:nvPicPr>
                    <pic:cNvPr descr="传统蒙特卡洛路径云图.png" id="131" name="Picture"/>
                    <pic:cNvPicPr>
                      <a:picLocks noChangeArrowheads="1" noChangeAspect="1"/>
                    </pic:cNvPicPr>
                  </pic:nvPicPr>
                  <pic:blipFill>
                    <a:blip r:embed="rId129"/>
                    <a:stretch>
                      <a:fillRect/>
                    </a:stretch>
                  </pic:blipFill>
                  <pic:spPr bwMode="auto">
                    <a:xfrm>
                      <a:off x="0" y="0"/>
                      <a:ext cx="5227320" cy="2835156"/>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33" name="Picture"/>
            <a:graphic>
              <a:graphicData uri="http://schemas.openxmlformats.org/drawingml/2006/picture">
                <pic:pic>
                  <pic:nvPicPr>
                    <pic:cNvPr descr="地缘风险指数滞后审计.png" id="134" name="Picture"/>
                    <pic:cNvPicPr>
                      <a:picLocks noChangeArrowheads="1" noChangeAspect="1"/>
                    </pic:cNvPicPr>
                  </pic:nvPicPr>
                  <pic:blipFill>
                    <a:blip r:embed="rId132"/>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36" name="Picture"/>
            <a:graphic>
              <a:graphicData uri="http://schemas.openxmlformats.org/drawingml/2006/picture">
                <pic:pic>
                  <pic:nvPicPr>
                    <pic:cNvPr descr="滞后GPR与布伦特收益关系.png" id="137" name="Picture"/>
                    <pic:cNvPicPr>
                      <a:picLocks noChangeArrowheads="1" noChangeAspect="1"/>
                    </pic:cNvPicPr>
                  </pic:nvPicPr>
                  <pic:blipFill>
                    <a:blip r:embed="rId135"/>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39" name="Picture"/>
            <a:graphic>
              <a:graphicData uri="http://schemas.openxmlformats.org/drawingml/2006/picture">
                <pic:pic>
                  <pic:nvPicPr>
                    <pic:cNvPr descr="OVX隐含波动率滞后检验.png" id="140" name="Picture"/>
                    <pic:cNvPicPr>
                      <a:picLocks noChangeArrowheads="1" noChangeAspect="1"/>
                    </pic:cNvPicPr>
                  </pic:nvPicPr>
                  <pic:blipFill>
                    <a:blip r:embed="rId138"/>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42" name="Picture"/>
            <a:graphic>
              <a:graphicData uri="http://schemas.openxmlformats.org/drawingml/2006/picture">
                <pic:pic>
                  <pic:nvPicPr>
                    <pic:cNvPr descr="历史窗口极端性检验.png" id="143" name="Picture"/>
                    <pic:cNvPicPr>
                      <a:picLocks noChangeArrowheads="1" noChangeAspect="1"/>
                    </pic:cNvPicPr>
                  </pic:nvPicPr>
                  <pic:blipFill>
                    <a:blip r:embed="rId141"/>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45" name="Picture"/>
            <a:graphic>
              <a:graphicData uri="http://schemas.openxmlformats.org/drawingml/2006/picture">
                <pic:pic>
                  <pic:nvPicPr>
                    <pic:cNvPr descr="R历史基准误差分布图.png" id="146" name="Picture"/>
                    <pic:cNvPicPr>
                      <a:picLocks noChangeArrowheads="1" noChangeAspect="1"/>
                    </pic:cNvPicPr>
                  </pic:nvPicPr>
                  <pic:blipFill>
                    <a:blip r:embed="rId144"/>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48" name="Picture"/>
            <a:graphic>
              <a:graphicData uri="http://schemas.openxmlformats.org/drawingml/2006/picture">
                <pic:pic>
                  <pic:nvPicPr>
                    <pic:cNvPr descr="库存与供需缺口风险.png" id="149" name="Picture"/>
                    <pic:cNvPicPr>
                      <a:picLocks noChangeArrowheads="1" noChangeAspect="1"/>
                    </pic:cNvPicPr>
                  </pic:nvPicPr>
                  <pic:blipFill>
                    <a:blip r:embed="rId147"/>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50"/>
    <w:bookmarkStart w:id="151"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3.47 </w:t>
            </w:r>
            <w:r>
              <w:rPr>
                <w:rFonts w:hint="eastAsia"/>
              </w:rPr>
              <w:t xml:space="preserve">美元/桶，MAE</w:t>
            </w:r>
            <w:r>
              <w:t xml:space="preserve"> = 2.87 </w:t>
            </w:r>
            <w:r>
              <w:rPr>
                <w:rFonts w:hint="eastAsia"/>
              </w:rPr>
              <w:t xml:space="preserve">美元/桶，MAPE</w:t>
            </w:r>
            <w:r>
              <w:t xml:space="preserve"> = 2.88%</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110.55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97.82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121.64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85.4%</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封锁风险衰减速度、SPR</w:t>
            </w:r>
            <w:r>
              <w:t xml:space="preserve"> </w:t>
            </w:r>
            <w:r>
              <w:rPr>
                <w:rFonts w:hint="eastAsia"/>
              </w:rPr>
              <w:t xml:space="preserve">释放上限、供应中断量、绕道运输能力</w:t>
            </w:r>
          </w:p>
        </w:tc>
      </w:tr>
    </w:tbl>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32" Target="media/rId32.png" /><Relationship Type="http://schemas.openxmlformats.org/officeDocument/2006/relationships/image" Id="rId129" Target="media/rId129.png" /><Relationship Type="http://schemas.openxmlformats.org/officeDocument/2006/relationships/image" Id="rId18" Target="media/rId18.png" /><Relationship Type="http://schemas.openxmlformats.org/officeDocument/2006/relationships/image" Id="rId126" Target="media/rId126.png" /><Relationship Type="http://schemas.openxmlformats.org/officeDocument/2006/relationships/image" Id="rId141" Target="media/rId141.png" /><Relationship Type="http://schemas.openxmlformats.org/officeDocument/2006/relationships/image" Id="rId67" Target="media/rId67.png" /><Relationship Type="http://schemas.openxmlformats.org/officeDocument/2006/relationships/image" Id="rId132" Target="media/rId132.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47" Target="media/rId147.png" /><Relationship Type="http://schemas.openxmlformats.org/officeDocument/2006/relationships/image" Id="rId135" Target="media/rId135.png" /><Relationship Type="http://schemas.openxmlformats.org/officeDocument/2006/relationships/image" Id="rId55" Target="media/rId55.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41" Target="media/rId4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5" Target="https://fred.stlouisfed.org/series/OVXCLS" TargetMode="External" /><Relationship Type="http://schemas.openxmlformats.org/officeDocument/2006/relationships/hyperlink" Id="rId93" Target="https://publications.opec.org/momr/chapter/147/2738" TargetMode="External" /><Relationship Type="http://schemas.openxmlformats.org/officeDocument/2006/relationships/hyperlink" Id="rId91" Target="https://www.eia.gov/dnav/pet/pet_sum_sndw_dcus_nus_w.htm" TargetMode="External" /><Relationship Type="http://schemas.openxmlformats.org/officeDocument/2006/relationships/hyperlink" Id="rId88" Target="https://www.eia.gov/international/analysis/special-topics/World_Oil_Transit_Chokepoints" TargetMode="External" /><Relationship Type="http://schemas.openxmlformats.org/officeDocument/2006/relationships/hyperlink" Id="rId96" Target="https://www.ice.com/report/83" TargetMode="External" /><Relationship Type="http://schemas.openxmlformats.org/officeDocument/2006/relationships/hyperlink" Id="rId89" Target="https://www.iea.org/about/oil-security-and-emergency-response/strait-of-hormuz" TargetMode="External" /><Relationship Type="http://schemas.openxmlformats.org/officeDocument/2006/relationships/hyperlink" Id="rId90" Target="https://www.iea.org/news/iea-governing-board-concludes-2022-collective-actions" TargetMode="External" /><Relationship Type="http://schemas.openxmlformats.org/officeDocument/2006/relationships/hyperlink" Id="rId92" Target="https://www.jodidata.org/oil/" TargetMode="External" /><Relationship Type="http://schemas.openxmlformats.org/officeDocument/2006/relationships/hyperlink" Id="rId94"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5" Target="https://fred.stlouisfed.org/series/OVXCLS" TargetMode="External" /><Relationship Type="http://schemas.openxmlformats.org/officeDocument/2006/relationships/hyperlink" Id="rId93" Target="https://publications.opec.org/momr/chapter/147/2738" TargetMode="External" /><Relationship Type="http://schemas.openxmlformats.org/officeDocument/2006/relationships/hyperlink" Id="rId91" Target="https://www.eia.gov/dnav/pet/pet_sum_sndw_dcus_nus_w.htm" TargetMode="External" /><Relationship Type="http://schemas.openxmlformats.org/officeDocument/2006/relationships/hyperlink" Id="rId88" Target="https://www.eia.gov/international/analysis/special-topics/World_Oil_Transit_Chokepoints" TargetMode="External" /><Relationship Type="http://schemas.openxmlformats.org/officeDocument/2006/relationships/hyperlink" Id="rId96" Target="https://www.ice.com/report/83" TargetMode="External" /><Relationship Type="http://schemas.openxmlformats.org/officeDocument/2006/relationships/hyperlink" Id="rId89" Target="https://www.iea.org/about/oil-security-and-emergency-response/strait-of-hormuz" TargetMode="External" /><Relationship Type="http://schemas.openxmlformats.org/officeDocument/2006/relationships/hyperlink" Id="rId90" Target="https://www.iea.org/news/iea-governing-board-concludes-2022-collective-actions" TargetMode="External" /><Relationship Type="http://schemas.openxmlformats.org/officeDocument/2006/relationships/hyperlink" Id="rId92" Target="https://www.jodidata.org/oil/" TargetMode="External" /><Relationship Type="http://schemas.openxmlformats.org/officeDocument/2006/relationships/hyperlink" Id="rId94"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2026-05-17T03:45:49Z</dcterms:created>
  <dcterms:modified xsi:type="dcterms:W3CDTF">2026-05-17T03:45:49Z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