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64.png" ContentType="image/png"/>
  <Override PartName="/word/media/rId88.png" ContentType="image/png"/>
  <Override PartName="/word/media/rId146.png" ContentType="image/png"/>
  <Override PartName="/word/media/rId36.png" ContentType="image/png"/>
  <Override PartName="/word/media/rId138.png" ContentType="image/png"/>
  <Override PartName="/word/media/rId22.png" ContentType="image/png"/>
  <Override PartName="/word/media/rId135.png" ContentType="image/png"/>
  <Override PartName="/word/media/rId161.png" ContentType="image/png"/>
  <Override PartName="/word/media/rId130.png" ContentType="image/png"/>
  <Override PartName="/word/media/rId150.png" ContentType="image/png"/>
  <Override PartName="/word/media/rId19.png" ContentType="image/png"/>
  <Override PartName="/word/media/rId26.png" ContentType="image/png"/>
  <Override PartName="/word/media/rId124.png" ContentType="image/png"/>
  <Override PartName="/word/media/rId153.png" ContentType="image/png"/>
  <Override PartName="/word/media/rId117.png" ContentType="image/png"/>
  <Override PartName="/word/media/rId77.png" ContentType="image/png"/>
  <Override PartName="/word/media/rId74.png" ContentType="image/png"/>
  <Override PartName="/word/media/rId59.png" ContentType="image/png"/>
  <Override PartName="/word/media/rId93.png" ContentType="image/png"/>
  <Override PartName="/word/media/rId48.png" ContentType="image/png"/>
  <Override PartName="/word/media/rId81.png" ContentType="image/png"/>
  <Override PartName="/word/media/rId100.png" ContentType="image/png"/>
  <Override PartName="/word/media/rId52.png" ContentType="image/png"/>
  <Override PartName="/word/media/rId70.png" ContentType="image/png"/>
  <Override PartName="/word/media/rId62.png" ContentType="image/png"/>
  <Override PartName="/word/media/rId97.png" ContentType="image/png"/>
  <Override PartName="/word/media/rId85.png" ContentType="image/png"/>
  <Override PartName="/word/media/rId66.png" ContentType="image/png"/>
  <Override PartName="/word/media/rId41.png" ContentType="image/png"/>
  <Override PartName="/word/media/rId142.png" ContentType="image/png"/>
  <Override PartName="/word/media/rId113.png" ContentType="image/png"/>
  <Override PartName="/word/media/rId10.png" ContentType="image/png"/>
  <Override PartName="/word/media/rId56.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基准。进一步加入只使用历史滞后价格特征的</w:t>
      </w:r>
      <w:r>
        <w:t xml:space="preserve"> Ridge </w:t>
      </w:r>
      <w:r>
        <w:rPr>
          <w:rFonts w:hint="eastAsia"/>
        </w:rPr>
        <w:t xml:space="preserve">收益率辅助层后，RMSE</w:t>
      </w:r>
      <w:r>
        <w:t xml:space="preserve"> </w:t>
      </w:r>
      <w:r>
        <w:rPr>
          <w:rFonts w:hint="eastAsia"/>
        </w:rPr>
        <w:t xml:space="preserve">降至</w:t>
      </w:r>
      <w:r>
        <w:t xml:space="preserve"> 3.35 </w:t>
      </w:r>
      <w:r>
        <w:rPr>
          <w:rFonts w:hint="eastAsia"/>
        </w:rPr>
        <w:t xml:space="preserve">美元/桶、方向命中率升至</w:t>
      </w:r>
      <w:r>
        <w:t xml:space="preserve"> </w:t>
      </w:r>
      <w:r>
        <w:rPr>
          <w:rFonts w:hint="eastAsia"/>
        </w:rPr>
        <w:t xml:space="preserve">68.9%，但纯历史机器学习模型不能替代机制模型，因此该层仅作为计算机辅助增强。滞后平移、拐点、机制消融和结构稳定性检验表明，模型不是简单滞后复制，110–120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市场隐含波动率从证据校验层推进到长期参数约束层。新版长期自适应反馈模型显示，中性情景第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且仍保留二次跳涨风险。敏感性分析表明，封锁风险衰减速度、地缘风险权重、不确定性与制度风险强度是综合敏感度最高的三个因素；这说明长期结果最依赖市场吸收封锁制度风险的速度，而非某个单一政策释放量。2000</w:t>
      </w:r>
      <w:r>
        <w:t xml:space="preserve"> </w:t>
      </w:r>
      <w:r>
        <w:rPr>
          <w:rFonts w:hint="eastAsia"/>
        </w:rPr>
        <w:t xml:space="preserve">次蒙特卡洛情景树显示，第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16.3%。为避免长期中性线被误读为逐日精确预测，本文又引入受</w:t>
      </w:r>
      <w:r>
        <w:t xml:space="preserve"> GPR </w:t>
      </w:r>
      <w:r>
        <w:rPr>
          <w:rFonts w:hint="eastAsia"/>
        </w:rPr>
        <w:t xml:space="preserve">与</w:t>
      </w:r>
      <w:r>
        <w:t xml:space="preserve"> OVX </w:t>
      </w:r>
      <w:r>
        <w:rPr>
          <w:rFonts w:hint="eastAsia"/>
        </w:rPr>
        <w:t xml:space="preserve">风险读数约束的缓和、维持、升级三状态转移扰动，得到第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38.3%。GPR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年历史同长度窗口检验进一步说明：2026</w:t>
      </w:r>
      <w:r>
        <w:t xml:space="preserve"> </w:t>
      </w:r>
      <w:r>
        <w:rPr>
          <w:rFonts w:hint="eastAsia"/>
        </w:rPr>
        <w:t xml:space="preserve">冲突窗口具有罕见地缘风险和高波动特征，但外部风险指标只作为校验与长期约束证据，不作为短期同月拟合因子。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完成附件数据清洗、传统供需基准、短期动态递推、参数校准和鲁棒性检验，给出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8"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天三情景预测模型，并通过敏感性分析、蒙特卡洛情景树、滞后地缘风险指数检验和历史样本稳健性检验识别影响长期价格平衡点和二次跳涨风险的关键变量。</w:t>
      </w:r>
    </w:p>
    <w:bookmarkStart w:id="13" w:name="fig:paper-roadma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bookmarkEnd w:id="13"/>
    <w:p>
      <w:pPr>
        <w:pStyle w:val="BodyText"/>
      </w:pPr>
      <w:r>
        <w:rPr>
          <w:rFonts w:hint="eastAsia"/>
        </w:rPr>
        <w:t xml:space="preserve">这一技术路线的核心原则是：真实价格只来自附件数据；长期部分只作情景预测，不伪装成拟合；模型检验需覆盖朴素基准、滞后复制、参数过拟合和结构稳定性等关键边界。</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4"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4"/>
    <w:bookmarkStart w:id="16" w:name="本文贡献与识别边界"/>
    <w:p>
      <w:pPr>
        <w:pStyle w:val="Heading2"/>
      </w:pPr>
      <w:r>
        <w:rPr>
          <w:rFonts w:hint="eastAsia"/>
        </w:rPr>
        <w:t xml:space="preserve">本文贡献与识别边界</w:t>
      </w:r>
    </w:p>
    <w:p>
      <w:pPr>
        <w:pStyle w:val="FirstParagraph"/>
      </w:pPr>
      <w:r>
        <w:rPr>
          <w:rFonts w:hint="eastAsia"/>
        </w:rPr>
        <w:t xml:space="preserve">从评审视角看，本文的关键目标不是把附件价格曲线</w:t>
      </w:r>
      <w:r>
        <w:rPr>
          <w:rFonts w:hint="eastAsia"/>
        </w:rPr>
        <w:t xml:space="preserve">“画得像”</w:t>
      </w:r>
      <w:r>
        <w:rPr>
          <w:rFonts w:hint="eastAsia"/>
        </w:rPr>
        <w:t xml:space="preserve">，而是回答三个可检验问题：第一，在题面给定低弹性和封锁冲击下，传统供需模型为什么会明显高估价格；第二，哪些缓冲机制能够把理论高位压回附件中的现实价格平台；第三，当封锁延长至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天时，哪些因素决定价格中枢和尾部跳涨风险。本文的贡献与边界见表</w:t>
      </w:r>
      <w:r>
        <w:t xml:space="preserve"> </w:t>
      </w:r>
      <w:hyperlink w:anchor="tab:contribution-boundary">
        <w:r>
          <w:rPr>
            <w:rStyle w:val="Hyperlink"/>
          </w:rPr>
          <w:t xml:space="preserve">2</w:t>
        </w:r>
      </w:hyperlink>
      <w:r>
        <w:t xml:space="preserve">。</w:t>
      </w:r>
    </w:p>
    <w:bookmarkStart w:id="15" w:name="tab:contribution-boundary"/>
    <w:p>
      <w:pPr>
        <w:pStyle w:val="TableCaption"/>
      </w:pPr>
      <w:r>
        <w:rPr>
          <w:rFonts w:hint="eastAsia"/>
        </w:rPr>
        <w:t xml:space="preserve">本文贡献与识别边界</w:t>
      </w:r>
    </w:p>
    <w:tbl>
      <w:tblPr>
        <w:tblStyle w:val="Table"/>
        <w:tblW w:type="auto" w:w="0"/>
        <w:tblLook w:firstRow="1" w:lastRow="0" w:firstColumn="0" w:lastColumn="0" w:noHBand="0" w:noVBand="0" w:val="0020"/>
        <w:tblCaption w:val="本文贡献与识别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短期机制递推</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短期结果只在</w:t>
            </w:r>
            <w:r>
              <w:t xml:space="preserve"> 2026 </w:t>
            </w:r>
            <w:r>
              <w:rPr>
                <w:rFonts w:hint="eastAsia"/>
              </w:rPr>
              <w:t xml:space="preserve">冲突窗口内校准，不包装为跨年份通用交易模型。</w:t>
            </w:r>
          </w:p>
        </w:tc>
      </w:tr>
      <w:tr>
        <w:tc>
          <w:tcPr/>
          <w:p>
            <w:pPr>
              <w:pStyle w:val="Compact"/>
              <w:jc w:val="left"/>
            </w:pPr>
            <w:r>
              <w:rPr>
                <w:rFonts w:hint="eastAsia"/>
              </w:rPr>
              <w:t xml:space="preserve">模型鲁棒性检验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检验、滞后平移、机制消融和参数扰动测试。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长期情景推演</w:t>
            </w:r>
          </w:p>
        </w:tc>
        <w:tc>
          <w:tcPr/>
          <w:p>
            <w:pPr>
              <w:pStyle w:val="Compact"/>
              <w:jc w:val="left"/>
            </w:pPr>
            <w:r>
              <w:rPr>
                <w:rFonts w:hint="eastAsia"/>
              </w:rPr>
              <w:t xml:space="preserve">把主模型延伸到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长期结果是条件情景预测，不把中性曲线写成未来每日油价的精确点预测。</w:t>
            </w:r>
          </w:p>
        </w:tc>
      </w:tr>
      <w:tr>
        <w:tc>
          <w:tcPr/>
          <w:p>
            <w:pPr>
              <w:pStyle w:val="Compact"/>
              <w:jc w:val="left"/>
            </w:pPr>
            <w:r>
              <w:rPr>
                <w:rFonts w:hint="eastAsia"/>
              </w:rPr>
              <w:t xml:space="preserve">外部合理性校验</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指数、OVX</w:t>
            </w:r>
            <w:r>
              <w:t xml:space="preserve"> </w:t>
            </w:r>
            <w:r>
              <w:rPr>
                <w:rFonts w:hint="eastAsia"/>
              </w:rPr>
              <w:t xml:space="preserve">隐含波动率和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外部数据用于数量级校验和约束，不把多国上报值包装成完整全球总量，也不反向替代附件真实价格。</w:t>
            </w:r>
          </w:p>
        </w:tc>
      </w:tr>
    </w:tbl>
    <w:bookmarkEnd w:id="15"/>
    <w:bookmarkEnd w:id="16"/>
    <w:bookmarkStart w:id="17" w:name="文献依据与建模约束"/>
    <w:p>
      <w:pPr>
        <w:pStyle w:val="Heading2"/>
      </w:pPr>
      <w:r>
        <w:rPr>
          <w:rFonts w:hint="eastAsia"/>
        </w:rPr>
        <w:t xml:space="preserve">文献依据与建模约束</w:t>
      </w:r>
    </w:p>
    <w:p>
      <w:pPr>
        <w:pStyle w:val="FirstParagraph"/>
      </w:pPr>
      <w:r>
        <w:rPr>
          <w:rFonts w:hint="eastAsia"/>
        </w:rPr>
        <w:t xml:space="preserve">为避免模型显得像</w:t>
      </w:r>
      <w:r>
        <w:rPr>
          <w:rFonts w:hint="eastAsia"/>
        </w:rPr>
        <w:t xml:space="preserve">“为了拟合而临时拼接”</w:t>
      </w: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来自新闻文本，本文不将同步</w:t>
      </w:r>
      <w:r>
        <w:t xml:space="preserve"> GPR </w:t>
      </w:r>
      <w:r>
        <w:rPr>
          <w:rFonts w:hint="eastAsia"/>
        </w:rPr>
        <w:t xml:space="preserve">输入短期拟合，而只将其作为外部风险校验和滞后检验变量，防止同月新闻与同月油价之间的内生性循环。进一步地，本文接入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隐含波动率，将更接近市场交易定价的风险变量用于长期风险权重和不确定性强度约束，而不把它包装成短期方向预测因子。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传统基准与综合机制递推模型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长期结果应报告情景、区间和尾部概率，不夸大单点预测</w:t>
            </w:r>
          </w:p>
        </w:tc>
        <w:tc>
          <w:tcPr/>
          <w:p>
            <w:pPr>
              <w:pStyle w:val="Compact"/>
              <w:jc w:val="left"/>
            </w:pPr>
            <w:r>
              <w:rPr>
                <w:rFonts w:hint="eastAsia"/>
              </w:rPr>
              <w:t xml:space="preserve">三情景、蒙特卡洛和状态转移情景树</w:t>
            </w:r>
          </w:p>
        </w:tc>
      </w:tr>
    </w:tbl>
    <w:bookmarkEnd w:id="17"/>
    <w:bookmarkEnd w:id="18"/>
    <w:bookmarkStart w:id="30" w:name="数据处理与描述性分析"/>
    <w:p>
      <w:pPr>
        <w:pStyle w:val="Heading1"/>
      </w:pPr>
      <w:r>
        <w:rPr>
          <w:rFonts w:hint="eastAsia"/>
        </w:rPr>
        <w:t xml:space="preserve">数据处理与描述性分析</w:t>
      </w:r>
    </w:p>
    <w:bookmarkStart w:id="25"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校验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该外部数据带来三个约束。第一，美国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数据由国际能源论坛协调，汇集多国官方上报的月度石油数据。本文下载</w:t>
      </w:r>
      <w:r>
        <w:t xml:space="preserve"> 2025 </w:t>
      </w:r>
      <w:r>
        <w:rPr>
          <w:rFonts w:hint="eastAsia"/>
        </w:rPr>
        <w:t xml:space="preserve">年完整年度</w:t>
      </w:r>
      <w:r>
        <w:t xml:space="preserve"> CSV </w:t>
      </w:r>
      <w:r>
        <w:rPr>
          <w:rFonts w:hint="eastAsia"/>
        </w:rPr>
        <w:t xml:space="preserve">和</w:t>
      </w:r>
      <w:r>
        <w:t xml:space="preserve"> 2026 </w:t>
      </w:r>
      <w:r>
        <w:rPr>
          <w:rFonts w:hint="eastAsia"/>
        </w:rPr>
        <w:t xml:space="preserve">年当前年度</w:t>
      </w:r>
      <w:r>
        <w:t xml:space="preserve"> </w:t>
      </w:r>
      <w:r>
        <w:rPr>
          <w:rFonts w:hint="eastAsia"/>
        </w:rPr>
        <w:t xml:space="preserve">CSV，抽取一次石油和二次石油中的产量、库存、进出口、油品需求与炼厂产出。由于</w:t>
      </w:r>
      <w:r>
        <w:t xml:space="preserve"> JODI </w:t>
      </w:r>
      <w:r>
        <w:rPr>
          <w:rFonts w:hint="eastAsia"/>
        </w:rPr>
        <w:t xml:space="preserve">存在国家覆盖差异和发布滞后，本文不把它写成完整全球总量，而称为</w:t>
      </w:r>
      <w:r>
        <w:rPr>
          <w:rFonts w:hint="eastAsia"/>
        </w:rPr>
        <w:t xml:space="preserve">“多国上报口径”</w:t>
      </w:r>
      <w:r>
        <w:rPr>
          <w:rFonts w:hint="eastAsia"/>
        </w:rPr>
        <w:t xml:space="preserve">；所有变化量均采用</w:t>
      </w:r>
      <w:r>
        <w:t xml:space="preserve"> 2026 </w:t>
      </w:r>
      <w:r>
        <w:rPr>
          <w:rFonts w:hint="eastAsia"/>
        </w:rPr>
        <w:t xml:space="preserve">年</w:t>
      </w:r>
      <w:r>
        <w:t xml:space="preserve"> 2 </w:t>
      </w:r>
      <w:r>
        <w:rPr>
          <w:rFonts w:hint="eastAsia"/>
        </w:rPr>
        <w:t xml:space="preserve">月已上报国家/地区作为同口径样本，再回看这些国家/地区在</w:t>
      </w:r>
      <w:r>
        <w:t xml:space="preserve"> 2025 </w:t>
      </w:r>
      <w:r>
        <w:rPr>
          <w:rFonts w:hint="eastAsia"/>
        </w:rPr>
        <w:t xml:space="preserve">年</w:t>
      </w:r>
      <w:r>
        <w:t xml:space="preserve"> 2 </w:t>
      </w:r>
      <w:r>
        <w:rPr>
          <w:rFonts w:hint="eastAsia"/>
        </w:rPr>
        <w:t xml:space="preserve">月和</w:t>
      </w:r>
      <w:r>
        <w:t xml:space="preserve"> 2025 </w:t>
      </w:r>
      <w:r>
        <w:rPr>
          <w:rFonts w:hint="eastAsia"/>
        </w:rPr>
        <w:t xml:space="preserve">年</w:t>
      </w:r>
      <w:r>
        <w:t xml:space="preserve"> 12 </w:t>
      </w:r>
      <w:r>
        <w:rPr>
          <w:rFonts w:hint="eastAsia"/>
        </w:rPr>
        <w:t xml:space="preserve">月的数值。</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长期模型提供了更强的外部边界：第一，非海湾供给恢复和需求调整应理解为多国系统的缓慢响应，而不是某个国家单独变量；第二，库存缓冲应同时区分原油库存和成品油库存，不能只用美国商业库存代表全球库存；第三，2026</w:t>
      </w:r>
      <w:r>
        <w:t xml:space="preserve"> </w:t>
      </w:r>
      <w:r>
        <w:rPr>
          <w:rFonts w:hint="eastAsia"/>
        </w:rPr>
        <w:t xml:space="preserve">年</w:t>
      </w:r>
      <w:r>
        <w:t xml:space="preserve"> 2 </w:t>
      </w:r>
      <w:r>
        <w:rPr>
          <w:rFonts w:hint="eastAsia"/>
        </w:rPr>
        <w:t xml:space="preserve">月可得数据只到冲突发生前，因此它适合作为长期外推的先验约束，不适合作为</w:t>
      </w:r>
      <w:r>
        <w:t xml:space="preserve"> 3–5 </w:t>
      </w:r>
      <w:r>
        <w:rPr>
          <w:rFonts w:hint="eastAsia"/>
        </w:rPr>
        <w:t xml:space="preserve">月短期拟合的同步解释变量。</w:t>
      </w:r>
    </w:p>
    <w:p>
      <w:pPr>
        <w:pStyle w:val="BodyText"/>
      </w:pPr>
      <w:r>
        <w:rPr>
          <w:rFonts w:hint="eastAsia"/>
        </w:rPr>
        <w:t xml:space="preserve">在此基础上，本文进一步整理</w:t>
      </w:r>
      <w:r>
        <w:t xml:space="preserve"> OPEC Monthly Oil Market Report </w:t>
      </w:r>
      <w:r>
        <w:rPr>
          <w:rFonts w:hint="eastAsia"/>
        </w:rPr>
        <w:t xml:space="preserve">中的全球供需平衡表。与</w:t>
      </w:r>
      <w:r>
        <w:t xml:space="preserve"> EIA、JODI </w:t>
      </w:r>
      <w:r>
        <w:rPr>
          <w:rFonts w:hint="eastAsia"/>
        </w:rPr>
        <w:t xml:space="preserve">不同，OPEC</w:t>
      </w:r>
      <w:r>
        <w:t xml:space="preserve"> </w:t>
      </w:r>
      <w:r>
        <w:rPr>
          <w:rFonts w:hint="eastAsia"/>
        </w:rPr>
        <w:t xml:space="preserve">表给出的是全球正常情景下的年度和季度供需基线，适合约束</w:t>
      </w:r>
      <w:r>
        <w:t xml:space="preserve"> 60–180 </w:t>
      </w:r>
      <w:r>
        <w:rPr>
          <w:rFonts w:hint="eastAsia"/>
        </w:rPr>
        <w:t xml:space="preserve">天长期外推中的需求背景、非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TableCaption"/>
      </w:pPr>
      <w:r>
        <w:t xml:space="preserve">OPEC </w:t>
      </w:r>
      <w:r>
        <w:rPr>
          <w:rFonts w:hint="eastAsia"/>
        </w:rPr>
        <w:t xml:space="preserve">全球供需平衡表关键约束</w:t>
      </w:r>
    </w:p>
    <w:tbl>
      <w:tblPr>
        <w:tblStyle w:val="Table"/>
        <w:tblW w:type="auto" w:w="0"/>
        <w:tblLook w:firstRow="1" w:lastRow="0" w:firstColumn="0" w:lastColumn="0" w:noHBand="0" w:noVBand="0" w:val="0020"/>
        <w:tblCaption w:val="OPEC 全球供需平衡表关键约束"/>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left"/>
            </w:pPr>
            <w:r>
              <w:rPr>
                <w:rFonts w:hint="eastAsia"/>
              </w:rPr>
              <w:t xml:space="preserve">模型含义</w:t>
            </w:r>
          </w:p>
        </w:tc>
      </w:tr>
      <w:tr>
        <w:tc>
          <w:tcPr/>
          <w:p>
            <w:pPr>
              <w:pStyle w:val="Compact"/>
              <w:jc w:val="left"/>
            </w:pPr>
            <w:r>
              <w:t xml:space="preserve">2026 </w:t>
            </w:r>
            <w:r>
              <w:rPr>
                <w:rFonts w:hint="eastAsia"/>
              </w:rPr>
              <w:t xml:space="preserve">年世界石油需求增量</w:t>
            </w:r>
          </w:p>
        </w:tc>
        <w:tc>
          <w:tcPr/>
          <w:p>
            <w:pPr>
              <w:pStyle w:val="Compact"/>
              <w:jc w:val="right"/>
            </w:pPr>
            <w:r>
              <w:t xml:space="preserve">1.40</w:t>
            </w:r>
          </w:p>
        </w:tc>
        <w:tc>
          <w:tcPr/>
          <w:p>
            <w:pPr>
              <w:pStyle w:val="Compact"/>
              <w:jc w:val="right"/>
            </w:pPr>
            <w:r>
              <w:t xml:space="preserve">mb/d</w:t>
            </w:r>
          </w:p>
        </w:tc>
        <w:tc>
          <w:tcPr/>
          <w:p>
            <w:pPr>
              <w:pStyle w:val="Compact"/>
              <w:jc w:val="left"/>
            </w:pPr>
            <w:r>
              <w:rPr>
                <w:rFonts w:hint="eastAsia"/>
              </w:rPr>
              <w:t xml:space="preserve">长期需求背景仍增长，需求收缩不能设得过强</w:t>
            </w:r>
          </w:p>
        </w:tc>
      </w:tr>
      <w:tr>
        <w:tc>
          <w:tcPr/>
          <w:p>
            <w:pPr>
              <w:pStyle w:val="Compact"/>
              <w:jc w:val="left"/>
            </w:pPr>
            <w:r>
              <w:t xml:space="preserve">2026 </w:t>
            </w:r>
            <w:r>
              <w:rPr>
                <w:rFonts w:hint="eastAsia"/>
              </w:rPr>
              <w:t xml:space="preserve">年非</w:t>
            </w:r>
            <w:r>
              <w:t xml:space="preserve"> DoC </w:t>
            </w:r>
            <w:r>
              <w:rPr>
                <w:rFonts w:hint="eastAsia"/>
              </w:rPr>
              <w:t xml:space="preserve">液体供给增量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外部供给有恢复能力，但远小于封锁冲击量级</w:t>
            </w:r>
          </w:p>
        </w:tc>
      </w:tr>
      <w:tr>
        <w:tc>
          <w:tcPr/>
          <w:p>
            <w:pPr>
              <w:pStyle w:val="Compact"/>
              <w:jc w:val="left"/>
            </w:pPr>
            <w:r>
              <w:t xml:space="preserve">2026 </w:t>
            </w:r>
            <w:r>
              <w:rPr>
                <w:rFonts w:hint="eastAsia"/>
              </w:rPr>
              <w:t xml:space="preserve">年</w:t>
            </w:r>
            <w:r>
              <w:t xml:space="preserve"> DoC </w:t>
            </w:r>
            <w:r>
              <w:rPr>
                <w:rFonts w:hint="eastAsia"/>
              </w:rPr>
              <w:t xml:space="preserve">原油需求差额增量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对</w:t>
            </w:r>
            <w:r>
              <w:t xml:space="preserve"> DoC </w:t>
            </w:r>
            <w:r>
              <w:rPr>
                <w:rFonts w:hint="eastAsia"/>
              </w:rPr>
              <w:t xml:space="preserve">原油的压力仍上升，支持保留尾部风险</w:t>
            </w:r>
          </w:p>
        </w:tc>
      </w:tr>
      <w:tr>
        <w:tc>
          <w:tcPr/>
          <w:p>
            <w:pPr>
              <w:pStyle w:val="Compact"/>
              <w:jc w:val="left"/>
            </w:pPr>
            <w:r>
              <w:t xml:space="preserve">2026 </w:t>
            </w:r>
            <w:r>
              <w:rPr>
                <w:rFonts w:hint="eastAsia"/>
              </w:rPr>
              <w:t xml:space="preserve">年</w:t>
            </w:r>
            <w:r>
              <w:t xml:space="preserve"> DoC </w:t>
            </w:r>
            <w:r>
              <w:rPr>
                <w:rFonts w:hint="eastAsia"/>
              </w:rPr>
              <w:t xml:space="preserve">原油需求差额峰值</w:t>
            </w:r>
          </w:p>
        </w:tc>
        <w:tc>
          <w:tcPr/>
          <w:p>
            <w:pPr>
              <w:pStyle w:val="Compact"/>
              <w:jc w:val="right"/>
            </w:pPr>
            <w:r>
              <w:t xml:space="preserve">43.70</w:t>
            </w:r>
          </w:p>
        </w:tc>
        <w:tc>
          <w:tcPr/>
          <w:p>
            <w:pPr>
              <w:pStyle w:val="Compact"/>
              <w:jc w:val="right"/>
            </w:pPr>
            <w:r>
              <w:t xml:space="preserve">mb/d</w:t>
            </w:r>
          </w:p>
        </w:tc>
        <w:tc>
          <w:tcPr/>
          <w:p>
            <w:pPr>
              <w:pStyle w:val="Compact"/>
              <w:jc w:val="left"/>
            </w:pPr>
            <w:r>
              <w:rPr>
                <w:rFonts w:hint="eastAsia"/>
              </w:rPr>
              <w:t xml:space="preserve">下半年需求差额更高，长期模型需保留季节性压力</w:t>
            </w:r>
          </w:p>
        </w:tc>
      </w:tr>
      <w:tr>
        <w:tc>
          <w:tcPr/>
          <w:p>
            <w:pPr>
              <w:pStyle w:val="Compact"/>
              <w:jc w:val="left"/>
            </w:pPr>
            <w:r>
              <w:rPr>
                <w:rFonts w:hint="eastAsia"/>
              </w:rPr>
              <w:t xml:space="preserve">峰值高于年均</w:t>
            </w:r>
          </w:p>
        </w:tc>
        <w:tc>
          <w:tcPr/>
          <w:p>
            <w:pPr>
              <w:pStyle w:val="Compact"/>
              <w:jc w:val="right"/>
            </w:pPr>
            <w:r>
              <w:t xml:space="preserve">0.70</w:t>
            </w:r>
          </w:p>
        </w:tc>
        <w:tc>
          <w:tcPr/>
          <w:p>
            <w:pPr>
              <w:pStyle w:val="Compact"/>
              <w:jc w:val="right"/>
            </w:pPr>
            <w:r>
              <w:t xml:space="preserve">mb/d</w:t>
            </w:r>
          </w:p>
        </w:tc>
        <w:tc>
          <w:tcPr/>
          <w:p>
            <w:pPr>
              <w:pStyle w:val="Compact"/>
              <w:jc w:val="left"/>
            </w:pPr>
            <w:r>
              <w:rPr>
                <w:rFonts w:hint="eastAsia"/>
              </w:rPr>
              <w:t xml:space="preserve">用于温和抬升尾部风险权重</w:t>
            </w:r>
          </w:p>
        </w:tc>
      </w:tr>
    </w:tbl>
    <w:p>
      <w:pPr>
        <w:pStyle w:val="BodyText"/>
      </w:pPr>
      <w:r>
        <w:t xml:space="preserve">OPEC </w:t>
      </w:r>
      <w:r>
        <w:rPr>
          <w:rFonts w:hint="eastAsia"/>
        </w:rPr>
        <w:t xml:space="preserve">表并不替代赛题冲击参数。它只说明：在没有霍尔木兹极端封锁的正常基线下，2026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原油需求差额更高。因此，长期模型不能把价格回落解释成</w:t>
      </w:r>
      <w:r>
        <w:rPr>
          <w:rFonts w:hint="eastAsia"/>
        </w:rPr>
        <w:t xml:space="preserve">“全球需求自然塌陷”</w:t>
      </w:r>
      <w:r>
        <w:rPr>
          <w:rFonts w:hint="eastAsia"/>
        </w:rPr>
        <w:t xml:space="preserve">，而应解释为政策缓冲、供给恢复、需求弹性和风险溢价衰减共同作用后的条件路径。</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月度指数，作为地缘风险溢价的外部校验变量。由于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节统一报告。与此同时，本文接入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97.3%，因此适合进入长期风险权重和不确定性强度约束。</w:t>
      </w:r>
    </w:p>
    <w:p>
      <w:pPr>
        <w:pStyle w:val="CaptionedFigure"/>
      </w:pPr>
      <w:r>
        <w:drawing>
          <wp:inline>
            <wp:extent cx="4907280" cy="2453640"/>
            <wp:effectExtent b="0" l="0" r="0" t="0"/>
            <wp:docPr descr="" title="" id="20" name="Picture"/>
            <a:graphic>
              <a:graphicData uri="http://schemas.openxmlformats.org/drawingml/2006/picture">
                <pic:pic>
                  <pic:nvPicPr>
                    <pic:cNvPr descr="布伦特原油长期价格走势.png" id="21" name="Picture"/>
                    <pic:cNvPicPr>
                      <a:picLocks noChangeArrowheads="1" noChangeAspect="1"/>
                    </pic:cNvPicPr>
                  </pic:nvPicPr>
                  <pic:blipFill>
                    <a:blip r:embed="rId19"/>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布伦特原油期货主力合约收盘价长期走势。该图用于确认</w:t>
      </w:r>
      <w:r>
        <w:t xml:space="preserve"> 2026 </w:t>
      </w:r>
      <w:r>
        <w:rPr>
          <w:rFonts w:hint="eastAsia"/>
        </w:rPr>
        <w:t xml:space="preserve">冲突窗口不是孤立样本，而是处在</w:t>
      </w:r>
      <w:r>
        <w:t xml:space="preserve"> 2017–2026 </w:t>
      </w:r>
      <w:r>
        <w:rPr>
          <w:rFonts w:hint="eastAsia"/>
        </w:rPr>
        <w:t xml:space="preserve">年高波动能源价格背景下。</w:t>
      </w:r>
    </w:p>
    <w:p>
      <w:pPr>
        <w:pStyle w:val="CaptionedFigure"/>
      </w:pPr>
      <w:r>
        <w:drawing>
          <wp:inline>
            <wp:extent cx="4907280" cy="2453640"/>
            <wp:effectExtent b="0" l="0" r="0" t="0"/>
            <wp:docPr descr="" title="" id="23" name="Picture"/>
            <a:graphic>
              <a:graphicData uri="http://schemas.openxmlformats.org/drawingml/2006/picture">
                <pic:pic>
                  <pic:nvPicPr>
                    <pic:cNvPr descr="冲突窗口价格走势.png" id="24" name="Picture"/>
                    <pic:cNvPicPr>
                      <a:picLocks noChangeArrowheads="1" noChangeAspect="1"/>
                    </pic:cNvPicPr>
                  </pic:nvPicPr>
                  <pic:blipFill>
                    <a:blip r:embed="rId22"/>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冲突窗口内附件真实价格路径。价格在冲击后快速进入</w:t>
      </w:r>
      <w:r>
        <w:t xml:space="preserve"> 110–120 </w:t>
      </w:r>
      <w:r>
        <w:rPr>
          <w:rFonts w:hint="eastAsia"/>
        </w:rPr>
        <w:t xml:space="preserve">美元/桶平台，为短期动态递推模型提供直接拟合目标。</w:t>
      </w:r>
    </w:p>
    <w:bookmarkEnd w:id="25"/>
    <w:bookmarkStart w:id="29"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7" name="Picture"/>
            <a:graphic>
              <a:graphicData uri="http://schemas.openxmlformats.org/drawingml/2006/picture">
                <pic:pic>
                  <pic:nvPicPr>
                    <pic:cNvPr descr="布伦特收益率与波动率.png" id="28" name="Picture"/>
                    <pic:cNvPicPr>
                      <a:picLocks noChangeArrowheads="1" noChangeAspect="1"/>
                    </pic:cNvPicPr>
                  </pic:nvPicPr>
                  <pic:blipFill>
                    <a:blip r:embed="rId26"/>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收益率与滚动波动率。冲突窗口波动明显放大，说明模型评价不能只看价格水平，还需要检验残差结构、历史极端性和尾部风险。</w:t>
      </w:r>
    </w:p>
    <w:bookmarkEnd w:id="29"/>
    <w:bookmarkEnd w:id="30"/>
    <w:bookmarkStart w:id="34" w:name="模型假设与符号说明"/>
    <w:p>
      <w:pPr>
        <w:pStyle w:val="Heading1"/>
      </w:pPr>
      <w:r>
        <w:rPr>
          <w:rFonts w:hint="eastAsia"/>
        </w:rPr>
        <w:t xml:space="preserve">模型假设与符号说明</w:t>
      </w:r>
    </w:p>
    <w:bookmarkStart w:id="31"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31"/>
    <w:bookmarkStart w:id="32"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2"/>
    <w:bookmarkStart w:id="33"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33"/>
    <w:bookmarkEnd w:id="34"/>
    <w:bookmarkStart w:id="40" w:name="传统供需基准模型"/>
    <w:p>
      <w:pPr>
        <w:pStyle w:val="Heading1"/>
      </w:pPr>
      <w:r>
        <w:rPr>
          <w:rFonts w:hint="eastAsia"/>
        </w:rPr>
        <w:t xml:space="preserve">传统供需基准模型</w:t>
      </w:r>
    </w:p>
    <w:bookmarkStart w:id="35"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标定斜率。当供应中断量为</w:t>
      </w:r>
      <w:r>
        <w:t xml:space="preserve"> </w:t>
      </w:r>
      <m:oMath>
        <m:r>
          <m:t>I</m:t>
        </m:r>
      </m:oMath>
      <w:r>
        <w:t xml:space="preserve"> </w:t>
      </w:r>
      <w:r>
        <w:rPr>
          <w:rFonts w:hint="eastAsia"/>
        </w:rPr>
        <w:t xml:space="preserve">时，线性需求反事实价格为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5"/>
    <w:bookmarkStart w:id="39"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7" name="Picture"/>
            <a:graphic>
              <a:graphicData uri="http://schemas.openxmlformats.org/drawingml/2006/picture">
                <pic:pic>
                  <pic:nvPicPr>
                    <pic:cNvPr descr="传统供需基准与真实价格对比.png" id="38" name="Picture"/>
                    <pic:cNvPicPr>
                      <a:picLocks noChangeArrowheads="1" noChangeAspect="1"/>
                    </pic:cNvPicPr>
                  </pic:nvPicPr>
                  <pic:blipFill>
                    <a:blip r:embed="rId36"/>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传统供需基准模型与附件真实价格对比。低弹性静态模型明显高估现实价格，因此后续必须引入</w:t>
      </w:r>
      <w:r>
        <w:t xml:space="preserve"> </w:t>
      </w:r>
      <w:r>
        <w:rPr>
          <w:rFonts w:hint="eastAsia"/>
        </w:rPr>
        <w:t xml:space="preserve">SPR、库存、绕道、需求收缩和市场预期修复等动态缓冲机制。</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综合机制递推模型正是在这一边界上引入动态缓冲与价格形成机制。</w:t>
      </w:r>
    </w:p>
    <w:bookmarkEnd w:id="39"/>
    <w:bookmarkEnd w:id="40"/>
    <w:bookmarkStart w:id="46"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它不是把所有可能因素无差别加入拟合，而是在赛题要求因素的基础上，保留已经通过消融实验和敏感性分析证明有效的价格形成因素。模型目标是在附件冲突窗口内解释真实价格路径，并为后续</w:t>
      </w:r>
      <w:r>
        <w:t xml:space="preserve"> 60–180 </w:t>
      </w:r>
      <w:r>
        <w:rPr>
          <w:rFonts w:hint="eastAsia"/>
        </w:rPr>
        <w:t xml:space="preserve">天情景外推提供统一机制基础。</w:t>
      </w:r>
    </w:p>
    <w:p>
      <w:pPr>
        <w:pStyle w:val="CaptionedFigure"/>
      </w:pPr>
      <w:r>
        <w:drawing>
          <wp:inline>
            <wp:extent cx="5120640" cy="5212079"/>
            <wp:effectExtent b="0" l="0" r="0" t="0"/>
            <wp:docPr descr="" title="" id="42" name="Picture"/>
            <a:graphic>
              <a:graphicData uri="http://schemas.openxmlformats.org/drawingml/2006/picture">
                <pic:pic>
                  <pic:nvPicPr>
                    <pic:cNvPr descr="综合机制递推模型结构图.png" id="43" name="Picture"/>
                    <pic:cNvPicPr>
                      <a:picLocks noChangeArrowheads="1" noChangeAspect="1"/>
                    </pic:cNvPicPr>
                  </pic:nvPicPr>
                  <pic:blipFill>
                    <a:blip r:embed="rId41"/>
                    <a:stretch>
                      <a:fillRect/>
                    </a:stretch>
                  </pic:blipFill>
                  <pic:spPr bwMode="auto">
                    <a:xfrm>
                      <a:off x="0" y="0"/>
                      <a:ext cx="5120640" cy="5212079"/>
                    </a:xfrm>
                    <a:prstGeom prst="rect">
                      <a:avLst/>
                    </a:prstGeom>
                    <a:noFill/>
                    <a:ln w="9525">
                      <a:noFill/>
                      <a:headEnd/>
                      <a:tailEnd/>
                    </a:ln>
                  </pic:spPr>
                </pic:pic>
              </a:graphicData>
            </a:graphic>
          </wp:inline>
        </w:drawing>
      </w:r>
    </w:p>
    <w:p>
      <w:pPr>
        <w:pStyle w:val="ImageCaption"/>
      </w:pPr>
      <w:r>
        <w:rPr>
          <w:rFonts w:hint="eastAsia"/>
        </w:rPr>
        <w:t xml:space="preserve">综合机制递推模型结构。物理供需层决定剩余缺口，市场价格形成层完成风险再定价，长期情景层刻画条件区间和尾部风险。</w:t>
      </w:r>
    </w:p>
    <w:bookmarkStart w:id="44"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44"/>
    <w:bookmarkStart w:id="45"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该层的函数形式来自三个建模约束。第一，Kilian（2009）、Hamilton（2009）和</w:t>
      </w:r>
      <w:r>
        <w:t xml:space="preserve"> Kilian </w:t>
      </w:r>
      <w:r>
        <w:rPr>
          <w:rFonts w:hint="eastAsia"/>
        </w:rPr>
        <w:t xml:space="preserve">与</w:t>
      </w:r>
      <w:r>
        <w:t xml:space="preserve"> </w:t>
      </w:r>
      <w:r>
        <w:rPr>
          <w:rFonts w:hint="eastAsia"/>
        </w:rPr>
        <w:t xml:space="preserve">Murphy（2014）的研究表明，油价冲击应区分物理供给、预防性需求、库存和预期再定价；因此，本文将剩余物理缺口和风险溢价分开建模。第二，题面给出恐慌情绪放大持续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表示约一周尺度的信息吸收，而指数衰减项表示市场在观察到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由此可知，式中指数项不是为拟合曲线任意添加，而是对</w:t>
      </w:r>
      <w:r>
        <w:rPr>
          <w:rFonts w:hint="eastAsia"/>
        </w:rPr>
        <w:t xml:space="preserve">“冲击建立–风险消化–缓冲确认”</w:t>
      </w:r>
      <w:r>
        <w:rPr>
          <w:rFonts w:hint="eastAsia"/>
        </w:rPr>
        <w:t xml:space="preserve">三类时间过程的简化表示。</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该结构保留了题面中的离散递推思想，同时允许期货市场对风险和预期做非线性再定价。恐慌动量项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需要强调，本文不把市场价格形成层视为任意补丁：风险溢价、缓冲确认折价和预期修复折价只有在具有经济含义、方向可解释、消融后误差明显恶化且扰动后结论保持稳定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bookmarkEnd w:id="45"/>
    <w:bookmarkEnd w:id="46"/>
    <w:bookmarkStart w:id="108" w:name="参数校准与模型检验"/>
    <w:p>
      <w:pPr>
        <w:pStyle w:val="Heading1"/>
      </w:pPr>
      <w:r>
        <w:rPr>
          <w:rFonts w:hint="eastAsia"/>
        </w:rPr>
        <w:t xml:space="preserve">参数校准与模型检验</w:t>
      </w:r>
    </w:p>
    <w:bookmarkStart w:id="47"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价格传导系数</w:t>
            </w:r>
            <w:r>
              <w:t xml:space="preserve"> </w:t>
            </w:r>
            <m:oMath>
              <m:r>
                <m:t>ϕ</m:t>
              </m:r>
            </m:oMath>
          </w:p>
        </w:tc>
        <w:tc>
          <w:tcPr/>
          <w:p>
            <w:pPr>
              <w:pStyle w:val="Compact"/>
              <w:jc w:val="right"/>
            </w:pPr>
            <w:r>
              <w:t xml:space="preserve">0.028</w:t>
            </w:r>
          </w:p>
        </w:tc>
      </w:tr>
      <w:tr>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r>
      <w:tr>
        <w:tc>
          <w:tcPr/>
          <w:p>
            <w:pPr>
              <w:pStyle w:val="Compact"/>
              <w:jc w:val="left"/>
            </w:pPr>
            <w:r>
              <w:rPr>
                <w:rFonts w:hint="eastAsia"/>
              </w:rPr>
              <w:t xml:space="preserve">不确定性/制度风险强度</w:t>
            </w:r>
          </w:p>
        </w:tc>
        <w:tc>
          <w:tcPr/>
          <w:p>
            <w:pPr>
              <w:pStyle w:val="Compact"/>
              <w:jc w:val="right"/>
            </w:pPr>
            <w:r>
              <w:t xml:space="preserve">0.247</w:t>
            </w:r>
          </w:p>
        </w:tc>
        <w:tc>
          <w:tcPr/>
          <w:p>
            <w:pPr>
              <w:pStyle w:val="Compact"/>
              <w:jc w:val="left"/>
            </w:pPr>
            <w:r>
              <w:rPr>
                <w:rFonts w:hint="eastAsia"/>
              </w:rPr>
              <w:t xml:space="preserve">库存响应系数</w:t>
            </w:r>
          </w:p>
        </w:tc>
        <w:tc>
          <w:tcPr/>
          <w:p>
            <w:pPr>
              <w:pStyle w:val="Compact"/>
              <w:jc w:val="right"/>
            </w:pPr>
            <w:r>
              <w:t xml:space="preserve">0.666</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鲁棒性检验。本文后续所有模型评价均围绕这一区分展开，避免把校准参数包装成外生事实。</w:t>
      </w:r>
    </w:p>
    <w:p>
      <w:pPr>
        <w:pStyle w:val="BodyText"/>
      </w:pPr>
      <w:r>
        <w:rPr>
          <w:rFonts w:hint="eastAsia"/>
        </w:rPr>
        <w:t xml:space="preserve">其中，供应中断量</w:t>
      </w:r>
      <w:r>
        <w:t xml:space="preserve"> 1493 </w:t>
      </w:r>
      <w:r>
        <w:rPr>
          <w:rFonts w:hint="eastAsia"/>
        </w:rPr>
        <w:t xml:space="preserve">万桶/日不是官方观测到的实际中断量，而是在赛题给定中断范围内由短期冲突窗口校准得到的中心情景值。本文只将其作为模型参数使用，并在长期乐观、中性、悲观情景以及蒙特卡洛抽样中覆盖</w:t>
      </w:r>
      <w:r>
        <w:t xml:space="preserve"> 1400–1800 </w:t>
      </w:r>
      <w:r>
        <w:rPr>
          <w:rFonts w:hint="eastAsia"/>
        </w:rPr>
        <w:t xml:space="preserve">万桶/日的扰动区间，避免把单一校准点误写成外生事实。</w:t>
      </w:r>
    </w:p>
    <w:bookmarkEnd w:id="47"/>
    <w:bookmarkStart w:id="55"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bookmarkStart w:id="51" w:name="fig:short-term-fit"/>
    <w:p>
      <w:pPr>
        <w:pStyle w:val="CaptionedFigure"/>
      </w:pPr>
      <w:r>
        <w:drawing>
          <wp:inline>
            <wp:extent cx="4907280" cy="2587474"/>
            <wp:effectExtent b="0" l="0" r="0" t="0"/>
            <wp:docPr descr="" title="" id="49" name="Picture"/>
            <a:graphic>
              <a:graphicData uri="http://schemas.openxmlformats.org/drawingml/2006/picture">
                <pic:pic>
                  <pic:nvPicPr>
                    <pic:cNvPr descr="短期模型拟合效果.png" id="50" name="Picture"/>
                    <pic:cNvPicPr>
                      <a:picLocks noChangeArrowheads="1" noChangeAspect="1"/>
                    </pic:cNvPicPr>
                  </pic:nvPicPr>
                  <pic:blipFill>
                    <a:blip r:embed="rId48"/>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短期动态模型拟合效果。模型较好刻画了前期冲击、中期平台和后期再定价，是本文解释</w:t>
      </w:r>
      <w:r>
        <w:t xml:space="preserve"> 110–120 </w:t>
      </w:r>
      <w:r>
        <w:rPr>
          <w:rFonts w:hint="eastAsia"/>
        </w:rPr>
        <w:t xml:space="preserve">美元/桶价格平台的核心证据图。</w:t>
      </w:r>
    </w:p>
    <w:bookmarkEnd w:id="51"/>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53" name="Picture"/>
            <a:graphic>
              <a:graphicData uri="http://schemas.openxmlformats.org/drawingml/2006/picture">
                <pic:pic>
                  <pic:nvPicPr>
                    <pic:cNvPr descr="短期模型机制贡献.png" id="54" name="Picture"/>
                    <pic:cNvPicPr>
                      <a:picLocks noChangeArrowheads="1" noChangeAspect="1"/>
                    </pic:cNvPicPr>
                  </pic:nvPicPr>
                  <pic:blipFill>
                    <a:blip r:embed="rId52"/>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短期模型机制贡献分解。风险溢价解释价格快速进入高位平台，缓冲确认和预期修复解释后期回落，证明模型不是单纯曲线拟合。</w:t>
      </w:r>
    </w:p>
    <w:bookmarkEnd w:id="55"/>
    <w:bookmarkStart w:id="65" w:name="基准对比与鲁棒性检验"/>
    <w:p>
      <w:pPr>
        <w:pStyle w:val="Heading2"/>
      </w:pPr>
      <w:r>
        <w:rPr>
          <w:rFonts w:hint="eastAsia"/>
        </w:rPr>
        <w:t xml:space="preserve">基准对比与鲁棒性检验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CaptionedFigure"/>
      </w:pPr>
      <w:r>
        <w:drawing>
          <wp:inline>
            <wp:extent cx="4907280" cy="4218758"/>
            <wp:effectExtent b="0" l="0" r="0" t="0"/>
            <wp:docPr descr="" title="" id="57" name="Picture"/>
            <a:graphic>
              <a:graphicData uri="http://schemas.openxmlformats.org/drawingml/2006/picture">
                <pic:pic>
                  <pic:nvPicPr>
                    <pic:cNvPr descr="评审质疑防御框架图.png" id="58" name="Picture"/>
                    <pic:cNvPicPr>
                      <a:picLocks noChangeArrowheads="1" noChangeAspect="1"/>
                    </pic:cNvPicPr>
                  </pic:nvPicPr>
                  <pic:blipFill>
                    <a:blip r:embed="rId56"/>
                    <a:stretch>
                      <a:fillRect/>
                    </a:stretch>
                  </pic:blipFill>
                  <pic:spPr bwMode="auto">
                    <a:xfrm>
                      <a:off x="0" y="0"/>
                      <a:ext cx="4907280" cy="4218758"/>
                    </a:xfrm>
                    <a:prstGeom prst="rect">
                      <a:avLst/>
                    </a:prstGeom>
                    <a:noFill/>
                    <a:ln w="9525">
                      <a:noFill/>
                      <a:headEnd/>
                      <a:tailEnd/>
                    </a:ln>
                  </pic:spPr>
                </pic:pic>
              </a:graphicData>
            </a:graphic>
          </wp:inline>
        </w:drawing>
      </w:r>
    </w:p>
    <w:p>
      <w:pPr>
        <w:pStyle w:val="ImageCaption"/>
      </w:pPr>
      <w:r>
        <w:rPr>
          <w:rFonts w:hint="eastAsia"/>
        </w:rPr>
        <w:t xml:space="preserve">模型鲁棒性检验框架。每类潜在风险都对应可复现的检验、图表或校验输出。</w:t>
      </w:r>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60" name="Picture"/>
            <a:graphic>
              <a:graphicData uri="http://schemas.openxmlformats.org/drawingml/2006/picture">
                <pic:pic>
                  <pic:nvPicPr>
                    <pic:cNvPr descr="短期模型基准对比.png" id="61" name="Picture"/>
                    <pic:cNvPicPr>
                      <a:picLocks noChangeArrowheads="1" noChangeAspect="1"/>
                    </pic:cNvPicPr>
                  </pic:nvPicPr>
                  <pic:blipFill>
                    <a:blip r:embed="rId59"/>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图</w:t>
      </w:r>
      <w:r>
        <w:t xml:space="preserve"> </w:t>
      </w:r>
      <w:hyperlink w:anchor="fig:short-term-fit">
        <w:r>
          <w:rPr>
            <w:rStyle w:val="Hyperlink"/>
          </w:rPr>
          <w:t xml:space="preserve">2</w:t>
        </w:r>
      </w:hyperlink>
      <w:r>
        <w:t xml:space="preserve"> </w:t>
      </w:r>
      <w:r>
        <w:rPr>
          <w:rFonts w:hint="eastAsia"/>
        </w:rPr>
        <w:t xml:space="preserve">展示了短期主模型的路径拟合结果。为排除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63" name="Picture"/>
            <a:graphic>
              <a:graphicData uri="http://schemas.openxmlformats.org/drawingml/2006/picture">
                <pic:pic>
                  <pic:nvPicPr>
                    <pic:cNvPr descr="短期模型滞后平移检验.png" id="64" name="Picture"/>
                    <pic:cNvPicPr>
                      <a:picLocks noChangeArrowheads="1" noChangeAspect="1"/>
                    </pic:cNvPicPr>
                  </pic:nvPicPr>
                  <pic:blipFill>
                    <a:blip r:embed="rId62"/>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检验。原始位置误差最低，说明拟合曲线不是简单把昨日真实价格滞后搬到今日。</w:t>
      </w:r>
    </w:p>
    <w:bookmarkEnd w:id="65"/>
    <w:bookmarkStart w:id="69" w:name="结构稳定性检验"/>
    <w:p>
      <w:pPr>
        <w:pStyle w:val="Heading2"/>
      </w:pPr>
      <w:r>
        <w:rPr>
          <w:rFonts w:hint="eastAsia"/>
        </w:rPr>
        <w:t xml:space="preserve">结构稳定性检验</w:t>
      </w:r>
    </w:p>
    <w:p>
      <w:pPr>
        <w:pStyle w:val="FirstParagraph"/>
      </w:pPr>
      <w:r>
        <w:rPr>
          <w:rFonts w:hint="eastAsia"/>
        </w:rPr>
        <w:t xml:space="preserve">由于冲突窗口只有</w:t>
      </w:r>
      <w:r>
        <w:t xml:space="preserve"> 46 </w:t>
      </w:r>
      <w:r>
        <w:rPr>
          <w:rFonts w:hint="eastAsia"/>
        </w:rPr>
        <w:t xml:space="preserve">个交易日，而校准参数较多，本文进一步进行参数扰动与结构边界检验。结果显示，在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美元/桶区间；递推结构检查也确认模型未将</w:t>
      </w:r>
      <w:r>
        <w:t xml:space="preserve"> 120 </w:t>
      </w:r>
      <w:r>
        <w:rPr>
          <w:rFonts w:hint="eastAsia"/>
        </w:rPr>
        <w:t xml:space="preserve">美元作为外生价格上限。本文因此将模型定位为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67" name="Picture"/>
            <a:graphic>
              <a:graphicData uri="http://schemas.openxmlformats.org/drawingml/2006/picture">
                <pic:pic>
                  <pic:nvPicPr>
                    <pic:cNvPr descr="短期模型过拟合压力测试.png" id="68" name="Picture"/>
                    <pic:cNvPicPr>
                      <a:picLocks noChangeArrowheads="1" noChangeAspect="1"/>
                    </pic:cNvPicPr>
                  </pic:nvPicPr>
                  <pic:blipFill>
                    <a:blip r:embed="rId66"/>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短期模型参数扰动检验。多数扰动样本仍保持在合理价格平台附近，说明</w:t>
      </w:r>
      <w:r>
        <w:t xml:space="preserve"> 110–120 </w:t>
      </w:r>
      <w:r>
        <w:rPr>
          <w:rFonts w:hint="eastAsia"/>
        </w:rPr>
        <w:t xml:space="preserve">美元/桶平台不依赖唯一参数点。</w:t>
      </w:r>
    </w:p>
    <w:bookmarkEnd w:id="69"/>
    <w:bookmarkStart w:id="73"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71" name="Picture"/>
            <a:graphic>
              <a:graphicData uri="http://schemas.openxmlformats.org/drawingml/2006/picture">
                <pic:pic>
                  <pic:nvPicPr>
                    <pic:cNvPr descr="短期模型残差诊断增强.png" id="72" name="Picture"/>
                    <pic:cNvPicPr>
                      <a:picLocks noChangeArrowheads="1" noChangeAspect="1"/>
                    </pic:cNvPicPr>
                  </pic:nvPicPr>
                  <pic:blipFill>
                    <a:blip r:embed="rId70"/>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73"/>
    <w:bookmarkStart w:id="80" w:name="在线残差校正与机器学习辅助边界"/>
    <w:p>
      <w:pPr>
        <w:pStyle w:val="Heading2"/>
      </w:pPr>
      <w:r>
        <w:rPr>
          <w:rFonts w:hint="eastAsia"/>
        </w:rPr>
        <w:t xml:space="preserve">在线残差校正与机器学习辅助边界</w:t>
      </w:r>
    </w:p>
    <w:p>
      <w:pPr>
        <w:pStyle w:val="FirstParagraph"/>
      </w:pPr>
      <w:r>
        <w:rPr>
          <w:rFonts w:hint="eastAsia"/>
        </w:rPr>
        <w:t xml:space="preserve">考虑到短期模型残差仍存在轻微连续偏差，本文进一步引入一个轻量在线校正层。该层不替代综合机制递推主模型，只使用第</w:t>
      </w:r>
      <w:r>
        <w:t xml:space="preserve"> </w:t>
      </w:r>
      <m:oMath>
        <m:r>
          <m:t>t</m:t>
        </m:r>
        <m:r>
          <m:rPr>
            <m:sty m:val="p"/>
          </m:rPr>
          <m:t>−</m:t>
        </m:r>
        <m:r>
          <m:t>1</m:t>
        </m:r>
      </m:oMath>
      <w:r>
        <w:t xml:space="preserve"> </w:t>
      </w:r>
      <w:r>
        <w:rPr>
          <w:rFonts w:hint="eastAsia"/>
        </w:rPr>
        <w:t xml:space="preserve">日以前已经观测到的模型误差来估计第</w:t>
      </w:r>
      <w:r>
        <w:t xml:space="preserve"> </w:t>
      </w:r>
      <m:oMath>
        <m:r>
          <m:t>t</m:t>
        </m:r>
      </m:oMath>
      <w:r>
        <w:t xml:space="preserve"> </w:t>
      </w:r>
      <w:r>
        <w:rPr>
          <w:rFonts w:hint="eastAsia"/>
        </w:rPr>
        <w:t xml:space="preserve">日误差反馈：</w:t>
      </w:r>
    </w:p>
    <w:p>
      <w:pPr>
        <w:pStyle w:val="BodyText"/>
      </w:pPr>
      <m:oMathPara>
        <m:oMathParaPr>
          <m:jc m:val="center"/>
        </m:oMathParaPr>
        <m:oMath>
          <m:sSub>
            <m:e>
              <m:r>
                <m:t>e</m:t>
              </m:r>
            </m:e>
            <m:sub>
              <m:r>
                <m:t>t</m:t>
              </m:r>
            </m:sub>
          </m:sSub>
          <m:r>
            <m:rPr>
              <m:sty m:val="p"/>
            </m:rPr>
            <m:t>=</m:t>
          </m:r>
          <m:sSub>
            <m:e>
              <m:r>
                <m:t>ρ</m:t>
              </m:r>
            </m:e>
            <m:sub>
              <m:r>
                <m:t>t</m:t>
              </m:r>
            </m:sub>
          </m:sSub>
          <m:sSub>
            <m:e>
              <m:r>
                <m:t>e</m:t>
              </m:r>
            </m:e>
            <m:sub>
              <m:r>
                <m:t>t</m:t>
              </m:r>
              <m:r>
                <m:rPr>
                  <m:sty m:val="p"/>
                </m:rPr>
                <m:t>−</m:t>
              </m:r>
              <m:r>
                <m:t>1</m:t>
              </m:r>
            </m:sub>
          </m:sSub>
          <m:r>
            <m:rPr>
              <m:sty m:val="p"/>
            </m:rPr>
            <m:t>+</m:t>
          </m:r>
          <m:sSub>
            <m:e>
              <m:r>
                <m:t>η</m:t>
              </m:r>
            </m:e>
            <m:sub>
              <m:r>
                <m:t>t</m:t>
              </m:r>
            </m:sub>
          </m:sSub>
          <m:r>
            <m:rPr>
              <m:sty m:val="p"/>
            </m:rPr>
            <m:t>,</m:t>
          </m:r>
          <m:r>
            <m:t>  </m:t>
          </m:r>
          <m:sSubSup>
            <m:e>
              <m:acc>
                <m:accPr>
                  <m:chr m:val="̂"/>
                </m:accPr>
                <m:e>
                  <m:r>
                    <m:t>P</m:t>
                  </m:r>
                </m:e>
              </m:acc>
            </m:e>
            <m:sub>
              <m:r>
                <m:t>t</m:t>
              </m:r>
            </m:sub>
            <m:sup>
              <m:r>
                <m:t> </m:t>
              </m:r>
              <m:r>
                <m:t>c</m:t>
              </m:r>
            </m:sup>
          </m:sSubSup>
          <m:r>
            <m:rPr>
              <m:sty m:val="p"/>
            </m:rPr>
            <m:t>=</m:t>
          </m:r>
          <m:sSub>
            <m:e>
              <m:acc>
                <m:accPr>
                  <m:chr m:val="̂"/>
                </m:accPr>
                <m:e>
                  <m:r>
                    <m:t>P</m:t>
                  </m:r>
                </m:e>
              </m:acc>
            </m:e>
            <m:sub>
              <m:r>
                <m:t>t</m:t>
              </m:r>
            </m:sub>
          </m:sSub>
          <m:r>
            <m:rPr>
              <m:sty m:val="p"/>
            </m:rPr>
            <m:t>−</m:t>
          </m:r>
          <m:sSub>
            <m:e>
              <m:r>
                <m:t>ρ</m:t>
              </m:r>
            </m:e>
            <m:sub>
              <m:r>
                <m:t>t</m:t>
              </m:r>
            </m:sub>
          </m:sSub>
          <m:sSub>
            <m:e>
              <m:r>
                <m:t>e</m:t>
              </m:r>
            </m:e>
            <m:sub>
              <m:r>
                <m:t>t</m:t>
              </m:r>
              <m:r>
                <m:rPr>
                  <m:sty m:val="p"/>
                </m:rPr>
                <m:t>−</m:t>
              </m:r>
              <m:r>
                <m:t>1</m:t>
              </m:r>
            </m:sub>
          </m:sSub>
          <m:r>
            <m:rPr>
              <m:sty m:val="p"/>
            </m:rPr>
            <m:t>.</m:t>
          </m:r>
        </m:oMath>
      </m:oMathPara>
    </w:p>
    <w:p>
      <w:pPr>
        <w:pStyle w:val="FirstParagraph"/>
      </w:pPr>
      <w:r>
        <w:rPr>
          <w:rFonts w:hint="eastAsia"/>
        </w:rPr>
        <w:t xml:space="preserve">其中</w:t>
      </w:r>
      <w:r>
        <w:t xml:space="preserve"> </w:t>
      </w:r>
      <m:oMath>
        <m:sSub>
          <m:e>
            <m:r>
              <m:t>e</m:t>
            </m:r>
          </m:e>
          <m:sub>
            <m:r>
              <m:t>t</m:t>
            </m:r>
          </m:sub>
        </m:sSub>
        <m:r>
          <m:rPr>
            <m:sty m:val="p"/>
          </m:rPr>
          <m:t>=</m:t>
        </m:r>
        <m:sSub>
          <m:e>
            <m:acc>
              <m:accPr>
                <m:chr m:val="̂"/>
              </m:accPr>
              <m:e>
                <m:r>
                  <m:t>P</m:t>
                </m:r>
              </m:e>
            </m:acc>
          </m:e>
          <m:sub>
            <m:r>
              <m:t>t</m:t>
            </m:r>
          </m:sub>
        </m:sSub>
        <m:r>
          <m:rPr>
            <m:sty m:val="p"/>
          </m:rPr>
          <m:t>−</m:t>
        </m:r>
        <m:sSub>
          <m:e>
            <m:r>
              <m:t>P</m:t>
            </m:r>
          </m:e>
          <m:sub>
            <m:r>
              <m:t>t</m:t>
            </m:r>
          </m:sub>
        </m:sSub>
      </m:oMath>
      <w:r>
        <w:rPr>
          <w:rFonts w:hint="eastAsia"/>
        </w:rPr>
        <w:t xml:space="preserve">，</w:t>
      </w:r>
      <m:oMath>
        <m:sSub>
          <m:e>
            <m:r>
              <m:t>ρ</m:t>
            </m:r>
          </m:e>
          <m:sub>
            <m:r>
              <m:t>t</m:t>
            </m:r>
          </m:sub>
        </m:sSub>
      </m:oMath>
      <w:r>
        <w:t xml:space="preserve"> </w:t>
      </w:r>
      <w:r>
        <w:rPr>
          <w:rFonts w:hint="eastAsia"/>
        </w:rPr>
        <w:t xml:space="preserve">通过扩展窗口岭回归估计，并限制在</w:t>
      </w:r>
      <w:r>
        <w:t xml:space="preserve"> </w:t>
      </w:r>
      <m:oMath>
        <m:r>
          <m:rPr>
            <m:sty m:val="p"/>
          </m:rPr>
          <m:t>[</m:t>
        </m:r>
        <m:r>
          <m:t>0</m:t>
        </m:r>
        <m:r>
          <m:rPr>
            <m:sty m:val="p"/>
          </m:rPr>
          <m:t>,</m:t>
        </m:r>
        <m:r>
          <m:t>0.5</m:t>
        </m:r>
        <m:r>
          <m:rPr>
            <m:sty m:val="p"/>
          </m:rPr>
          <m:t>]</m:t>
        </m:r>
      </m:oMath>
      <w:r>
        <w:t xml:space="preserve"> </w:t>
      </w:r>
      <w:r>
        <w:rPr>
          <w:rFonts w:hint="eastAsia"/>
        </w:rPr>
        <w:t xml:space="preserve">内，防止校正层追逐噪声。第</w:t>
      </w:r>
      <w:r>
        <w:t xml:space="preserve"> </w:t>
      </w:r>
      <m:oMath>
        <m:r>
          <m:t>t</m:t>
        </m:r>
      </m:oMath>
      <w:r>
        <w:t xml:space="preserve"> </w:t>
      </w:r>
      <w:r>
        <w:rPr>
          <w:rFonts w:hint="eastAsia"/>
        </w:rPr>
        <w:t xml:space="preserve">日校正不能读取第</w:t>
      </w:r>
      <w:r>
        <w:t xml:space="preserve"> </w:t>
      </w:r>
      <m:oMath>
        <m:r>
          <m:t>t</m:t>
        </m:r>
      </m:oMath>
      <w:r>
        <w:t xml:space="preserve"> </w:t>
      </w:r>
      <w:r>
        <w:rPr>
          <w:rFonts w:hint="eastAsia"/>
        </w:rPr>
        <w:t xml:space="preserve">日真实价格，因此不是事后平滑曲线；它相当于把机器学习中的在线残差学习思想作为主模型的辅助滤波器。</w:t>
      </w:r>
    </w:p>
    <w:p>
      <w:pPr>
        <w:pStyle w:val="TableCaption"/>
      </w:pPr>
      <w:r>
        <w:rPr>
          <w:rFonts w:hint="eastAsia"/>
        </w:rPr>
        <w:t xml:space="preserve">短期在线残差校正效果</w:t>
      </w:r>
    </w:p>
    <w:tbl>
      <w:tblPr>
        <w:tblStyle w:val="Table"/>
        <w:tblW w:type="auto" w:w="0"/>
        <w:tblLook w:firstRow="1" w:lastRow="0" w:firstColumn="0" w:lastColumn="0" w:noHBand="0" w:noVBand="0" w:val="0020"/>
        <w:tblCaption w:val="短期在线残差校正效果"/>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机制递推主模型</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2.858%</w:t>
            </w:r>
          </w:p>
        </w:tc>
        <w:tc>
          <w:tcPr/>
          <w:p>
            <w:pPr>
              <w:pStyle w:val="Compact"/>
              <w:jc w:val="right"/>
            </w:pPr>
            <w:r>
              <w:t xml:space="preserve">64.4%</w:t>
            </w:r>
          </w:p>
        </w:tc>
      </w:tr>
      <w:tr>
        <w:tc>
          <w:tcPr/>
          <w:p>
            <w:pPr>
              <w:pStyle w:val="Compact"/>
              <w:jc w:val="left"/>
            </w:pPr>
            <w:r>
              <w:rPr>
                <w:rFonts w:hint="eastAsia"/>
              </w:rPr>
              <w:t xml:space="preserve">在线残差校正模型</w:t>
            </w:r>
          </w:p>
        </w:tc>
        <w:tc>
          <w:tcPr/>
          <w:p>
            <w:pPr>
              <w:pStyle w:val="Compact"/>
              <w:jc w:val="right"/>
            </w:pPr>
            <w:r>
              <w:t xml:space="preserve">3.383</w:t>
            </w:r>
          </w:p>
        </w:tc>
        <w:tc>
          <w:tcPr/>
          <w:p>
            <w:pPr>
              <w:pStyle w:val="Compact"/>
              <w:jc w:val="right"/>
            </w:pPr>
            <w:r>
              <w:t xml:space="preserve">2.794</w:t>
            </w:r>
          </w:p>
        </w:tc>
        <w:tc>
          <w:tcPr/>
          <w:p>
            <w:pPr>
              <w:pStyle w:val="Compact"/>
              <w:jc w:val="right"/>
            </w:pPr>
            <w:r>
              <w:t xml:space="preserve">2.797%</w:t>
            </w:r>
          </w:p>
        </w:tc>
        <w:tc>
          <w:tcPr/>
          <w:p>
            <w:pPr>
              <w:pStyle w:val="Compact"/>
              <w:jc w:val="right"/>
            </w:pPr>
            <w:r>
              <w:t xml:space="preserve">57.8%</w:t>
            </w:r>
          </w:p>
        </w:tc>
      </w:tr>
      <w:tr>
        <w:tc>
          <w:tcPr/>
          <w:p>
            <w:pPr>
              <w:pStyle w:val="Compact"/>
              <w:jc w:val="left"/>
            </w:pPr>
            <w:r>
              <w:rPr>
                <w:rFonts w:hint="eastAsia"/>
              </w:rPr>
              <w:t xml:space="preserve">机制+Ridge收益率修正</w:t>
            </w:r>
          </w:p>
        </w:tc>
        <w:tc>
          <w:tcPr/>
          <w:p>
            <w:pPr>
              <w:pStyle w:val="Compact"/>
              <w:jc w:val="right"/>
            </w:pPr>
            <w:r>
              <w:t xml:space="preserve">3.355</w:t>
            </w:r>
          </w:p>
        </w:tc>
        <w:tc>
          <w:tcPr/>
          <w:p>
            <w:pPr>
              <w:pStyle w:val="Compact"/>
              <w:jc w:val="right"/>
            </w:pPr>
            <w:r>
              <w:t xml:space="preserve">2.812</w:t>
            </w:r>
          </w:p>
        </w:tc>
        <w:tc>
          <w:tcPr/>
          <w:p>
            <w:pPr>
              <w:pStyle w:val="Compact"/>
              <w:jc w:val="right"/>
            </w:pPr>
            <w:r>
              <w:t xml:space="preserve">2.827%</w:t>
            </w:r>
          </w:p>
        </w:tc>
        <w:tc>
          <w:tcPr/>
          <w:p>
            <w:pPr>
              <w:pStyle w:val="Compact"/>
              <w:jc w:val="right"/>
            </w:pPr>
            <w:r>
              <w:t xml:space="preserve">68.9%</w:t>
            </w:r>
          </w:p>
        </w:tc>
      </w:tr>
      <w:tr>
        <w:tc>
          <w:tcPr/>
          <w:p>
            <w:pPr>
              <w:pStyle w:val="Compact"/>
              <w:jc w:val="left"/>
            </w:pPr>
            <w:r>
              <w:rPr>
                <w:rFonts w:hint="eastAsia"/>
              </w:rPr>
              <w:t xml:space="preserve">历史Ridge收益率模型</w:t>
            </w:r>
          </w:p>
        </w:tc>
        <w:tc>
          <w:tcPr/>
          <w:p>
            <w:pPr>
              <w:pStyle w:val="Compact"/>
              <w:jc w:val="right"/>
            </w:pPr>
            <w:r>
              <w:t xml:space="preserve">4.557</w:t>
            </w:r>
          </w:p>
        </w:tc>
        <w:tc>
          <w:tcPr/>
          <w:p>
            <w:pPr>
              <w:pStyle w:val="Compact"/>
              <w:jc w:val="right"/>
            </w:pPr>
            <w:r>
              <w:t xml:space="preserve">3.733</w:t>
            </w:r>
          </w:p>
        </w:tc>
        <w:tc>
          <w:tcPr/>
          <w:p>
            <w:pPr>
              <w:pStyle w:val="Compact"/>
              <w:jc w:val="right"/>
            </w:pPr>
            <w:r>
              <w:t xml:space="preserve">3.729%</w:t>
            </w:r>
          </w:p>
        </w:tc>
        <w:tc>
          <w:tcPr/>
          <w:p>
            <w:pPr>
              <w:pStyle w:val="Compact"/>
              <w:jc w:val="right"/>
            </w:pPr>
            <w:r>
              <w:t xml:space="preserve">51.1%</w:t>
            </w:r>
          </w:p>
        </w:tc>
      </w:tr>
      <w:tr>
        <w:tc>
          <w:tcPr/>
          <w:p>
            <w:pPr>
              <w:pStyle w:val="Compact"/>
              <w:jc w:val="left"/>
            </w:pPr>
            <w:r>
              <w:rPr>
                <w:rFonts w:hint="eastAsia"/>
              </w:rPr>
              <w:t xml:space="preserve">朴素上一日基准</w:t>
            </w:r>
          </w:p>
        </w:tc>
        <w:tc>
          <w:tcPr/>
          <w:p>
            <w:pPr>
              <w:pStyle w:val="Compact"/>
              <w:jc w:val="right"/>
            </w:pPr>
            <w:r>
              <w:t xml:space="preserve">4.467</w:t>
            </w:r>
          </w:p>
        </w:tc>
        <w:tc>
          <w:tcPr/>
          <w:p>
            <w:pPr>
              <w:pStyle w:val="Compact"/>
              <w:jc w:val="right"/>
            </w:pPr>
            <w:r>
              <w:t xml:space="preserve">3.570</w:t>
            </w:r>
          </w:p>
        </w:tc>
        <w:tc>
          <w:tcPr/>
          <w:p>
            <w:pPr>
              <w:pStyle w:val="Compact"/>
              <w:jc w:val="right"/>
            </w:pPr>
            <w:r>
              <w:t xml:space="preserve">3.541%</w:t>
            </w:r>
          </w:p>
        </w:tc>
        <w:tc>
          <w:tcPr/>
          <w:p>
            <w:pPr>
              <w:pStyle w:val="Compact"/>
              <w:jc w:val="right"/>
            </w:pPr>
            <w:r>
              <w:t xml:space="preserve">46.7%</w:t>
            </w:r>
          </w:p>
        </w:tc>
      </w:tr>
    </w:tbl>
    <w:p>
      <w:pPr>
        <w:pStyle w:val="CaptionedFigure"/>
      </w:pPr>
      <w:r>
        <w:drawing>
          <wp:inline>
            <wp:extent cx="4907280" cy="3655675"/>
            <wp:effectExtent b="0" l="0" r="0" t="0"/>
            <wp:docPr descr="" title="" id="75" name="Picture"/>
            <a:graphic>
              <a:graphicData uri="http://schemas.openxmlformats.org/drawingml/2006/picture">
                <pic:pic>
                  <pic:nvPicPr>
                    <pic:cNvPr descr="短期模型在线残差校正效果.png" id="76" name="Picture"/>
                    <pic:cNvPicPr>
                      <a:picLocks noChangeArrowheads="1" noChangeAspect="1"/>
                    </pic:cNvPicPr>
                  </pic:nvPicPr>
                  <pic:blipFill>
                    <a:blip r:embed="rId74"/>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短期模型在线残差校正效果。校正层降低了价格水平误差，但方向解释仍以机制主模型为准。</w:t>
      </w:r>
    </w:p>
    <w:p>
      <w:pPr>
        <w:pStyle w:val="BodyText"/>
      </w:pPr>
      <w:r>
        <w:rPr>
          <w:rFonts w:hint="eastAsia"/>
        </w:rPr>
        <w:t xml:space="preserve">结果显示，在线校正可将</w:t>
      </w:r>
      <w:r>
        <w:t xml:space="preserve"> RMSE </w:t>
      </w:r>
      <w:r>
        <w:rPr>
          <w:rFonts w:hint="eastAsia"/>
        </w:rPr>
        <w:t xml:space="preserve">从</w:t>
      </w:r>
      <w:r>
        <w:t xml:space="preserve"> 3.440 </w:t>
      </w:r>
      <w:r>
        <w:rPr>
          <w:rFonts w:hint="eastAsia"/>
        </w:rPr>
        <w:t xml:space="preserve">降至</w:t>
      </w:r>
      <w:r>
        <w:t xml:space="preserve"> </w:t>
      </w:r>
      <w:r>
        <w:rPr>
          <w:rFonts w:hint="eastAsia"/>
        </w:rPr>
        <w:t xml:space="preserve">3.383，MAE</w:t>
      </w:r>
      <w:r>
        <w:t xml:space="preserve"> </w:t>
      </w:r>
      <w:r>
        <w:rPr>
          <w:rFonts w:hint="eastAsia"/>
        </w:rPr>
        <w:t xml:space="preserve">从</w:t>
      </w:r>
      <w:r>
        <w:t xml:space="preserve"> 2.855 </w:t>
      </w:r>
      <w:r>
        <w:rPr>
          <w:rFonts w:hint="eastAsia"/>
        </w:rPr>
        <w:t xml:space="preserve">降至</w:t>
      </w:r>
      <w:r>
        <w:t xml:space="preserve"> </w:t>
      </w:r>
      <w:r>
        <w:rPr>
          <w:rFonts w:hint="eastAsia"/>
        </w:rPr>
        <w:t xml:space="preserve">2.794，最大绝对误差也有所下降。这说明冲突窗口中确实存在可利用的短期误差惯性。但在线校正后的方向命中率低于机制主模型，因此本文不将其升级为新的主模型，而是把它作为计算机方法的克制引入。</w:t>
      </w:r>
    </w:p>
    <w:p>
      <w:pPr>
        <w:pStyle w:val="BodyText"/>
      </w:pPr>
      <w:r>
        <w:rPr>
          <w:rFonts w:hint="eastAsia"/>
        </w:rPr>
        <w:t xml:space="preserve">进一步地，本文使用</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日之前的历史价格特征训练低自由度</w:t>
      </w:r>
      <w:r>
        <w:t xml:space="preserve"> Ridge </w:t>
      </w:r>
      <w:r>
        <w:rPr>
          <w:rFonts w:hint="eastAsia"/>
        </w:rPr>
        <w:t xml:space="preserve">收益率模型，并只把该模型输出的一日收益率修正量叠加到机制路径。该</w:t>
      </w:r>
      <w:r>
        <w:rPr>
          <w:rFonts w:hint="eastAsia"/>
        </w:rPr>
        <w:t xml:space="preserve">“机制+Ridge收益率修正”</w:t>
      </w:r>
      <w:r>
        <w:rPr>
          <w:rFonts w:hint="eastAsia"/>
        </w:rPr>
        <w:t xml:space="preserve">将</w:t>
      </w:r>
      <w:r>
        <w:t xml:space="preserve"> RMSE </w:t>
      </w:r>
      <w:r>
        <w:rPr>
          <w:rFonts w:hint="eastAsia"/>
        </w:rPr>
        <w:t xml:space="preserve">降至</w:t>
      </w:r>
      <w:r>
        <w:t xml:space="preserve"> </w:t>
      </w:r>
      <w:r>
        <w:rPr>
          <w:rFonts w:hint="eastAsia"/>
        </w:rPr>
        <w:t xml:space="preserve">3.355，方向命中率升至</w:t>
      </w:r>
      <w:r>
        <w:t xml:space="preserve"> </w:t>
      </w:r>
      <w:r>
        <w:rPr>
          <w:rFonts w:hint="eastAsia"/>
        </w:rPr>
        <w:t xml:space="preserve">68.9%，是当前误差最低的短期增强结果；但纯历史</w:t>
      </w:r>
      <w:r>
        <w:t xml:space="preserve"> Ridge </w:t>
      </w:r>
      <w:r>
        <w:rPr>
          <w:rFonts w:hint="eastAsia"/>
        </w:rPr>
        <w:t xml:space="preserve">模型</w:t>
      </w:r>
      <w:r>
        <w:t xml:space="preserve"> RMSE </w:t>
      </w:r>
      <w:r>
        <w:rPr>
          <w:rFonts w:hint="eastAsia"/>
        </w:rPr>
        <w:t xml:space="preserve">为</w:t>
      </w:r>
      <w:r>
        <w:t xml:space="preserve"> </w:t>
      </w:r>
      <w:r>
        <w:rPr>
          <w:rFonts w:hint="eastAsia"/>
        </w:rPr>
        <w:t xml:space="preserve">4.557，且历史</w:t>
      </w:r>
      <w:r>
        <w:t xml:space="preserve"> 46 </w:t>
      </w:r>
      <w:r>
        <w:rPr>
          <w:rFonts w:hint="eastAsia"/>
        </w:rPr>
        <w:t xml:space="preserve">日滚动验证中只有</w:t>
      </w:r>
      <w:r>
        <w:t xml:space="preserve"> 44.0% </w:t>
      </w:r>
      <w:r>
        <w:rPr>
          <w:rFonts w:hint="eastAsia"/>
        </w:rPr>
        <w:t xml:space="preserve">的窗口稳定优于朴素基准。因此，机器学习层的正确角色是辅助机制模型修正正常收益惯性，而不是替代霍尔木兹封锁机制本身。</w:t>
      </w:r>
    </w:p>
    <w:p>
      <w:pPr>
        <w:pStyle w:val="CaptionedFigure"/>
      </w:pPr>
      <w:r>
        <w:drawing>
          <wp:inline>
            <wp:extent cx="4907280" cy="3655675"/>
            <wp:effectExtent b="0" l="0" r="0" t="0"/>
            <wp:docPr descr="" title="" id="78" name="Picture"/>
            <a:graphic>
              <a:graphicData uri="http://schemas.openxmlformats.org/drawingml/2006/picture">
                <pic:pic>
                  <pic:nvPicPr>
                    <pic:cNvPr descr="短期机器学习残差修正对比.png" id="79" name="Picture"/>
                    <pic:cNvPicPr>
                      <a:picLocks noChangeArrowheads="1" noChangeAspect="1"/>
                    </pic:cNvPicPr>
                  </pic:nvPicPr>
                  <pic:blipFill>
                    <a:blip r:embed="rId77"/>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短期机器学习辅助层对比。Ridge</w:t>
      </w:r>
      <w:r>
        <w:t xml:space="preserve"> </w:t>
      </w:r>
      <w:r>
        <w:rPr>
          <w:rFonts w:hint="eastAsia"/>
        </w:rPr>
        <w:t xml:space="preserve">使用冲突前历史滞后价格特征训练，只作为机制路径的低自由度收益率修正。</w:t>
      </w:r>
    </w:p>
    <w:bookmarkEnd w:id="80"/>
    <w:bookmarkStart w:id="84" w:name="时间轴语义与删块稳健性复核"/>
    <w:p>
      <w:pPr>
        <w:pStyle w:val="Heading2"/>
      </w:pPr>
      <w:r>
        <w:rPr>
          <w:rFonts w:hint="eastAsia"/>
        </w:rPr>
        <w:t xml:space="preserve">时间轴语义与删块稳健性复核</w:t>
      </w:r>
    </w:p>
    <w:p>
      <w:pPr>
        <w:pStyle w:val="FirstParagraph"/>
      </w:pPr>
      <w:r>
        <w:rPr>
          <w:rFonts w:hint="eastAsia"/>
        </w:rPr>
        <w:t xml:space="preserve">短期递推中的</w:t>
      </w:r>
      <w:r>
        <w:t xml:space="preserve"> SPR </w:t>
      </w:r>
      <w:r>
        <w:rPr>
          <w:rFonts w:hint="eastAsia"/>
        </w:rPr>
        <w:t xml:space="preserve">释放、绕道恢复、需求收缩和恐慌衰减都依赖时间变量。若将每一行交易日都视为等间隔一步，可能低估周末和节假日期间政策与运输机制的实际推进；若采用日历日差，则相邻交易行在周末后会出现</w:t>
      </w:r>
      <w:r>
        <w:t xml:space="preserve"> 3 </w:t>
      </w:r>
      <w:r>
        <w:rPr>
          <w:rFonts w:hint="eastAsia"/>
        </w:rPr>
        <w:t xml:space="preserve">天跳变。为避免时间轴选择成为隐藏建模假设，本文在不重新调参的条件下，对同一组最优参数分别采用日历日口径和交易日序号口径进行复算。</w:t>
      </w:r>
    </w:p>
    <w:p>
      <w:pPr>
        <w:pStyle w:val="TableCaption"/>
      </w:pPr>
      <w:r>
        <w:rPr>
          <w:rFonts w:hint="eastAsia"/>
        </w:rPr>
        <w:t xml:space="preserve">短期模型时间轴口径对比</w:t>
      </w:r>
    </w:p>
    <w:tbl>
      <w:tblPr>
        <w:tblStyle w:val="Table"/>
        <w:tblW w:type="auto" w:w="0"/>
        <w:tblLook w:firstRow="1" w:lastRow="0" w:firstColumn="0" w:lastColumn="0" w:noHBand="0" w:noVBand="0" w:val="0020"/>
        <w:tblCaption w:val="短期模型时间轴口径对比"/>
      </w:tblPr>
      <w:tblGrid>
        <w:gridCol w:w="1584"/>
        <w:gridCol w:w="1584"/>
        <w:gridCol w:w="1584"/>
        <w:gridCol w:w="1584"/>
        <w:gridCol w:w="1584"/>
      </w:tblGrid>
      <w:tr>
        <w:trPr>
          <w:tblHeader w:val="on"/>
        </w:trPr>
        <w:tc>
          <w:tcPr/>
          <w:p>
            <w:pPr>
              <w:pStyle w:val="Compact"/>
              <w:jc w:val="left"/>
            </w:pPr>
            <w:r>
              <w:rPr>
                <w:rFonts w:hint="eastAsia"/>
              </w:rPr>
              <w:t xml:space="preserve">时间轴口径</w:t>
            </w:r>
          </w:p>
        </w:tc>
        <w:tc>
          <w:tcPr/>
          <w:p>
            <w:pPr>
              <w:pStyle w:val="Compact"/>
              <w:jc w:val="right"/>
            </w:pPr>
            <w:r>
              <w:rPr>
                <w:rFonts w:hint="eastAsia"/>
              </w:rPr>
              <w:t xml:space="preserve">最大时间索引</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综合得分</w:t>
            </w:r>
          </w:p>
        </w:tc>
      </w:tr>
      <w:tr>
        <w:tc>
          <w:tcPr/>
          <w:p>
            <w:pPr>
              <w:pStyle w:val="Compact"/>
              <w:jc w:val="left"/>
            </w:pPr>
            <w:r>
              <w:rPr>
                <w:rFonts w:hint="eastAsia"/>
              </w:rPr>
              <w:t xml:space="preserve">日历日口径</w:t>
            </w:r>
          </w:p>
        </w:tc>
        <w:tc>
          <w:tcPr/>
          <w:p>
            <w:pPr>
              <w:pStyle w:val="Compact"/>
              <w:jc w:val="right"/>
            </w:pPr>
            <w:r>
              <w:t xml:space="preserve">64</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6.638</w:t>
            </w:r>
          </w:p>
        </w:tc>
      </w:tr>
      <w:tr>
        <w:tc>
          <w:tcPr/>
          <w:p>
            <w:pPr>
              <w:pStyle w:val="Compact"/>
              <w:jc w:val="left"/>
            </w:pPr>
            <w:r>
              <w:rPr>
                <w:rFonts w:hint="eastAsia"/>
              </w:rPr>
              <w:t xml:space="preserve">交易日序号口径</w:t>
            </w:r>
          </w:p>
        </w:tc>
        <w:tc>
          <w:tcPr/>
          <w:p>
            <w:pPr>
              <w:pStyle w:val="Compact"/>
              <w:jc w:val="right"/>
            </w:pPr>
            <w:r>
              <w:t xml:space="preserve">45</w:t>
            </w:r>
          </w:p>
        </w:tc>
        <w:tc>
          <w:tcPr/>
          <w:p>
            <w:pPr>
              <w:pStyle w:val="Compact"/>
              <w:jc w:val="right"/>
            </w:pPr>
            <w:r>
              <w:t xml:space="preserve">7.075</w:t>
            </w:r>
          </w:p>
        </w:tc>
        <w:tc>
          <w:tcPr/>
          <w:p>
            <w:pPr>
              <w:pStyle w:val="Compact"/>
              <w:jc w:val="right"/>
            </w:pPr>
            <w:r>
              <w:t xml:space="preserve">5.631</w:t>
            </w:r>
          </w:p>
        </w:tc>
        <w:tc>
          <w:tcPr/>
          <w:p>
            <w:pPr>
              <w:pStyle w:val="Compact"/>
              <w:jc w:val="right"/>
            </w:pPr>
            <w:r>
              <w:t xml:space="preserve">19.365</w:t>
            </w:r>
          </w:p>
        </w:tc>
      </w:tr>
    </w:tbl>
    <w:p>
      <w:pPr>
        <w:pStyle w:val="BodyText"/>
      </w:pPr>
      <w:r>
        <w:rPr>
          <w:rFonts w:hint="eastAsia"/>
        </w:rPr>
        <w:t xml:space="preserve">结果显示，交易日序号口径在同参条件下明显恶化，尤其高价平台</w:t>
      </w:r>
      <w:r>
        <w:t xml:space="preserve"> RMSE </w:t>
      </w:r>
      <w:r>
        <w:rPr>
          <w:rFonts w:hint="eastAsia"/>
        </w:rPr>
        <w:t xml:space="preserve">升至</w:t>
      </w:r>
      <w:r>
        <w:t xml:space="preserve"> 15.22 </w:t>
      </w:r>
      <w:r>
        <w:rPr>
          <w:rFonts w:hint="eastAsia"/>
        </w:rPr>
        <w:t xml:space="preserve">美元/桶。因此，当前主模型保留日历日口径是合理的：封锁冲击、政策释放和运输恢复并不会在周末停止，按真实经过时间推进更符合机制解释题的语义。</w:t>
      </w:r>
    </w:p>
    <w:p>
      <w:pPr>
        <w:pStyle w:val="BodyText"/>
      </w:pPr>
      <w:r>
        <w:rPr>
          <w:rFonts w:hint="eastAsia"/>
        </w:rPr>
        <w:t xml:space="preserve">进一步地，本文将</w:t>
      </w:r>
      <w:r>
        <w:t xml:space="preserve"> 46 </w:t>
      </w:r>
      <w:r>
        <w:rPr>
          <w:rFonts w:hint="eastAsia"/>
        </w:rPr>
        <w:t xml:space="preserve">个交易日按时间顺序切分为</w:t>
      </w:r>
      <w:r>
        <w:t xml:space="preserve"> 5 </w:t>
      </w:r>
      <w:r>
        <w:rPr>
          <w:rFonts w:hint="eastAsia"/>
        </w:rPr>
        <w:t xml:space="preserve">个连续块，使用同一组参数检查各块误差。被删除块</w:t>
      </w:r>
      <w:r>
        <w:t xml:space="preserve"> RMSE </w:t>
      </w:r>
      <w:r>
        <w:rPr>
          <w:rFonts w:hint="eastAsia"/>
        </w:rPr>
        <w:t xml:space="preserve">分别为</w:t>
      </w:r>
      <w:r>
        <w:t xml:space="preserve"> 3.27、3.58、4.60、2.55 </w:t>
      </w:r>
      <w:r>
        <w:rPr>
          <w:rFonts w:hint="eastAsia"/>
        </w:rPr>
        <w:t xml:space="preserve">和</w:t>
      </w:r>
      <w:r>
        <w:t xml:space="preserve"> 2.84 </w:t>
      </w:r>
      <w:r>
        <w:rPr>
          <w:rFonts w:hint="eastAsia"/>
        </w:rPr>
        <w:t xml:space="preserve">美元/桶，标准差为</w:t>
      </w:r>
      <w:r>
        <w:t xml:space="preserve"> </w:t>
      </w:r>
      <w:r>
        <w:rPr>
          <w:rFonts w:hint="eastAsia"/>
        </w:rPr>
        <w:t xml:space="preserve">0.71。最难片段为</w:t>
      </w:r>
      <w:r>
        <w:t xml:space="preserve"> 2026 </w:t>
      </w:r>
      <w:r>
        <w:rPr>
          <w:rFonts w:hint="eastAsia"/>
        </w:rPr>
        <w:t xml:space="preserve">年</w:t>
      </w:r>
      <w:r>
        <w:t xml:space="preserve"> 3 </w:t>
      </w:r>
      <w:r>
        <w:rPr>
          <w:rFonts w:hint="eastAsia"/>
        </w:rPr>
        <w:t xml:space="preserve">月</w:t>
      </w:r>
      <w:r>
        <w:t xml:space="preserve"> 27 </w:t>
      </w:r>
      <w:r>
        <w:rPr>
          <w:rFonts w:hint="eastAsia"/>
        </w:rPr>
        <w:t xml:space="preserve">日至</w:t>
      </w:r>
      <w:r>
        <w:t xml:space="preserve"> 4 </w:t>
      </w:r>
      <w:r>
        <w:rPr>
          <w:rFonts w:hint="eastAsia"/>
        </w:rPr>
        <w:t xml:space="preserve">月</w:t>
      </w:r>
      <w:r>
        <w:t xml:space="preserve"> 9 </w:t>
      </w:r>
      <w:r>
        <w:rPr>
          <w:rFonts w:hint="eastAsia"/>
        </w:rPr>
        <w:t xml:space="preserve">日，RMSE</w:t>
      </w:r>
      <w:r>
        <w:t xml:space="preserve"> </w:t>
      </w:r>
      <w:r>
        <w:rPr>
          <w:rFonts w:hint="eastAsia"/>
        </w:rPr>
        <w:t xml:space="preserve">为</w:t>
      </w:r>
      <w:r>
        <w:t xml:space="preserve"> 4.60 </w:t>
      </w:r>
      <w:r>
        <w:rPr>
          <w:rFonts w:hint="eastAsia"/>
        </w:rPr>
        <w:t xml:space="preserve">美元/桶，说明模型的主要残余误差集中在中期平台再定价阶段，而不是平均分布在所有时期。</w:t>
      </w:r>
    </w:p>
    <w:p>
      <w:pPr>
        <w:pStyle w:val="CaptionedFigure"/>
      </w:pPr>
      <w:r>
        <w:drawing>
          <wp:inline>
            <wp:extent cx="4907280" cy="1890211"/>
            <wp:effectExtent b="0" l="0" r="0" t="0"/>
            <wp:docPr descr="" title="" id="82" name="Picture"/>
            <a:graphic>
              <a:graphicData uri="http://schemas.openxmlformats.org/drawingml/2006/picture">
                <pic:pic>
                  <pic:nvPicPr>
                    <pic:cNvPr descr="短期模型时间轴与删块稳健性.png" id="83" name="Picture"/>
                    <pic:cNvPicPr>
                      <a:picLocks noChangeArrowheads="1" noChangeAspect="1"/>
                    </pic:cNvPicPr>
                  </pic:nvPicPr>
                  <pic:blipFill>
                    <a:blip r:embed="rId81"/>
                    <a:stretch>
                      <a:fillRect/>
                    </a:stretch>
                  </pic:blipFill>
                  <pic:spPr bwMode="auto">
                    <a:xfrm>
                      <a:off x="0" y="0"/>
                      <a:ext cx="4907280" cy="1890211"/>
                    </a:xfrm>
                    <a:prstGeom prst="rect">
                      <a:avLst/>
                    </a:prstGeom>
                    <a:noFill/>
                    <a:ln w="9525">
                      <a:noFill/>
                      <a:headEnd/>
                      <a:tailEnd/>
                    </a:ln>
                  </pic:spPr>
                </pic:pic>
              </a:graphicData>
            </a:graphic>
          </wp:inline>
        </w:drawing>
      </w:r>
    </w:p>
    <w:p>
      <w:pPr>
        <w:pStyle w:val="ImageCaption"/>
      </w:pPr>
      <w:r>
        <w:rPr>
          <w:rFonts w:hint="eastAsia"/>
        </w:rPr>
        <w:t xml:space="preserve">短期模型时间轴与删块稳健性复核。左图比较日历日和交易日序号两种时间轴口径；右图展示同参删块后各片段误差。</w:t>
      </w:r>
    </w:p>
    <w:bookmarkEnd w:id="84"/>
    <w:bookmarkStart w:id="91" w:name="统计检验与-r-语言辅助定位"/>
    <w:p>
      <w:pPr>
        <w:pStyle w:val="Heading2"/>
      </w:pPr>
      <w:r>
        <w:rPr>
          <w:rFonts w:hint="eastAsia"/>
        </w:rPr>
        <w:t xml:space="preserve">统计检验与</w:t>
      </w:r>
      <w:r>
        <w:t xml:space="preserve"> R </w:t>
      </w:r>
      <w:r>
        <w:rPr>
          <w:rFonts w:hint="eastAsia"/>
        </w:rPr>
        <w:t xml:space="preserve">语言辅助定位</w:t>
      </w:r>
    </w:p>
    <w:p>
      <w:pPr>
        <w:pStyle w:val="FirstParagraph"/>
      </w:pPr>
      <w:r>
        <w:rPr>
          <w:rFonts w:hint="eastAsia"/>
        </w:rPr>
        <w:t xml:space="preserve">为进一步提高模型检验的严谨性，本文新增统计检验。该检验不改变短期主模型，只在剔除首日后构造可比较样本，将综合机制递推模型与朴素上一日基准进行误差和统计比较。之所以剔除首日，是因为朴素上一日基准需要上一交易日真实价格作为输入，首日没有可比预测值。因此，本节统计检验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短期模型统计检验结果</w:t>
      </w:r>
    </w:p>
    <w:tbl>
      <w:tblPr>
        <w:tblStyle w:val="Table"/>
        <w:tblW w:type="auto" w:w="0"/>
        <w:tblLook w:firstRow="1" w:lastRow="0" w:firstColumn="0" w:lastColumn="0" w:noHBand="0" w:noVBand="0" w:val="0020"/>
        <w:tblCaption w:val="短期模型统计检验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显著性边界，不作强显著性夸大</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校准诊断</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仅作拟合值与真实价格的刻画性校准诊断，不作为独立因果或样本外证明</w:t>
            </w:r>
          </w:p>
        </w:tc>
      </w:tr>
    </w:tbl>
    <w:p>
      <w:pPr>
        <w:pStyle w:val="CaptionedFigure"/>
      </w:pPr>
      <w:r>
        <w:drawing>
          <wp:inline>
            <wp:extent cx="4907280" cy="2826593"/>
            <wp:effectExtent b="0" l="0" r="0" t="0"/>
            <wp:docPr descr="" title="" id="86" name="Picture"/>
            <a:graphic>
              <a:graphicData uri="http://schemas.openxmlformats.org/drawingml/2006/picture">
                <pic:pic>
                  <pic:nvPicPr>
                    <pic:cNvPr descr="短期模型统计审计.png" id="87" name="Picture"/>
                    <pic:cNvPicPr>
                      <a:picLocks noChangeArrowheads="1" noChangeAspect="1"/>
                    </pic:cNvPicPr>
                  </pic:nvPicPr>
                  <pic:blipFill>
                    <a:blip r:embed="rId85"/>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短期模型统计检验。图中展示残差序列、残差自相关、残差分布和相对朴素基准的平方损失差。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个可比较交易日，绝对损失</w:t>
      </w:r>
      <w:r>
        <w:t xml:space="preserve"> DM </w:t>
      </w:r>
      <w:r>
        <w:rPr>
          <w:rFonts w:hint="eastAsia"/>
        </w:rPr>
        <w:t xml:space="preserve">检验也接近显著性边界，因此本文不把它写成压倒性证明，而是作为基准对比、滞后检验和机制消融之外的补充验证。Newey–West</w:t>
      </w:r>
      <w:r>
        <w:t xml:space="preserve"> </w:t>
      </w:r>
      <w:r>
        <w:rPr>
          <w:rFonts w:hint="eastAsia"/>
        </w:rPr>
        <w:t xml:space="preserve">回归仅用于刻画拟合路径与真实价格的线性一致性，不被用作独立样本外预测能力或因果识别证明。</w:t>
      </w:r>
    </w:p>
    <w:p>
      <w:pPr>
        <w:pStyle w:val="BodyText"/>
      </w:pPr>
      <w:r>
        <w:t xml:space="preserve">R </w:t>
      </w:r>
      <w:r>
        <w:rPr>
          <w:rFonts w:hint="eastAsia"/>
        </w:rPr>
        <w:t xml:space="preserve">语言用于独立复核</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稳健校准回归等计量检验。R</w:t>
      </w:r>
      <w:r>
        <w:t xml:space="preserve"> </w:t>
      </w:r>
      <w:r>
        <w:rPr>
          <w:rFonts w:hint="eastAsia"/>
        </w:rPr>
        <w:t xml:space="preserve">复核显示，价格水平和对数价格不能拒绝单位根假设，而对数收益率可拒绝单位根假设；GARCH(1,1)</w:t>
      </w:r>
      <w:r>
        <w:t xml:space="preserve"> </w:t>
      </w:r>
      <w:r>
        <w:rPr>
          <w:rFonts w:hint="eastAsia"/>
        </w:rPr>
        <w:t xml:space="preserve">在短样本下提示波动持续性，但不替代机制递推主模型。除计量检验外，本文还使用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89" name="Picture"/>
            <a:graphic>
              <a:graphicData uri="http://schemas.openxmlformats.org/drawingml/2006/picture">
                <pic:pic>
                  <pic:nvPicPr>
                    <pic:cNvPr descr="R短期误差学术诊断.png" id="90" name="Picture"/>
                    <pic:cNvPicPr>
                      <a:picLocks noChangeArrowheads="1" noChangeAspect="1"/>
                    </pic:cNvPicPr>
                  </pic:nvPicPr>
                  <pic:blipFill>
                    <a:blip r:embed="rId88"/>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91"/>
    <w:bookmarkStart w:id="92"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92"/>
    <w:bookmarkStart w:id="96"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94" name="Picture"/>
            <a:graphic>
              <a:graphicData uri="http://schemas.openxmlformats.org/drawingml/2006/picture">
                <pic:pic>
                  <pic:nvPicPr>
                    <pic:cNvPr descr="短期模型拐点局部检验.png" id="95" name="Picture"/>
                    <pic:cNvPicPr>
                      <a:picLocks noChangeArrowheads="1" noChangeAspect="1"/>
                    </pic:cNvPicPr>
                  </pic:nvPicPr>
                  <pic:blipFill>
                    <a:blip r:embed="rId93"/>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96"/>
    <w:bookmarkStart w:id="104"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美元/桶区间。这个结果意味着，价格平台并不依赖唯一一组精确参数点；但较大扰动会削弱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98" name="Picture"/>
            <a:graphic>
              <a:graphicData uri="http://schemas.openxmlformats.org/drawingml/2006/picture">
                <pic:pic>
                  <pic:nvPicPr>
                    <pic:cNvPr descr="短期模型稳健性带.png" id="99" name="Picture"/>
                    <pic:cNvPicPr>
                      <a:picLocks noChangeArrowheads="1" noChangeAspect="1"/>
                    </pic:cNvPicPr>
                  </pic:nvPicPr>
                  <pic:blipFill>
                    <a:blip r:embed="rId97"/>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p>
      <w:pPr>
        <w:pStyle w:val="BodyText"/>
      </w:pPr>
      <w:r>
        <w:rPr>
          <w:rFonts w:hint="eastAsia"/>
        </w:rPr>
        <w:t xml:space="preserve">最后，本文将短期模型质量拆成拟合精度、基准优势、机器学习辅助、历史滚动验证、滞后复制风险、拐点解释、分段稳定性、参数稳健性和残差结构九个维度，形成最终质量闸门，汇总结果见图</w:t>
      </w:r>
      <w:r>
        <w:t xml:space="preserve"> </w:t>
      </w:r>
      <w:hyperlink w:anchor="fig:short-quality-gate">
        <w:r>
          <w:rPr>
            <w:rStyle w:val="Hyperlink"/>
          </w:rPr>
          <w:t xml:space="preserve">3</w:t>
        </w:r>
      </w:hyperlink>
      <w:r>
        <w:rPr>
          <w:rFonts w:hint="eastAsia"/>
        </w:rPr>
        <w:t xml:space="preserve">。当前平均评分为</w:t>
      </w:r>
      <w:r>
        <w:t xml:space="preserve"> </w:t>
      </w:r>
      <w:r>
        <w:rPr>
          <w:rFonts w:hint="eastAsia"/>
        </w:rPr>
        <w:t xml:space="preserve">4.54/5，其中</w:t>
      </w:r>
      <w:r>
        <w:t xml:space="preserve"> 5 </w:t>
      </w:r>
      <w:r>
        <w:rPr>
          <w:rFonts w:hint="eastAsia"/>
        </w:rPr>
        <w:t xml:space="preserve">个维度直接通过、4</w:t>
      </w:r>
      <w:r>
        <w:t xml:space="preserve"> </w:t>
      </w:r>
      <w:r>
        <w:rPr>
          <w:rFonts w:hint="eastAsia"/>
        </w:rPr>
        <w:t xml:space="preserve">个维度谨慎通过。谨慎通过项主要对应机器学习辅助的边界、拐点幅度不能完全捕捉以及金融残差的波动聚集迹象；这些并不推翻主模型，而是限定了论文表述边界。</w:t>
      </w:r>
    </w:p>
    <w:bookmarkStart w:id="103" w:name="fig:short-quality-gate"/>
    <w:p>
      <w:pPr>
        <w:pStyle w:val="CaptionedFigure"/>
      </w:pPr>
      <w:r>
        <w:drawing>
          <wp:inline>
            <wp:extent cx="4160520" cy="3874484"/>
            <wp:effectExtent b="0" l="0" r="0" t="0"/>
            <wp:docPr descr="" title="" id="101" name="Picture"/>
            <a:graphic>
              <a:graphicData uri="http://schemas.openxmlformats.org/drawingml/2006/picture">
                <pic:pic>
                  <pic:nvPicPr>
                    <pic:cNvPr descr="短期模型最终质量雷达图.png" id="102" name="Picture"/>
                    <pic:cNvPicPr>
                      <a:picLocks noChangeArrowheads="1" noChangeAspect="1"/>
                    </pic:cNvPicPr>
                  </pic:nvPicPr>
                  <pic:blipFill>
                    <a:blip r:embed="rId100"/>
                    <a:stretch>
                      <a:fillRect/>
                    </a:stretch>
                  </pic:blipFill>
                  <pic:spPr bwMode="auto">
                    <a:xfrm>
                      <a:off x="0" y="0"/>
                      <a:ext cx="4160520" cy="3874484"/>
                    </a:xfrm>
                    <a:prstGeom prst="rect">
                      <a:avLst/>
                    </a:prstGeom>
                    <a:noFill/>
                    <a:ln w="9525">
                      <a:noFill/>
                      <a:headEnd/>
                      <a:tailEnd/>
                    </a:ln>
                  </pic:spPr>
                </pic:pic>
              </a:graphicData>
            </a:graphic>
          </wp:inline>
        </w:drawing>
      </w:r>
    </w:p>
    <w:p>
      <w:pPr>
        <w:pStyle w:val="ImageCaption"/>
      </w:pPr>
      <w:r>
        <w:rPr>
          <w:rFonts w:hint="eastAsia"/>
        </w:rPr>
        <w:t xml:space="preserve">短期模型最终质量闸门评分。该图用于汇总短期模型在拟合、基准、稳健性和边界检验上的综合表现。</w:t>
      </w:r>
    </w:p>
    <w:bookmarkEnd w:id="103"/>
    <w:bookmarkEnd w:id="104"/>
    <w:bookmarkStart w:id="105" w:name="内生性反事实基准与结构边界"/>
    <w:p>
      <w:pPr>
        <w:pStyle w:val="Heading2"/>
      </w:pPr>
      <w:r>
        <w:rPr>
          <w:rFonts w:hint="eastAsia"/>
        </w:rPr>
        <w:t xml:space="preserve">内生性、反事实基准与结构边界</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线性需求反事实基准，而不是现实预测；常弹性需求口径只作为机械上界参照。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时，线性需求反事实价格会明显下降，部分情景已经接近或低于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“低短期弹性静态供需模型会显著高估现实价格，必须引入库存、SPR、绕道、需求收缩、价格传导折价和预期修复等动态机制解释现实平台”</w:t>
      </w:r>
      <w:r>
        <w:t xml:space="preserve">。</w:t>
      </w:r>
    </w:p>
    <w:p>
      <w:pPr>
        <w:pStyle w:val="BodyText"/>
      </w:pPr>
      <w:r>
        <w:rPr>
          <w:rFonts w:hint="eastAsia"/>
        </w:rPr>
        <w:t xml:space="preserve">最后，本文检查递推结构的价格边界。短期动态递推函数中不存在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美元只作为题面观测参考区间出现在图表阴影和展示配置中，不参与价格递推计算。需要强调的是，当前模型也不是严格意义上的微观多智能体涌现模型，更准确的表述应是机制递推模型；本文可以说明</w:t>
      </w:r>
      <w:r>
        <w:t xml:space="preserve"> 120 </w:t>
      </w:r>
      <w:r>
        <w:rPr>
          <w:rFonts w:hint="eastAsia"/>
        </w:rPr>
        <w:t xml:space="preserve">美元平台不是外生价格上限，但不声称已经实现了多智能体动态纳什均衡。</w:t>
      </w:r>
    </w:p>
    <w:bookmarkEnd w:id="105"/>
    <w:bookmarkStart w:id="107" w:name="鲁棒性与边界检验总览"/>
    <w:p>
      <w:pPr>
        <w:pStyle w:val="Heading2"/>
      </w:pPr>
      <w:r>
        <w:rPr>
          <w:rFonts w:hint="eastAsia"/>
        </w:rPr>
        <w:t xml:space="preserve">鲁棒性与边界检验总览</w:t>
      </w:r>
    </w:p>
    <w:p>
      <w:pPr>
        <w:pStyle w:val="FirstParagraph"/>
      </w:pPr>
      <w:r>
        <w:rPr>
          <w:rFonts w:hint="eastAsia"/>
        </w:rPr>
        <w:t xml:space="preserve">为避免模型检验只呈现有利指标，本文将关键不确定性来源转化为鲁棒性与边界检验。表</w:t>
      </w:r>
      <w:r>
        <w:t xml:space="preserve"> </w:t>
      </w:r>
      <w:hyperlink w:anchor="tab:adversarial-tests">
        <w:r>
          <w:rPr>
            <w:rStyle w:val="Hyperlink"/>
          </w:rPr>
          <w:t xml:space="preserve">3</w:t>
        </w:r>
      </w:hyperlink>
      <w:r>
        <w:t xml:space="preserve"> </w:t>
      </w:r>
      <w:r>
        <w:rPr>
          <w:rFonts w:hint="eastAsia"/>
        </w:rPr>
        <w:t xml:space="preserve">中的检验均不重新寻找最优参数，而是在同一模型框架下改变某个关键条件，观察主结论是否保持稳定。</w:t>
      </w:r>
    </w:p>
    <w:bookmarkStart w:id="106" w:name="tab:adversarial-tests"/>
    <w:p>
      <w:pPr>
        <w:pStyle w:val="TableCaption"/>
      </w:pPr>
      <w:r>
        <w:rPr>
          <w:rFonts w:hint="eastAsia"/>
        </w:rPr>
        <w:t xml:space="preserve">鲁棒性与边界检验总览</w:t>
      </w:r>
    </w:p>
    <w:tbl>
      <w:tblPr>
        <w:tblStyle w:val="Table"/>
        <w:tblW w:type="auto" w:w="0"/>
        <w:tblLook w:firstRow="1" w:lastRow="0" w:firstColumn="0" w:lastColumn="0" w:noHBand="0" w:noVBand="0" w:val="0020"/>
        <w:tblCaption w:val="鲁棒性与边界检验总览"/>
      </w:tblPr>
      <w:tblGrid>
        <w:gridCol w:w="1980"/>
        <w:gridCol w:w="1980"/>
        <w:gridCol w:w="1980"/>
        <w:gridCol w:w="1980"/>
      </w:tblGrid>
      <w:tr>
        <w:trPr>
          <w:tblHeader w:val="on"/>
        </w:trPr>
        <w:tc>
          <w:tcPr/>
          <w:p>
            <w:pPr>
              <w:pStyle w:val="Compact"/>
              <w:jc w:val="left"/>
            </w:pPr>
            <w:r>
              <w:rPr>
                <w:rFonts w:hint="eastAsia"/>
              </w:rPr>
              <w:t xml:space="preserve">检验假设</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相对朴素基准的有效性</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机制递推模型相对无变化预测具有误差优势</w:t>
            </w:r>
          </w:p>
        </w:tc>
      </w:tr>
      <w:tr>
        <w:tc>
          <w:tcPr/>
          <w:p>
            <w:pPr>
              <w:pStyle w:val="Compact"/>
              <w:jc w:val="left"/>
            </w:pPr>
            <w:r>
              <w:rPr>
                <w:rFonts w:hint="eastAsia"/>
              </w:rPr>
              <w:t xml:space="preserve">滞后复制风险</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题面弹性与价格传导的区分</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参数扰动稳定性</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价格平台不依赖唯一一组参数点</w:t>
            </w:r>
          </w:p>
        </w:tc>
      </w:tr>
      <w:tr>
        <w:tc>
          <w:tcPr/>
          <w:p>
            <w:pPr>
              <w:pStyle w:val="Compact"/>
              <w:jc w:val="left"/>
            </w:pPr>
            <w:r>
              <w:rPr>
                <w:rFonts w:hint="eastAsia"/>
              </w:rPr>
              <w:t xml:space="preserve">长期点预测边界</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89.58–106.44 </w:t>
            </w:r>
            <w:r>
              <w:rPr>
                <w:rFonts w:hint="eastAsia"/>
              </w:rPr>
              <w:t xml:space="preserve">美元/桶，突破</w:t>
            </w:r>
            <w:r>
              <w:t xml:space="preserve"> 120 </w:t>
            </w:r>
            <w:r>
              <w:rPr>
                <w:rFonts w:hint="eastAsia"/>
              </w:rPr>
              <w:t xml:space="preserve">概率约</w:t>
            </w:r>
            <w:r>
              <w:t xml:space="preserve"> 16.3%</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长期制度风险边界</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106"/>
    <w:bookmarkEnd w:id="107"/>
    <w:bookmarkEnd w:id="108"/>
    <w:bookmarkStart w:id="128" w:name="天三情景预测"/>
    <w:p>
      <w:pPr>
        <w:pStyle w:val="Heading1"/>
      </w:pPr>
      <w:r>
        <w:t xml:space="preserve">60–180 </w:t>
      </w:r>
      <w:r>
        <w:rPr>
          <w:rFonts w:hint="eastAsia"/>
        </w:rPr>
        <w:t xml:space="preserve">天三情景预测</w:t>
      </w:r>
    </w:p>
    <w:bookmarkStart w:id="109"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长期部分不能称为</w:t>
      </w:r>
      <w:r>
        <w:rPr>
          <w:rFonts w:hint="eastAsia"/>
        </w:rPr>
        <w:t xml:space="preserve">“拟合”</w:t>
      </w:r>
      <w:r>
        <w:rPr>
          <w:rFonts w:hint="eastAsia"/>
        </w:rPr>
        <w:t xml:space="preserve">：赛题附件只提供到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的表述。三情景曲线表示条件中心路径，而不是未来每日收盘价的精确点预测；其可信度由机制一致性、官方外生数据校验、敏感性分析、蒙特卡洛概率区间和状态转移扰动共同评价。</w:t>
      </w:r>
    </w:p>
    <w:p>
      <w:pPr>
        <w:pStyle w:val="BodyText"/>
      </w:pPr>
      <w:r>
        <w:rPr>
          <w:rFonts w:hint="eastAsia"/>
        </w:rPr>
        <w:t xml:space="preserve">长短期模型并非两套互不相干的模型。短期部分使用同一套物理缺口和市场价格形成递推式，回答封锁初期价格平台如何形成；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风险侧：恐慌溢价逐步衰减，不确定性溢价拆分为前期冲击不确定性和持续封锁制度风险，避免把长期价格简单托在一个常数平台上。</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为其他产油国增产或替代供应增量。为避免将</w:t>
      </w:r>
      <w:r>
        <w:t xml:space="preserve"> SPR </w:t>
      </w:r>
      <w:r>
        <w:rPr>
          <w:rFonts w:hint="eastAsia"/>
        </w:rPr>
        <w:t xml:space="preserve">机械地设为计划上限，本文令实际释放量随缺口和价格压力自适应收缩：</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由地缘风险溢价、前期冲击不确定性和持续封锁制度风险三部分构成，其中制度风险随未解决供应压力和时间信心恢复共同衰减，避免形成长期常数托底。</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109"/>
    <w:bookmarkStart w:id="112" w:name="长期参数来源与校验边界"/>
    <w:p>
      <w:pPr>
        <w:pStyle w:val="Heading2"/>
      </w:pPr>
      <w:r>
        <w:rPr>
          <w:rFonts w:hint="eastAsia"/>
        </w:rPr>
        <w:t xml:space="preserve">长期参数来源与校验边界</w:t>
      </w:r>
    </w:p>
    <w:p>
      <w:pPr>
        <w:pStyle w:val="FirstParagraph"/>
      </w:pPr>
      <w:r>
        <w:rPr>
          <w:rFonts w:hint="eastAsia"/>
        </w:rPr>
        <w:t xml:space="preserve">长期模型中的部分参数不是可以从附件直接读取的真实观测量，而是用于描述恢复速度、政策收缩和制度风险衰减的机制参数。为避免参数自由度过高，本文对长期参数采用三条约束：一是方向必须来自赛题机制或能源市场逻辑；二是数值只能作为基准情景假设进入，不能冒充官方统计数据；三是所有关键参数必须进入扰动区间、敏感性排序或蒙特卡洛检验。长期参数来源与校验方式见表</w:t>
      </w:r>
      <w:r>
        <w:t xml:space="preserve"> </w:t>
      </w:r>
      <w:hyperlink w:anchor="tab:long-parameter-audit">
        <w:r>
          <w:rPr>
            <w:rStyle w:val="Hyperlink"/>
          </w:rPr>
          <w:t xml:space="preserve">4</w:t>
        </w:r>
      </w:hyperlink>
      <w:r>
        <w:t xml:space="preserve">。</w:t>
      </w:r>
    </w:p>
    <w:bookmarkStart w:id="110" w:name="tab:long-parameter-audit"/>
    <w:p>
      <w:pPr>
        <w:pStyle w:val="TableCaption"/>
      </w:pPr>
      <w:r>
        <w:rPr>
          <w:rFonts w:hint="eastAsia"/>
        </w:rPr>
        <w:t xml:space="preserve">长期关键参数来源与校验方式</w:t>
      </w:r>
    </w:p>
    <w:tbl>
      <w:tblPr>
        <w:tblStyle w:val="Table"/>
        <w:tblW w:type="auto" w:w="0"/>
        <w:tblLook w:firstRow="1" w:lastRow="0" w:firstColumn="0" w:lastColumn="0" w:noHBand="0" w:noVBand="0" w:val="0020"/>
        <w:tblCaption w:val="长期关键参数来源与校验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校验方式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滞后检验、蒙特卡洛情景树和状态转移情景树合读，不作为同步价格拟合因子。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多国月度产量、进出口和炼厂产出作数量级校验。</w:t>
            </w:r>
          </w:p>
        </w:tc>
        <w:tc>
          <w:tcPr/>
          <w:p>
            <w:pPr>
              <w:pStyle w:val="Compact"/>
              <w:jc w:val="left"/>
            </w:pPr>
            <w:r>
              <w:rPr>
                <w:rFonts w:hint="eastAsia"/>
              </w:rPr>
              <w:t xml:space="preserve">只用于长期条件外推，不反向用于短期拟合；JODI</w:t>
            </w:r>
            <w:r>
              <w:t xml:space="preserve"> </w:t>
            </w:r>
            <w:r>
              <w:rPr>
                <w:rFonts w:hint="eastAsia"/>
              </w:rPr>
              <w:t xml:space="preserve">为多国上报口径，不能写成完整全球总量。</w:t>
            </w:r>
          </w:p>
        </w:tc>
      </w:tr>
    </w:tbl>
    <w:bookmarkEnd w:id="110"/>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“长期参数约束层”</w:t>
      </w:r>
      <w:r>
        <w:rPr>
          <w:rFonts w:hint="eastAsia"/>
        </w:rPr>
        <w:t xml:space="preserve">。具体做法不是用外部数据替代赛题参数，而是由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上限可信度和风险权重进行约束。得到的乘数见表</w:t>
      </w:r>
      <w:r>
        <w:t xml:space="preserve"> </w:t>
      </w:r>
      <w:hyperlink w:anchor="tab:official-factor-multipliers">
        <w:r>
          <w:rPr>
            <w:rStyle w:val="Hyperlink"/>
          </w:rPr>
          <w:t xml:space="preserve">5</w:t>
        </w:r>
      </w:hyperlink>
      <w:r>
        <w:t xml:space="preserve">。</w:t>
      </w:r>
    </w:p>
    <w:bookmarkStart w:id="111" w:name="tab:official-factor-multipliers"/>
    <w:p>
      <w:pPr>
        <w:pStyle w:val="TableCaption"/>
      </w:pPr>
      <w:r>
        <w:rPr>
          <w:rFonts w:hint="eastAsia"/>
        </w:rPr>
        <w:t xml:space="preserve">官方外生数据生成的长期参数约束因子</w:t>
      </w:r>
    </w:p>
    <w:tbl>
      <w:tblPr>
        <w:tblStyle w:val="Table"/>
        <w:tblW w:type="auto" w:w="0"/>
        <w:tblLook w:firstRow="1" w:lastRow="0" w:firstColumn="0" w:lastColumn="0" w:noHBand="0" w:noVBand="0" w:val="0020"/>
        <w:tblCaption w:val="官方外生数据生成的长期参数约束因子"/>
      </w:tblPr>
      <w:tblGrid>
        <w:gridCol w:w="2640"/>
        <w:gridCol w:w="2640"/>
        <w:gridCol w:w="2640"/>
      </w:tblGrid>
      <w:tr>
        <w:trPr>
          <w:tblHeader w:val="on"/>
        </w:trPr>
        <w:tc>
          <w:tcPr/>
          <w:p>
            <w:pPr>
              <w:pStyle w:val="Compact"/>
              <w:jc w:val="left"/>
            </w:pPr>
            <w:r>
              <w:rPr>
                <w:rFonts w:hint="eastAsia"/>
              </w:rPr>
              <w:t xml:space="preserve">约束因子</w:t>
            </w:r>
          </w:p>
        </w:tc>
        <w:tc>
          <w:tcPr/>
          <w:p>
            <w:pPr>
              <w:pStyle w:val="Compact"/>
              <w:jc w:val="right"/>
            </w:pPr>
            <w:r>
              <w:rPr>
                <w:rFonts w:hint="eastAsia"/>
              </w:rPr>
              <w:t xml:space="preserve">乘数</w:t>
            </w:r>
          </w:p>
        </w:tc>
        <w:tc>
          <w:tcPr/>
          <w:p>
            <w:pPr>
              <w:pStyle w:val="Compact"/>
              <w:jc w:val="left"/>
            </w:pPr>
            <w:r>
              <w:rPr>
                <w:rFonts w:hint="eastAsia"/>
              </w:rPr>
              <w:t xml:space="preserve">解释</w:t>
            </w:r>
          </w:p>
        </w:tc>
      </w:tr>
      <w:tr>
        <w:tc>
          <w:tcPr/>
          <w:p>
            <w:pPr>
              <w:pStyle w:val="Compact"/>
              <w:jc w:val="left"/>
            </w:pPr>
            <w:r>
              <w:rPr>
                <w:rFonts w:hint="eastAsia"/>
              </w:rPr>
              <w:t xml:space="preserve">绕道和替代贸易恢复能力</w:t>
            </w:r>
          </w:p>
        </w:tc>
        <w:tc>
          <w:tcPr/>
          <w:p>
            <w:pPr>
              <w:pStyle w:val="Compact"/>
              <w:jc w:val="right"/>
            </w:pPr>
            <w:r>
              <w:t xml:space="preserve">0.9725</w:t>
            </w:r>
          </w:p>
        </w:tc>
        <w:tc>
          <w:tcPr/>
          <w:p>
            <w:pPr>
              <w:pStyle w:val="Compact"/>
              <w:jc w:val="left"/>
            </w:pPr>
            <w:r>
              <w:t xml:space="preserve">JODI </w:t>
            </w:r>
            <w:r>
              <w:rPr>
                <w:rFonts w:hint="eastAsia"/>
              </w:rPr>
              <w:t xml:space="preserve">进出口同口径收缩，说明替代贸易恢复不宜过度乐观</w:t>
            </w:r>
          </w:p>
        </w:tc>
      </w:tr>
      <w:tr>
        <w:tc>
          <w:tcPr/>
          <w:p>
            <w:pPr>
              <w:pStyle w:val="Compact"/>
              <w:jc w:val="left"/>
            </w:pPr>
            <w:r>
              <w:rPr>
                <w:rFonts w:hint="eastAsia"/>
              </w:rPr>
              <w:t xml:space="preserve">商业库存日缓冲上限</w:t>
            </w:r>
          </w:p>
        </w:tc>
        <w:tc>
          <w:tcPr/>
          <w:p>
            <w:pPr>
              <w:pStyle w:val="Compact"/>
              <w:jc w:val="right"/>
            </w:pPr>
            <w:r>
              <w:t xml:space="preserve">1.0739</w:t>
            </w:r>
          </w:p>
        </w:tc>
        <w:tc>
          <w:tcPr/>
          <w:p>
            <w:pPr>
              <w:pStyle w:val="Compact"/>
              <w:jc w:val="left"/>
            </w:pPr>
            <w:r>
              <w:t xml:space="preserve">JODI </w:t>
            </w:r>
            <w:r>
              <w:rPr>
                <w:rFonts w:hint="eastAsia"/>
              </w:rPr>
              <w:t xml:space="preserve">原油/成品油库存和</w:t>
            </w:r>
            <w:r>
              <w:t xml:space="preserve"> EIA </w:t>
            </w:r>
            <w:r>
              <w:rPr>
                <w:rFonts w:hint="eastAsia"/>
              </w:rPr>
              <w:t xml:space="preserve">商业库存均提供缓冲数量级支撑</w:t>
            </w:r>
          </w:p>
        </w:tc>
      </w:tr>
      <w:tr>
        <w:tc>
          <w:tcPr/>
          <w:p>
            <w:pPr>
              <w:pStyle w:val="Compact"/>
              <w:jc w:val="left"/>
            </w:pPr>
            <w:r>
              <w:rPr>
                <w:rFonts w:hint="eastAsia"/>
              </w:rPr>
              <w:t xml:space="preserve">长期需求收缩幅度</w:t>
            </w:r>
          </w:p>
        </w:tc>
        <w:tc>
          <w:tcPr/>
          <w:p>
            <w:pPr>
              <w:pStyle w:val="Compact"/>
              <w:jc w:val="right"/>
            </w:pPr>
            <w:r>
              <w:t xml:space="preserve">0.9560</w:t>
            </w:r>
          </w:p>
        </w:tc>
        <w:tc>
          <w:tcPr/>
          <w:p>
            <w:pPr>
              <w:pStyle w:val="Compact"/>
              <w:jc w:val="left"/>
            </w:pPr>
            <w:r>
              <w:t xml:space="preserve">JODI </w:t>
            </w:r>
            <w:r>
              <w:rPr>
                <w:rFonts w:hint="eastAsia"/>
              </w:rPr>
              <w:t xml:space="preserve">与</w:t>
            </w:r>
            <w:r>
              <w:t xml:space="preserve"> OPEC </w:t>
            </w:r>
            <w:r>
              <w:rPr>
                <w:rFonts w:hint="eastAsia"/>
              </w:rPr>
              <w:t xml:space="preserve">均显示需求韧性，需求破坏不宜设得过强</w:t>
            </w:r>
          </w:p>
        </w:tc>
      </w:tr>
      <w:tr>
        <w:tc>
          <w:tcPr/>
          <w:p>
            <w:pPr>
              <w:pStyle w:val="Compact"/>
              <w:jc w:val="left"/>
            </w:pPr>
            <w:r>
              <w:rPr>
                <w:rFonts w:hint="eastAsia"/>
              </w:rPr>
              <w:t xml:space="preserve">长期需求弹性绝对值</w:t>
            </w:r>
          </w:p>
        </w:tc>
        <w:tc>
          <w:tcPr/>
          <w:p>
            <w:pPr>
              <w:pStyle w:val="Compact"/>
              <w:jc w:val="right"/>
            </w:pPr>
            <w:r>
              <w:t xml:space="preserve">0.9750</w:t>
            </w:r>
          </w:p>
        </w:tc>
        <w:tc>
          <w:tcPr/>
          <w:p>
            <w:pPr>
              <w:pStyle w:val="Compact"/>
              <w:jc w:val="left"/>
            </w:pPr>
            <w:r>
              <w:rPr>
                <w:rFonts w:hint="eastAsia"/>
              </w:rPr>
              <w:t xml:space="preserve">高价下需求会调整，但</w:t>
            </w:r>
            <w:r>
              <w:t xml:space="preserve"> OPEC </w:t>
            </w:r>
            <w:r>
              <w:rPr>
                <w:rFonts w:hint="eastAsia"/>
              </w:rPr>
              <w:t xml:space="preserve">正常需求增长使长期弹性略收敛</w:t>
            </w:r>
          </w:p>
        </w:tc>
      </w:tr>
      <w:tr>
        <w:tc>
          <w:tcPr/>
          <w:p>
            <w:pPr>
              <w:pStyle w:val="Compact"/>
              <w:jc w:val="left"/>
            </w:pPr>
            <w:r>
              <w:t xml:space="preserve">SPR </w:t>
            </w:r>
            <w:r>
              <w:rPr>
                <w:rFonts w:hint="eastAsia"/>
              </w:rPr>
              <w:t xml:space="preserve">释放上限可信度</w:t>
            </w:r>
          </w:p>
        </w:tc>
        <w:tc>
          <w:tcPr/>
          <w:p>
            <w:pPr>
              <w:pStyle w:val="Compact"/>
              <w:jc w:val="right"/>
            </w:pPr>
            <w:r>
              <w:t xml:space="preserve">0.9672</w:t>
            </w:r>
          </w:p>
        </w:tc>
        <w:tc>
          <w:tcPr/>
          <w:p>
            <w:pPr>
              <w:pStyle w:val="Compact"/>
              <w:jc w:val="left"/>
            </w:pPr>
            <w:r>
              <w:t xml:space="preserve">EIA </w:t>
            </w:r>
            <w:r>
              <w:rPr>
                <w:rFonts w:hint="eastAsia"/>
              </w:rPr>
              <w:t xml:space="preserve">美国</w:t>
            </w:r>
            <w:r>
              <w:t xml:space="preserve"> SPR </w:t>
            </w:r>
            <w:r>
              <w:rPr>
                <w:rFonts w:hint="eastAsia"/>
              </w:rPr>
              <w:t xml:space="preserve">实际释放较温和，因此全球协调释放上限作小幅折扣</w:t>
            </w:r>
          </w:p>
        </w:tc>
      </w:tr>
      <w:tr>
        <w:tc>
          <w:tcPr/>
          <w:p>
            <w:pPr>
              <w:pStyle w:val="Compact"/>
              <w:jc w:val="left"/>
            </w:pPr>
            <w:r>
              <w:rPr>
                <w:rFonts w:hint="eastAsia"/>
              </w:rPr>
              <w:t xml:space="preserve">贸易收缩风险权重</w:t>
            </w:r>
          </w:p>
        </w:tc>
        <w:tc>
          <w:tcPr/>
          <w:p>
            <w:pPr>
              <w:pStyle w:val="Compact"/>
              <w:jc w:val="right"/>
            </w:pPr>
            <w:r>
              <w:t xml:space="preserve">1.0543</w:t>
            </w:r>
          </w:p>
        </w:tc>
        <w:tc>
          <w:tcPr/>
          <w:p>
            <w:pPr>
              <w:pStyle w:val="Compact"/>
              <w:jc w:val="left"/>
            </w:pPr>
            <w:r>
              <w:t xml:space="preserve">JODI </w:t>
            </w:r>
            <w:r>
              <w:rPr>
                <w:rFonts w:hint="eastAsia"/>
              </w:rPr>
              <w:t xml:space="preserve">进出口收缩叠加</w:t>
            </w:r>
            <w:r>
              <w:t xml:space="preserve"> OPEC DoC </w:t>
            </w:r>
            <w:r>
              <w:rPr>
                <w:rFonts w:hint="eastAsia"/>
              </w:rPr>
              <w:t xml:space="preserve">需求差额上升，抬升尾部风险</w:t>
            </w:r>
          </w:p>
        </w:tc>
      </w:tr>
      <w:tr>
        <w:tc>
          <w:tcPr/>
          <w:p>
            <w:pPr>
              <w:pStyle w:val="Compact"/>
              <w:jc w:val="left"/>
            </w:pPr>
            <w:r>
              <w:rPr>
                <w:rFonts w:hint="eastAsia"/>
              </w:rPr>
              <w:t xml:space="preserve">长期不确定性强度</w:t>
            </w:r>
          </w:p>
        </w:tc>
        <w:tc>
          <w:tcPr/>
          <w:p>
            <w:pPr>
              <w:pStyle w:val="Compact"/>
              <w:jc w:val="right"/>
            </w:pPr>
            <w:r>
              <w:t xml:space="preserve">1.0303</w:t>
            </w:r>
          </w:p>
        </w:tc>
        <w:tc>
          <w:tcPr/>
          <w:p>
            <w:pPr>
              <w:pStyle w:val="Compact"/>
              <w:jc w:val="left"/>
            </w:pPr>
            <w:r>
              <w:rPr>
                <w:rFonts w:hint="eastAsia"/>
              </w:rPr>
              <w:t xml:space="preserve">贸易收缩和下半年需求差额峰值使制度风险略上调</w:t>
            </w:r>
          </w:p>
        </w:tc>
      </w:tr>
    </w:tbl>
    <w:bookmarkEnd w:id="111"/>
    <w:bookmarkEnd w:id="112"/>
    <w:bookmarkStart w:id="127"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94.36</w:t>
            </w:r>
          </w:p>
        </w:tc>
        <w:tc>
          <w:tcPr/>
          <w:p>
            <w:pPr>
              <w:pStyle w:val="Compact"/>
              <w:jc w:val="right"/>
            </w:pPr>
            <w:r>
              <w:t xml:space="preserve">92.79</w:t>
            </w:r>
          </w:p>
        </w:tc>
        <w:tc>
          <w:tcPr/>
          <w:p>
            <w:pPr>
              <w:pStyle w:val="Compact"/>
              <w:jc w:val="right"/>
            </w:pPr>
            <w:r>
              <w:t xml:space="preserve">87.78</w:t>
            </w:r>
          </w:p>
        </w:tc>
        <w:tc>
          <w:tcPr/>
          <w:p>
            <w:pPr>
              <w:pStyle w:val="Compact"/>
              <w:jc w:val="right"/>
            </w:pPr>
            <w:r>
              <w:t xml:space="preserve">103.79</w:t>
            </w:r>
          </w:p>
        </w:tc>
        <w:tc>
          <w:tcPr/>
          <w:p>
            <w:pPr>
              <w:pStyle w:val="Compact"/>
              <w:jc w:val="right"/>
            </w:pPr>
            <w:r>
              <w:t xml:space="preserve">92.16</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107.12</w:t>
            </w:r>
          </w:p>
        </w:tc>
        <w:tc>
          <w:tcPr/>
          <w:p>
            <w:pPr>
              <w:pStyle w:val="Compact"/>
              <w:jc w:val="right"/>
            </w:pPr>
            <w:r>
              <w:t xml:space="preserve">102.43</w:t>
            </w:r>
          </w:p>
        </w:tc>
        <w:tc>
          <w:tcPr/>
          <w:p>
            <w:pPr>
              <w:pStyle w:val="Compact"/>
              <w:jc w:val="right"/>
            </w:pPr>
            <w:r>
              <w:t xml:space="preserve">94.15</w:t>
            </w:r>
          </w:p>
        </w:tc>
        <w:tc>
          <w:tcPr/>
          <w:p>
            <w:pPr>
              <w:pStyle w:val="Compact"/>
              <w:jc w:val="right"/>
            </w:pPr>
            <w:r>
              <w:t xml:space="preserve">110.68</w:t>
            </w:r>
          </w:p>
        </w:tc>
        <w:tc>
          <w:tcPr/>
          <w:p>
            <w:pPr>
              <w:pStyle w:val="Compact"/>
              <w:jc w:val="right"/>
            </w:pPr>
            <w:r>
              <w:t xml:space="preserve">102.17</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127.81</w:t>
            </w:r>
          </w:p>
        </w:tc>
        <w:tc>
          <w:tcPr/>
          <w:p>
            <w:pPr>
              <w:pStyle w:val="Compact"/>
              <w:jc w:val="right"/>
            </w:pPr>
            <w:r>
              <w:t xml:space="preserve">118.64</w:t>
            </w:r>
          </w:p>
        </w:tc>
        <w:tc>
          <w:tcPr/>
          <w:p>
            <w:pPr>
              <w:pStyle w:val="Compact"/>
              <w:jc w:val="right"/>
            </w:pPr>
            <w:r>
              <w:t xml:space="preserve">110.16</w:t>
            </w:r>
          </w:p>
        </w:tc>
        <w:tc>
          <w:tcPr/>
          <w:p>
            <w:pPr>
              <w:pStyle w:val="Compact"/>
              <w:jc w:val="right"/>
            </w:pPr>
            <w:r>
              <w:t xml:space="preserve">133.91</w:t>
            </w:r>
          </w:p>
        </w:tc>
        <w:tc>
          <w:tcPr/>
          <w:p>
            <w:pPr>
              <w:pStyle w:val="Compact"/>
              <w:jc w:val="right"/>
            </w:pPr>
            <w:r>
              <w:t xml:space="preserve">120.01</w:t>
            </w:r>
          </w:p>
        </w:tc>
        <w:tc>
          <w:tcPr/>
          <w:p>
            <w:pPr>
              <w:pStyle w:val="Compact"/>
              <w:jc w:val="right"/>
            </w:pPr>
            <w:r>
              <w:rPr>
                <w:rFonts w:hint="eastAsia"/>
              </w:rPr>
              <w:t xml:space="preserve">高</w:t>
            </w:r>
          </w:p>
        </w:tc>
      </w:tr>
    </w:tbl>
    <w:bookmarkStart w:id="116" w:name="fig:long-term-fan"/>
    <w:p>
      <w:pPr>
        <w:pStyle w:val="CaptionedFigure"/>
      </w:pPr>
      <w:r>
        <w:drawing>
          <wp:inline>
            <wp:extent cx="5227320" cy="2777013"/>
            <wp:effectExtent b="0" l="0" r="0" t="0"/>
            <wp:docPr descr="" title="" id="114" name="Picture"/>
            <a:graphic>
              <a:graphicData uri="http://schemas.openxmlformats.org/drawingml/2006/picture">
                <pic:pic>
                  <pic:nvPicPr>
                    <pic:cNvPr descr="蒙特卡洛情景树高级组合图.png" id="115" name="Picture"/>
                    <pic:cNvPicPr>
                      <a:picLocks noChangeArrowheads="1" noChangeAspect="1"/>
                    </pic:cNvPicPr>
                  </pic:nvPicPr>
                  <pic:blipFill>
                    <a:blip r:embed="rId113"/>
                    <a:stretch>
                      <a:fillRect/>
                    </a:stretch>
                  </pic:blipFill>
                  <pic:spPr bwMode="auto">
                    <a:xfrm>
                      <a:off x="0" y="0"/>
                      <a:ext cx="5227320" cy="2777013"/>
                    </a:xfrm>
                    <a:prstGeom prst="rect">
                      <a:avLst/>
                    </a:prstGeom>
                    <a:noFill/>
                    <a:ln w="9525">
                      <a:noFill/>
                      <a:headEnd/>
                      <a:tailEnd/>
                    </a:ln>
                  </pic:spPr>
                </pic:pic>
              </a:graphicData>
            </a:graphic>
          </wp:inline>
        </w:drawing>
      </w:r>
    </w:p>
    <w:p>
      <w:pPr>
        <w:pStyle w:val="ImageCaption"/>
      </w:pPr>
      <w:r>
        <w:rPr>
          <w:rFonts w:hint="eastAsia"/>
        </w:rPr>
        <w:t xml:space="preserve">长期情景预测主图：蒙特卡洛情景树高级组合图。左侧展示中心路径、抽样路径云和</w:t>
      </w:r>
      <w:r>
        <w:t xml:space="preserve"> 5%–95% / 25%–75% </w:t>
      </w:r>
      <w:r>
        <w:rPr>
          <w:rFonts w:hint="eastAsia"/>
        </w:rPr>
        <w:t xml:space="preserve">条件区间，右上展示第</w:t>
      </w:r>
      <w:r>
        <w:t xml:space="preserve"> 180 </w:t>
      </w:r>
      <w:r>
        <w:rPr>
          <w:rFonts w:hint="eastAsia"/>
        </w:rPr>
        <w:t xml:space="preserve">天终点分布，右下展示外推期突破</w:t>
      </w:r>
      <w:r>
        <w:t xml:space="preserve"> 120、130 </w:t>
      </w:r>
      <w:r>
        <w:rPr>
          <w:rFonts w:hint="eastAsia"/>
        </w:rPr>
        <w:t xml:space="preserve">美元/桶的累计概率曲线；该图证明长期结论应读作条件区间和尾部概率，而不是单点预测。</w:t>
      </w:r>
    </w:p>
    <w:bookmarkEnd w:id="116"/>
    <w:p>
      <w:pPr>
        <w:pStyle w:val="CaptionedFigure"/>
      </w:pPr>
      <w:r>
        <w:drawing>
          <wp:inline>
            <wp:extent cx="5013960" cy="2757678"/>
            <wp:effectExtent b="0" l="0" r="0" t="0"/>
            <wp:docPr descr="" title="" id="118" name="Picture"/>
            <a:graphic>
              <a:graphicData uri="http://schemas.openxmlformats.org/drawingml/2006/picture">
                <pic:pic>
                  <pic:nvPicPr>
                    <pic:cNvPr descr="短期拟合与长期预测总览.png" id="119" name="Picture"/>
                    <pic:cNvPicPr>
                      <a:picLocks noChangeArrowheads="1" noChangeAspect="1"/>
                    </pic:cNvPicPr>
                  </pic:nvPicPr>
                  <pic:blipFill>
                    <a:blip r:embed="rId117"/>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图</w:t>
      </w:r>
      <w:r>
        <w:t xml:space="preserve"> </w:t>
      </w:r>
      <w:hyperlink w:anchor="fig:long-term-fan">
        <w:r>
          <w:rPr>
            <w:rStyle w:val="Hyperlink"/>
          </w:rPr>
          <w:t xml:space="preserve">4</w:t>
        </w:r>
      </w:hyperlink>
      <w:r>
        <w:t xml:space="preserve"> </w:t>
      </w:r>
      <w:r>
        <w:rPr>
          <w:rFonts w:hint="eastAsia"/>
        </w:rPr>
        <w:t xml:space="preserve">给出长期情景预测的主图。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与实现波动率相关性生成综合状态转移压力，用于温和提高早中期升级概率。这样得到的长期图不再是一条孤立直线，而是中心路径、状态概率和尾部区间的组合。</w:t>
      </w:r>
    </w:p>
    <w:bookmarkStart w:id="123" w:name="fig:state-transition-fan"/>
    <w:p>
      <w:pPr>
        <w:pStyle w:val="CaptionedFigure"/>
      </w:pPr>
      <w:r>
        <w:drawing>
          <wp:inline>
            <wp:extent cx="5013960" cy="3654242"/>
            <wp:effectExtent b="0" l="0" r="0" t="0"/>
            <wp:docPr descr="" title="" id="121" name="Picture"/>
            <a:graphic>
              <a:graphicData uri="http://schemas.openxmlformats.org/drawingml/2006/picture">
                <pic:pic>
                  <pic:nvPicPr>
                    <pic:cNvPr descr="长期状态转移情景树.png" id="122" name="Picture"/>
                    <pic:cNvPicPr>
                      <a:picLocks noChangeArrowheads="1" noChangeAspect="1"/>
                    </pic:cNvPicPr>
                  </pic:nvPicPr>
                  <pic:blipFill>
                    <a:blip r:embed="rId120"/>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长期状态转移情景树。上图为状态转移后的价格扇形区间，下图为缓和、维持、升级三类状态的样本占比；该图用于回应长期中性线过平的问题，并展示二次升级风险如何进入尾部区间。</w:t>
      </w:r>
    </w:p>
    <w:bookmarkEnd w:id="123"/>
    <w:p>
      <w:pPr>
        <w:pStyle w:val="BodyText"/>
      </w:pPr>
      <w:r>
        <w:rPr>
          <w:rFonts w:hint="eastAsia"/>
        </w:rPr>
        <w:t xml:space="preserve">结果显示，中性情景下价格在</w:t>
      </w:r>
      <w:r>
        <w:t xml:space="preserve"> 180 </w:t>
      </w:r>
      <w:r>
        <w:rPr>
          <w:rFonts w:hint="eastAsia"/>
        </w:rPr>
        <w:t xml:space="preserve">天附近回落至约</w:t>
      </w:r>
      <w:r>
        <w:t xml:space="preserve"> 94.15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133.91 </w:t>
      </w:r>
      <w:r>
        <w:rPr>
          <w:rFonts w:hint="eastAsia"/>
        </w:rPr>
        <w:t xml:space="preserve">美元/桶的高点。图</w:t>
      </w:r>
      <w:r>
        <w:t xml:space="preserve"> </w:t>
      </w:r>
      <w:hyperlink w:anchor="fig:state-transition-fan">
        <w:r>
          <w:rPr>
            <w:rStyle w:val="Hyperlink"/>
          </w:rPr>
          <w:t xml:space="preserve">5</w:t>
        </w:r>
      </w:hyperlink>
      <w:r>
        <w:t xml:space="preserve"> </w:t>
      </w:r>
      <w:r>
        <w:rPr>
          <w:rFonts w:hint="eastAsia"/>
        </w:rPr>
        <w:t xml:space="preserve">的状态转移增强模型进一步给出第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38.3%，说明长期中心路径的日度精度不能单独夸大，真正应关注的是尾部区间和状态切换风险。</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t xml:space="preserve">EIA </w:t>
            </w:r>
            <w:r>
              <w:rPr>
                <w:rFonts w:hint="eastAsia"/>
              </w:rPr>
              <w:t xml:space="preserve">为美国口径，JODI</w:t>
            </w:r>
            <w:r>
              <w:t xml:space="preserve"> </w:t>
            </w:r>
            <w:r>
              <w:rPr>
                <w:rFonts w:hint="eastAsia"/>
              </w:rPr>
              <w:t xml:space="preserve">为多国上报口径，OPEC</w:t>
            </w:r>
            <w:r>
              <w:t xml:space="preserve"> </w:t>
            </w:r>
            <w:r>
              <w:rPr>
                <w:rFonts w:hint="eastAsia"/>
              </w:rPr>
              <w:t xml:space="preserve">为正常基线预测，OVX</w:t>
            </w:r>
            <w:r>
              <w:t xml:space="preserve"> </w:t>
            </w:r>
            <w:r>
              <w:rPr>
                <w:rFonts w:hint="eastAsia"/>
              </w:rPr>
              <w:t xml:space="preserve">为期权市场波动预期；这些数据用于数量级和风险约束，不能直接替代赛题冲击参数</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89.58–106.44 </w:t>
            </w:r>
            <w:r>
              <w:rPr>
                <w:rFonts w:hint="eastAsia"/>
              </w:rPr>
              <w:t xml:space="preserve">美元/桶，最高价突破</w:t>
            </w:r>
            <w:r>
              <w:t xml:space="preserve"> 120 </w:t>
            </w:r>
            <w:r>
              <w:rPr>
                <w:rFonts w:hint="eastAsia"/>
              </w:rPr>
              <w:t xml:space="preserve">概率约</w:t>
            </w:r>
            <w:r>
              <w:t xml:space="preserve"> 16.3%</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概率约</w:t>
            </w:r>
            <w:r>
              <w:t xml:space="preserve"> 38.3%</w:t>
            </w:r>
          </w:p>
        </w:tc>
        <w:tc>
          <w:tcPr/>
          <w:p>
            <w:pPr>
              <w:pStyle w:val="Compact"/>
              <w:jc w:val="left"/>
            </w:pPr>
            <w:r>
              <w:rPr>
                <w:rFonts w:hint="eastAsia"/>
              </w:rPr>
              <w:t xml:space="preserve">用于解释平滑中心线之外的事件状态切换和短期扰动，不代表未来真实价格已被观测</w:t>
            </w:r>
          </w:p>
        </w:tc>
      </w:tr>
    </w:tbl>
    <w:p>
      <w:pPr>
        <w:pStyle w:val="BodyText"/>
      </w:pPr>
      <w:r>
        <w:rPr>
          <w:rFonts w:hint="eastAsia"/>
        </w:rPr>
        <w:t xml:space="preserve">从价格平衡点看，乐观情景最终回落至约</w:t>
      </w:r>
      <w:r>
        <w:t xml:space="preserve"> 87.78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94.15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释放已经从计划上限自动收缩，且物理缺口基本闭合，说明价格回落不是依赖政策变量机械满额托底。悲观情景第</w:t>
      </w:r>
      <w:r>
        <w:t xml:space="preserve"> 180 </w:t>
      </w:r>
      <w:r>
        <w:rPr>
          <w:rFonts w:hint="eastAsia"/>
        </w:rPr>
        <w:t xml:space="preserve">天仍为</w:t>
      </w:r>
      <w:r>
        <w:t xml:space="preserve"> 110.16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需要主动说明的是，中性第</w:t>
      </w:r>
      <w:r>
        <w:t xml:space="preserve"> 180 </w:t>
      </w:r>
      <w:r>
        <w:rPr>
          <w:rFonts w:hint="eastAsia"/>
        </w:rPr>
        <w:t xml:space="preserve">天物理缺口已基本闭合，但价格仍高于战前</w:t>
      </w:r>
      <w:r>
        <w:t xml:space="preserve"> 75 </w:t>
      </w:r>
      <w:r>
        <w:rPr>
          <w:rFonts w:hint="eastAsia"/>
        </w:rPr>
        <w:t xml:space="preserve">美元/桶，并非供需项失效，而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94.15 </w:t>
      </w:r>
      <w:r>
        <w:rPr>
          <w:rFonts w:hint="eastAsia"/>
        </w:rPr>
        <w:t xml:space="preserve">美元/桶不是模型声称的唯一真实价格，而是</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25" name="Picture"/>
            <a:graphic>
              <a:graphicData uri="http://schemas.openxmlformats.org/drawingml/2006/picture">
                <pic:pic>
                  <pic:nvPicPr>
                    <pic:cNvPr descr="库存与供需缺口风险.png" id="126" name="Picture"/>
                    <pic:cNvPicPr>
                      <a:picLocks noChangeArrowheads="1" noChangeAspect="1"/>
                    </pic:cNvPicPr>
                  </pic:nvPicPr>
                  <pic:blipFill>
                    <a:blip r:embed="rId124"/>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商业库存剩余量与剩余供需缺口变化。悲观情景下缓冲能力下降、剩余缺口更难闭合，因此二次跳涨风险主要来自库存约束与制度风险叠加。</w:t>
      </w:r>
    </w:p>
    <w:bookmarkEnd w:id="127"/>
    <w:bookmarkEnd w:id="128"/>
    <w:bookmarkStart w:id="168" w:name="敏感性分析"/>
    <w:p>
      <w:pPr>
        <w:pStyle w:val="Heading1"/>
      </w:pPr>
      <w:r>
        <w:rPr>
          <w:rFonts w:hint="eastAsia"/>
        </w:rPr>
        <w:t xml:space="preserve">敏感性分析</w:t>
      </w:r>
    </w:p>
    <w:bookmarkStart w:id="129"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天价格、外推期最高价、剩余供需缺口和二次跳涨风险变化。除题面物理量和行为参数外，本阶段还把长期机制强度参数单独纳入检验，避免长期结论依赖隐藏常数。综合敏感度定义为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29"/>
    <w:bookmarkStart w:id="134"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18.37</w:t>
            </w:r>
          </w:p>
        </w:tc>
        <w:tc>
          <w:tcPr/>
          <w:p>
            <w:pPr>
              <w:pStyle w:val="Compact"/>
              <w:jc w:val="right"/>
            </w:pPr>
            <w:r>
              <w:t xml:space="preserve">14.93</w:t>
            </w:r>
          </w:p>
        </w:tc>
        <w:tc>
          <w:tcPr/>
          <w:p>
            <w:pPr>
              <w:pStyle w:val="Compact"/>
              <w:jc w:val="right"/>
            </w:pPr>
            <w:r>
              <w:t xml:space="preserve">7.65</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11.48</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10.04</w:t>
            </w:r>
          </w:p>
        </w:tc>
        <w:tc>
          <w:tcPr/>
          <w:p>
            <w:pPr>
              <w:pStyle w:val="Compact"/>
              <w:jc w:val="right"/>
            </w:pPr>
            <w:r>
              <w:t xml:space="preserve">4.94</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6.68</w:t>
            </w:r>
          </w:p>
        </w:tc>
        <w:tc>
          <w:tcPr/>
          <w:p>
            <w:pPr>
              <w:pStyle w:val="Compact"/>
              <w:jc w:val="right"/>
            </w:pPr>
            <w:r>
              <w:t xml:space="preserve">5.21</w:t>
            </w:r>
          </w:p>
        </w:tc>
        <w:tc>
          <w:tcPr/>
          <w:p>
            <w:pPr>
              <w:pStyle w:val="Compact"/>
              <w:jc w:val="right"/>
            </w:pPr>
            <w:r>
              <w:t xml:space="preserve">3.27</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6.17</w:t>
            </w:r>
          </w:p>
        </w:tc>
        <w:tc>
          <w:tcPr/>
          <w:p>
            <w:pPr>
              <w:pStyle w:val="Compact"/>
              <w:jc w:val="right"/>
            </w:pPr>
            <w:r>
              <w:t xml:space="preserve">3.39</w:t>
            </w:r>
          </w:p>
        </w:tc>
        <w:tc>
          <w:tcPr/>
          <w:p>
            <w:pPr>
              <w:pStyle w:val="Compact"/>
              <w:jc w:val="right"/>
            </w:pPr>
            <w:r>
              <w:t xml:space="preserve">6.18</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3.82</w:t>
            </w:r>
          </w:p>
        </w:tc>
        <w:tc>
          <w:tcPr/>
          <w:p>
            <w:pPr>
              <w:pStyle w:val="Compact"/>
              <w:jc w:val="right"/>
            </w:pPr>
            <w:r>
              <w:t xml:space="preserve">3.34</w:t>
            </w:r>
          </w:p>
        </w:tc>
        <w:tc>
          <w:tcPr/>
          <w:p>
            <w:pPr>
              <w:pStyle w:val="Compact"/>
              <w:jc w:val="right"/>
            </w:pPr>
            <w:r>
              <w:t xml:space="preserve">1.07</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2.36</w:t>
            </w:r>
          </w:p>
        </w:tc>
        <w:tc>
          <w:tcPr/>
          <w:p>
            <w:pPr>
              <w:pStyle w:val="Compact"/>
              <w:jc w:val="right"/>
            </w:pPr>
            <w:r>
              <w:t xml:space="preserve">2.34</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2.13</w:t>
            </w:r>
          </w:p>
        </w:tc>
        <w:tc>
          <w:tcPr/>
          <w:p>
            <w:pPr>
              <w:pStyle w:val="Compact"/>
              <w:jc w:val="right"/>
            </w:pPr>
            <w:r>
              <w:t xml:space="preserve">1.29</w:t>
            </w:r>
          </w:p>
        </w:tc>
        <w:tc>
          <w:tcPr/>
          <w:p>
            <w:pPr>
              <w:pStyle w:val="Compact"/>
              <w:jc w:val="right"/>
            </w:pPr>
            <w:r>
              <w:t xml:space="preserve">1.86</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0.94</w:t>
            </w:r>
          </w:p>
        </w:tc>
        <w:tc>
          <w:tcPr/>
          <w:p>
            <w:pPr>
              <w:pStyle w:val="Compact"/>
              <w:jc w:val="right"/>
            </w:pPr>
            <w:r>
              <w:t xml:space="preserve">0.69</w:t>
            </w:r>
          </w:p>
        </w:tc>
        <w:tc>
          <w:tcPr/>
          <w:p>
            <w:pPr>
              <w:pStyle w:val="Compact"/>
              <w:jc w:val="right"/>
            </w:pPr>
            <w:r>
              <w:t xml:space="preserve">0.49</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0.15</w:t>
            </w:r>
          </w:p>
        </w:tc>
        <w:tc>
          <w:tcPr/>
          <w:p>
            <w:pPr>
              <w:pStyle w:val="Compact"/>
              <w:jc w:val="right"/>
            </w:pPr>
            <w:r>
              <w:t xml:space="preserve">0.00</w:t>
            </w:r>
          </w:p>
        </w:tc>
        <w:tc>
          <w:tcPr/>
          <w:p>
            <w:pPr>
              <w:pStyle w:val="Compact"/>
              <w:jc w:val="right"/>
            </w:pPr>
            <w:r>
              <w:t xml:space="preserve">0.33</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0.06</w:t>
            </w:r>
          </w:p>
        </w:tc>
        <w:tc>
          <w:tcPr/>
          <w:p>
            <w:pPr>
              <w:pStyle w:val="Compact"/>
              <w:jc w:val="right"/>
            </w:pPr>
            <w:r>
              <w:t xml:space="preserve">0.00</w:t>
            </w:r>
          </w:p>
        </w:tc>
        <w:tc>
          <w:tcPr/>
          <w:p>
            <w:pPr>
              <w:pStyle w:val="Compact"/>
              <w:jc w:val="right"/>
            </w:pPr>
            <w:r>
              <w:t xml:space="preserve">0.13</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0.05</w:t>
            </w:r>
          </w:p>
        </w:tc>
      </w:tr>
      <w:tr>
        <w:tc>
          <w:tcPr/>
          <w:p>
            <w:pPr>
              <w:pStyle w:val="Compact"/>
              <w:jc w:val="right"/>
            </w:pPr>
            <w:r>
              <w:t xml:space="preserve">16</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bookmarkStart w:id="133" w:name="fig:sensitivity-tornado"/>
    <w:p>
      <w:pPr>
        <w:pStyle w:val="CaptionedFigure"/>
      </w:pPr>
      <w:r>
        <w:drawing>
          <wp:inline>
            <wp:extent cx="4907280" cy="2998893"/>
            <wp:effectExtent b="0" l="0" r="0" t="0"/>
            <wp:docPr descr="" title="" id="131" name="Picture"/>
            <a:graphic>
              <a:graphicData uri="http://schemas.openxmlformats.org/drawingml/2006/picture">
                <pic:pic>
                  <pic:nvPicPr>
                    <pic:cNvPr descr="参数敏感性龙卷风图.png" id="132" name="Picture"/>
                    <pic:cNvPicPr>
                      <a:picLocks noChangeArrowheads="1" noChangeAspect="1"/>
                    </pic:cNvPicPr>
                  </pic:nvPicPr>
                  <pic:blipFill>
                    <a:blip r:embed="rId130"/>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关键参数综合敏感度排序。封锁风险衰减速度、地缘风险权重和制度风险强度排名靠前，说明长期结论主要受市场吸收封锁风险的速度控制。</w:t>
      </w:r>
    </w:p>
    <w:bookmarkEnd w:id="133"/>
    <w:p>
      <w:pPr>
        <w:pStyle w:val="BodyText"/>
      </w:pPr>
      <w:r>
        <w:rPr>
          <w:rFonts w:hint="eastAsia"/>
        </w:rPr>
        <w:t xml:space="preserve">敏感性分析表明，第</w:t>
      </w:r>
      <w:r>
        <w:t xml:space="preserve"> 180 </w:t>
      </w:r>
      <w:r>
        <w:rPr>
          <w:rFonts w:hint="eastAsia"/>
        </w:rPr>
        <w:t xml:space="preserve">天终点价格对市场风险吸收速度最敏感。图</w:t>
      </w:r>
      <w:r>
        <w:t xml:space="preserve"> </w:t>
      </w:r>
      <w:hyperlink w:anchor="fig:sensitivity-tornado">
        <w:r>
          <w:rPr>
            <w:rStyle w:val="Hyperlink"/>
          </w:rPr>
          <w:t xml:space="preserve">6</w:t>
        </w:r>
      </w:hyperlink>
      <w:r>
        <w:t xml:space="preserve"> </w:t>
      </w:r>
      <w:r>
        <w:rPr>
          <w:rFonts w:hint="eastAsia"/>
        </w:rPr>
        <w:t xml:space="preserve">中，封锁风险衰减速度从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14.93 </w:t>
      </w:r>
      <w:r>
        <w:rPr>
          <w:rFonts w:hint="eastAsia"/>
        </w:rPr>
        <w:t xml:space="preserve">美元/桶，说明长期中心路径的关键不只是物理缺口何时闭合，而是市场多快把封锁状态从突发风险重新定价为可管理的制度风险。地缘风险权重和不确定性与制度风险强度仍保持高敏感，供应中断量决定价格上行压力的物理底座。新增的长期机制透明层中，制度风险占比和信心恢复后风险底座具有可观影响；过剩供给回归强度和</w:t>
      </w:r>
      <w:r>
        <w:t xml:space="preserve"> SPR </w:t>
      </w:r>
      <w:r>
        <w:rPr>
          <w:rFonts w:hint="eastAsia"/>
        </w:rPr>
        <w:t xml:space="preserve">收缩起点敏感度很低，说明当前中性路径的价格回落主要来自风险溢价衰减和需求再平衡，而不是依靠轻微供给过剩或人为设定的</w:t>
      </w:r>
      <w:r>
        <w:t xml:space="preserve"> SPR </w:t>
      </w:r>
      <w:r>
        <w:rPr>
          <w:rFonts w:hint="eastAsia"/>
        </w:rPr>
        <w:t xml:space="preserve">时间开关。SPR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134"/>
    <w:bookmarkStart w:id="145"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BodyText"/>
      </w:pPr>
      <w:r>
        <w:rPr>
          <w:rFonts w:hint="eastAsia"/>
        </w:rPr>
        <w:t xml:space="preserve">需要说明的是，蒙特卡洛抽样并不把所有参数视为彼此独立。本文通过综合压力指数引入方向一致的相关结构：高压状态下，供应中断更大、政策缓冲更弱、运输恢复更慢、风险溢价更高；低压状态下则相反。因此，蒙特卡洛结果应理解为基于题面机制和历史波动尺度的条件先验分布，而不是从未来市场中估计出来的真实协方差矩阵。表中突破概率也是在这些条件假设下的尾部概率，不是无条件历史频率。</w:t>
      </w:r>
    </w:p>
    <w:p>
      <w:pPr>
        <w:pStyle w:val="BodyText"/>
      </w:pPr>
      <w:r>
        <w:rPr>
          <w:rFonts w:hint="eastAsia"/>
        </w:rPr>
        <w:t xml:space="preserve">为避免蒙特卡洛区间完全依赖主观设定，本文进一步利用</w:t>
      </w:r>
      <w:r>
        <w:t xml:space="preserve"> 2017–2025 </w:t>
      </w:r>
      <w:r>
        <w:rPr>
          <w:rFonts w:hint="eastAsia"/>
        </w:rPr>
        <w:t xml:space="preserve">年附件历史数据构造</w:t>
      </w:r>
      <w:r>
        <w:t xml:space="preserve"> 2146 </w:t>
      </w:r>
      <w:r>
        <w:rPr>
          <w:rFonts w:hint="eastAsia"/>
        </w:rPr>
        <w:t xml:space="preserve">个同长度窗口，校准长期扰动尺度。2026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0.073，并将状态转移日度扰动波动率校准为</w:t>
      </w:r>
      <w:r>
        <w:t xml:space="preserve"> </w:t>
      </w:r>
      <w:r>
        <w:rPr>
          <w:rFonts w:hint="eastAsia"/>
        </w:rPr>
        <w:t xml:space="preserve">0.0132。历史数据因此进入长期模型的不确定性参数层，而不直接替代霍尔木兹封锁机制。</w:t>
      </w:r>
    </w:p>
    <w:p>
      <w:pPr>
        <w:pStyle w:val="CaptionedFigure"/>
      </w:pPr>
      <w:r>
        <w:drawing>
          <wp:inline>
            <wp:extent cx="4587240" cy="1761500"/>
            <wp:effectExtent b="0" l="0" r="0" t="0"/>
            <wp:docPr descr="" title="" id="136" name="Picture"/>
            <a:graphic>
              <a:graphicData uri="http://schemas.openxmlformats.org/drawingml/2006/picture">
                <pic:pic>
                  <pic:nvPicPr>
                    <pic:cNvPr descr="历史波动参数校准.png" id="137" name="Picture"/>
                    <pic:cNvPicPr>
                      <a:picLocks noChangeArrowheads="1" noChangeAspect="1"/>
                    </pic:cNvPicPr>
                  </pic:nvPicPr>
                  <pic:blipFill>
                    <a:blip r:embed="rId135"/>
                    <a:stretch>
                      <a:fillRect/>
                    </a:stretch>
                  </pic:blipFill>
                  <pic:spPr bwMode="auto">
                    <a:xfrm>
                      <a:off x="0" y="0"/>
                      <a:ext cx="4587240" cy="1761500"/>
                    </a:xfrm>
                    <a:prstGeom prst="rect">
                      <a:avLst/>
                    </a:prstGeom>
                    <a:noFill/>
                    <a:ln w="9525">
                      <a:noFill/>
                      <a:headEnd/>
                      <a:tailEnd/>
                    </a:ln>
                  </pic:spPr>
                </pic:pic>
              </a:graphicData>
            </a:graphic>
          </wp:inline>
        </w:drawing>
      </w:r>
    </w:p>
    <w:p>
      <w:pPr>
        <w:pStyle w:val="ImageCaption"/>
      </w:pPr>
      <w:r>
        <w:rPr>
          <w:rFonts w:hint="eastAsia"/>
        </w:rPr>
        <w:t xml:space="preserve">历史波动参数校准。2017–2025</w:t>
      </w:r>
      <w:r>
        <w:t xml:space="preserve"> </w:t>
      </w:r>
      <w:r>
        <w:rPr>
          <w:rFonts w:hint="eastAsia"/>
        </w:rPr>
        <w:t xml:space="preserve">同长度窗口为长期蒙特卡洛和状态转移扰动提供历史尺度。</w:t>
      </w:r>
    </w:p>
    <w:bookmarkStart w:id="141" w:name="fig:mc-path-cloud"/>
    <w:p>
      <w:pPr>
        <w:pStyle w:val="CaptionedFigure"/>
      </w:pPr>
      <w:r>
        <w:drawing>
          <wp:inline>
            <wp:extent cx="4907280" cy="2661575"/>
            <wp:effectExtent b="0" l="0" r="0" t="0"/>
            <wp:docPr descr="" title="" id="139" name="Picture"/>
            <a:graphic>
              <a:graphicData uri="http://schemas.openxmlformats.org/drawingml/2006/picture">
                <pic:pic>
                  <pic:nvPicPr>
                    <pic:cNvPr descr="传统蒙特卡洛路径云图.png" id="140" name="Picture"/>
                    <pic:cNvPicPr>
                      <a:picLocks noChangeArrowheads="1" noChangeAspect="1"/>
                    </pic:cNvPicPr>
                  </pic:nvPicPr>
                  <pic:blipFill>
                    <a:blip r:embed="rId138"/>
                    <a:stretch>
                      <a:fillRect/>
                    </a:stretch>
                  </pic:blipFill>
                  <pic:spPr bwMode="auto">
                    <a:xfrm>
                      <a:off x="0" y="0"/>
                      <a:ext cx="4907280" cy="2661575"/>
                    </a:xfrm>
                    <a:prstGeom prst="rect">
                      <a:avLst/>
                    </a:prstGeom>
                    <a:noFill/>
                    <a:ln w="9525">
                      <a:noFill/>
                      <a:headEnd/>
                      <a:tailEnd/>
                    </a:ln>
                  </pic:spPr>
                </pic:pic>
              </a:graphicData>
            </a:graphic>
          </wp:inline>
        </w:drawing>
      </w:r>
    </w:p>
    <w:p>
      <w:pPr>
        <w:pStyle w:val="ImageCaption"/>
      </w:pPr>
      <w:r>
        <w:rPr>
          <w:rFonts w:hint="eastAsia"/>
        </w:rPr>
        <w:t xml:space="preserve">传统蒙特卡洛路径云图。图中从</w:t>
      </w:r>
      <w:r>
        <w:t xml:space="preserve"> 2000 </w:t>
      </w:r>
      <w:r>
        <w:rPr>
          <w:rFonts w:hint="eastAsia"/>
        </w:rPr>
        <w:t xml:space="preserve">条模拟路径中分层抽取代表路径，黑线为中位数路径，蓝色虚线为</w:t>
      </w:r>
      <w:r>
        <w:t xml:space="preserve"> P05/P95 </w:t>
      </w:r>
      <w:r>
        <w:rPr>
          <w:rFonts w:hint="eastAsia"/>
        </w:rPr>
        <w:t xml:space="preserve">条件边界，红色虚线为</w:t>
      </w:r>
      <w:r>
        <w:t xml:space="preserve"> 120 </w:t>
      </w:r>
      <w:r>
        <w:rPr>
          <w:rFonts w:hint="eastAsia"/>
        </w:rPr>
        <w:t xml:space="preserve">美元/桶风险线。</w:t>
      </w:r>
    </w:p>
    <w:bookmarkEnd w:id="141"/>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16.3%</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3.9%</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8.4%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89.58</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96.69</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106.44</w:t>
            </w:r>
          </w:p>
        </w:tc>
      </w:tr>
      <w:tr>
        <w:tc>
          <w:tcPr/>
          <w:p>
            <w:pPr>
              <w:pStyle w:val="Compact"/>
              <w:jc w:val="left"/>
            </w:pPr>
            <w:r>
              <w:rPr>
                <w:rFonts w:hint="eastAsia"/>
              </w:rPr>
              <w:t xml:space="preserve">外推期最高价</w:t>
            </w:r>
            <w:r>
              <w:t xml:space="preserve"> P95</w:t>
            </w:r>
          </w:p>
        </w:tc>
        <w:tc>
          <w:tcPr/>
          <w:p>
            <w:pPr>
              <w:pStyle w:val="Compact"/>
              <w:jc w:val="right"/>
            </w:pPr>
            <w:r>
              <w:t xml:space="preserve">128.53</w:t>
            </w:r>
          </w:p>
        </w:tc>
      </w:tr>
    </w:tbl>
    <w:p>
      <w:pPr>
        <w:pStyle w:val="CaptionedFigure"/>
      </w:pPr>
      <w:r>
        <w:drawing>
          <wp:inline>
            <wp:extent cx="4160520" cy="2352876"/>
            <wp:effectExtent b="0" l="0" r="0" t="0"/>
            <wp:docPr descr="" title="" id="143" name="Picture"/>
            <a:graphic>
              <a:graphicData uri="http://schemas.openxmlformats.org/drawingml/2006/picture">
                <pic:pic>
                  <pic:nvPicPr>
                    <pic:cNvPr descr="蒙特卡洛尾部风险概率.png" id="144" name="Picture"/>
                    <pic:cNvPicPr>
                      <a:picLocks noChangeArrowheads="1" noChangeAspect="1"/>
                    </pic:cNvPicPr>
                  </pic:nvPicPr>
                  <pic:blipFill>
                    <a:blip r:embed="rId142"/>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蒙特卡洛尾部风险概率。突破阈值概率随外推时间变化，说明长期模型应报告条件尾部风险，而不是只给单条中性预测线。</w:t>
      </w:r>
    </w:p>
    <w:p>
      <w:pPr>
        <w:pStyle w:val="BodyText"/>
      </w:pPr>
      <w:r>
        <w:rPr>
          <w:rFonts w:hint="eastAsia"/>
        </w:rPr>
        <w:t xml:space="preserve">结果表明，蒙特卡洛路径的第</w:t>
      </w:r>
      <w:r>
        <w:t xml:space="preserve"> 180 </w:t>
      </w:r>
      <w:r>
        <w:rPr>
          <w:rFonts w:hint="eastAsia"/>
        </w:rPr>
        <w:t xml:space="preserve">天中位数价格为</w:t>
      </w:r>
      <w:r>
        <w:t xml:space="preserve"> 96.69 </w:t>
      </w:r>
      <w:r>
        <w:rPr>
          <w:rFonts w:hint="eastAsia"/>
        </w:rPr>
        <w:t xml:space="preserve">美元/桶，与接入官方外生约束和</w:t>
      </w:r>
      <w:r>
        <w:t xml:space="preserve"> OVX </w:t>
      </w:r>
      <w:r>
        <w:rPr>
          <w:rFonts w:hint="eastAsia"/>
        </w:rPr>
        <w:t xml:space="preserve">后的中性情景</w:t>
      </w:r>
      <w:r>
        <w:t xml:space="preserve"> 94.15 </w:t>
      </w:r>
      <w:r>
        <w:rPr>
          <w:rFonts w:hint="eastAsia"/>
        </w:rPr>
        <w:t xml:space="preserve">美元/桶处在同一数量级，说明中性路径不是孤立的单点调参结果。与此同时，外推期最高价突破</w:t>
      </w:r>
      <w:r>
        <w:t xml:space="preserve"> 120 </w:t>
      </w:r>
      <w:r>
        <w:rPr>
          <w:rFonts w:hint="eastAsia"/>
        </w:rPr>
        <w:t xml:space="preserve">美元/桶的概率为</w:t>
      </w:r>
      <w:r>
        <w:t xml:space="preserve"> </w:t>
      </w:r>
      <w:r>
        <w:rPr>
          <w:rFonts w:hint="eastAsia"/>
        </w:rPr>
        <w:t xml:space="preserve">16.3%，突破</w:t>
      </w:r>
      <w:r>
        <w:t xml:space="preserve"> 130 </w:t>
      </w:r>
      <w:r>
        <w:rPr>
          <w:rFonts w:hint="eastAsia"/>
        </w:rPr>
        <w:t xml:space="preserve">美元/桶的概率为</w:t>
      </w:r>
      <w:r>
        <w:t xml:space="preserve"> </w:t>
      </w:r>
      <w:r>
        <w:rPr>
          <w:rFonts w:hint="eastAsia"/>
        </w:rPr>
        <w:t xml:space="preserve">3.9%。这说明长期风险的重点不是中性点预测本身，而是多因素联动恶化下的尾部组合风险；OVX</w:t>
      </w:r>
      <w:r>
        <w:t xml:space="preserve"> </w:t>
      </w:r>
      <w:r>
        <w:rPr>
          <w:rFonts w:hint="eastAsia"/>
        </w:rPr>
        <w:t xml:space="preserve">接入后，模型对市场隐含波动率给出的尾部定价更加敏感。</w:t>
      </w:r>
    </w:p>
    <w:bookmarkEnd w:id="145"/>
    <w:bookmarkStart w:id="149"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为状态切换时的跳变项。状态转移概率</w:t>
      </w:r>
      <w:r>
        <w:t xml:space="preserve"> </w:t>
      </w:r>
      <m:oMath>
        <m:sSub>
          <m:e>
            <m:r>
              <m:t>m</m:t>
            </m:r>
          </m:e>
          <m:sub>
            <m:r>
              <m:t>i</m:t>
            </m:r>
            <m:r>
              <m:t>j</m:t>
            </m:r>
          </m:sub>
        </m:sSub>
        <m:r>
          <m:rPr>
            <m:sty m:val="p"/>
          </m:rPr>
          <m:t>(</m:t>
        </m:r>
        <m:r>
          <m:t>t</m:t>
        </m:r>
        <m:r>
          <m:rPr>
            <m:sty m:val="p"/>
          </m:rPr>
          <m:t>)</m:t>
        </m:r>
      </m:oMath>
      <w:r>
        <w:t xml:space="preserve"> </w:t>
      </w:r>
      <w:r>
        <w:rPr>
          <w:rFonts w:hint="eastAsia"/>
        </w:rPr>
        <w:t xml:space="preserve">还受到</w:t>
      </w:r>
      <w:r>
        <w:t xml:space="preserve"> GPR </w:t>
      </w:r>
      <w:r>
        <w:rPr>
          <w:rFonts w:hint="eastAsia"/>
        </w:rPr>
        <w:t xml:space="preserve">与</w:t>
      </w:r>
      <w:r>
        <w:t xml:space="preserve"> OVX </w:t>
      </w:r>
      <w:r>
        <w:rPr>
          <w:rFonts w:hint="eastAsia"/>
        </w:rPr>
        <w:t xml:space="preserve">生成的综合状态转移压力约束：GPR</w:t>
      </w:r>
      <w:r>
        <w:t xml:space="preserve"> </w:t>
      </w:r>
      <w:r>
        <w:rPr>
          <w:rFonts w:hint="eastAsia"/>
        </w:rPr>
        <w:t xml:space="preserve">反映地缘风险高位，OVX</w:t>
      </w:r>
      <w:r>
        <w:t xml:space="preserve"> </w:t>
      </w:r>
      <w:r>
        <w:rPr>
          <w:rFonts w:hint="eastAsia"/>
        </w:rPr>
        <w:t xml:space="preserve">反映期权市场对未来波动的定价，二者只温和提高早中期升级概率，并随外推时间衰减。该设定的含义是：长期物理机制决定价格中枢，事件状态切换决定价格围绕中枢的震荡和局部跳变。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89.58 </w:t>
      </w:r>
      <w:r>
        <w:rPr>
          <w:rFonts w:hint="eastAsia"/>
        </w:rPr>
        <w:t xml:space="preserve">美元/桶，5%–95%</w:t>
      </w:r>
      <w:r>
        <w:t xml:space="preserve"> </w:t>
      </w:r>
      <w:r>
        <w:rPr>
          <w:rFonts w:hint="eastAsia"/>
        </w:rPr>
        <w:t xml:space="preserve">条件区间为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38.3%，突破</w:t>
      </w:r>
      <w:r>
        <w:t xml:space="preserve"> 130 </w:t>
      </w:r>
      <w:r>
        <w:rPr>
          <w:rFonts w:hint="eastAsia"/>
        </w:rPr>
        <w:t xml:space="preserve">美元/桶的条件概率为</w:t>
      </w:r>
      <w:r>
        <w:t xml:space="preserve"> </w:t>
      </w:r>
      <w:r>
        <w:rPr>
          <w:rFonts w:hint="eastAsia"/>
        </w:rPr>
        <w:t xml:space="preserve">5.7%。这说明状态切换和市场风险约束确实会放大外推期局部峰值，但不会推翻</w:t>
      </w:r>
      <w:r>
        <w:rPr>
          <w:rFonts w:hint="eastAsia"/>
        </w:rPr>
        <w:t xml:space="preserve">“中性平衡点回落、悲观尾部保留”</w:t>
      </w:r>
      <w:r>
        <w:rPr>
          <w:rFonts w:hint="eastAsia"/>
        </w:rPr>
        <w:t xml:space="preserve">的主结论。也就是说，长期模型的可信表达不应是</w:t>
      </w:r>
      <w:r>
        <w:rPr>
          <w:rFonts w:hint="eastAsia"/>
        </w:rPr>
        <w:t xml:space="preserve">“我能精确预测每天油价”</w:t>
      </w:r>
      <w:r>
        <w:rPr>
          <w:rFonts w:hint="eastAsia"/>
        </w:rPr>
        <w:t xml:space="preserve">，而应是</w:t>
      </w:r>
      <w:r>
        <w:rPr>
          <w:rFonts w:hint="eastAsia"/>
        </w:rPr>
        <w:t xml:space="preserve">“在不同冲突状态下给出可解释的中心、区间和尾部风险”</w:t>
      </w:r>
      <w:r>
        <w:t xml:space="preserve">。</w:t>
      </w:r>
    </w:p>
    <w:p>
      <w:pPr>
        <w:pStyle w:val="CaptionedFigure"/>
      </w:pPr>
      <w:r>
        <w:drawing>
          <wp:inline>
            <wp:extent cx="4907280" cy="2846222"/>
            <wp:effectExtent b="0" l="0" r="0" t="0"/>
            <wp:docPr descr="" title="" id="147" name="Picture"/>
            <a:graphic>
              <a:graphicData uri="http://schemas.openxmlformats.org/drawingml/2006/picture">
                <pic:pic>
                  <pic:nvPicPr>
                    <pic:cNvPr descr="R长期状态转移扇形图.png" id="148" name="Picture"/>
                    <pic:cNvPicPr>
                      <a:picLocks noChangeArrowheads="1" noChangeAspect="1"/>
                    </pic:cNvPicPr>
                  </pic:nvPicPr>
                  <pic:blipFill>
                    <a:blip r:embed="rId146"/>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条件区间，虚线为原中性中心路径；该图证明长期预测的可信表达是区间和状态切换，而非逐日点预测。</w:t>
      </w:r>
    </w:p>
    <w:bookmarkEnd w:id="149"/>
    <w:bookmarkStart w:id="156" w:name="滞后地缘风险指数检验"/>
    <w:p>
      <w:pPr>
        <w:pStyle w:val="Heading2"/>
      </w:pPr>
      <w:r>
        <w:rPr>
          <w:rFonts w:hint="eastAsia"/>
        </w:rPr>
        <w:t xml:space="preserve">滞后地缘风险指数检验</w:t>
      </w:r>
    </w:p>
    <w:p>
      <w:pPr>
        <w:pStyle w:val="FirstParagraph"/>
      </w:pPr>
      <w:r>
        <w:rPr>
          <w:rFonts w:hint="eastAsia"/>
        </w:rPr>
        <w:t xml:space="preserve">综合机制递推模型中包含地缘风险权重和恐慌衰减项。若直接用新闻情绪或风险指数解释同日油价，可能存在反向因果：油价上涨可能先刺激媒体报道增加，随后模型又用新闻恐慌解释油价上涨。为避免这种内生性循环，本文不把新闻爬虫数据作为短期模型输入，而是使用</w:t>
      </w:r>
      <w:r>
        <w:t xml:space="preserve"> Caldara-Iacoviello GPR </w:t>
      </w:r>
      <w:r>
        <w:rPr>
          <w:rFonts w:hint="eastAsia"/>
        </w:rPr>
        <w:t xml:space="preserve">月度指数做外部校验，并采用滞后一期口径。</w:t>
      </w:r>
    </w:p>
    <w:p>
      <w:pPr>
        <w:pStyle w:val="TableCaption"/>
      </w:pPr>
      <w:r>
        <w:rPr>
          <w:rFonts w:hint="eastAsia"/>
        </w:rPr>
        <w:t xml:space="preserve">滞后</w:t>
      </w:r>
      <w:r>
        <w:t xml:space="preserve"> GPR </w:t>
      </w:r>
      <w:r>
        <w:rPr>
          <w:rFonts w:hint="eastAsia"/>
        </w:rPr>
        <w:t xml:space="preserve">风险检验指标</w:t>
      </w:r>
    </w:p>
    <w:tbl>
      <w:tblPr>
        <w:tblStyle w:val="Table"/>
        <w:tblW w:type="auto" w:w="0"/>
        <w:tblLook w:firstRow="1" w:lastRow="0" w:firstColumn="0" w:lastColumn="0" w:noHBand="0" w:noVBand="0" w:val="0020"/>
        <w:tblCaption w:val="滞后 GPR 风险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51" name="Picture"/>
            <a:graphic>
              <a:graphicData uri="http://schemas.openxmlformats.org/drawingml/2006/picture">
                <pic:pic>
                  <pic:nvPicPr>
                    <pic:cNvPr descr="地缘风险指数滞后审计.png" id="152" name="Picture"/>
                    <pic:cNvPicPr>
                      <a:picLocks noChangeArrowheads="1" noChangeAspect="1"/>
                    </pic:cNvPicPr>
                  </pic:nvPicPr>
                  <pic:blipFill>
                    <a:blip r:embed="rId150"/>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地缘风险指数检验：同步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54" name="Picture"/>
            <a:graphic>
              <a:graphicData uri="http://schemas.openxmlformats.org/drawingml/2006/picture">
                <pic:pic>
                  <pic:nvPicPr>
                    <pic:cNvPr descr="滞后GPR与布伦特收益关系.png" id="155" name="Picture"/>
                    <pic:cNvPicPr>
                      <a:picLocks noChangeArrowheads="1" noChangeAspect="1"/>
                    </pic:cNvPicPr>
                  </pic:nvPicPr>
                  <pic:blipFill>
                    <a:blip r:embed="rId153"/>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更适合作为风险溢价外部校验，而非单独点预测模型。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处于历史高分位，说明模型中的地缘风险溢价具有外部风险指数支撑。第二，滞后</w:t>
      </w:r>
      <w:r>
        <w:t xml:space="preserve"> GPR </w:t>
      </w:r>
      <w:r>
        <w:rPr>
          <w:rFonts w:hint="eastAsia"/>
        </w:rPr>
        <w:t xml:space="preserve">对月度收益的解释力有限，因此本文不将其直接加入短期拟合，也不把风险指数写成强点预测变量。这使模型在风险解释和内生性边界之间保持较稳妥的定位。</w:t>
      </w:r>
    </w:p>
    <w:bookmarkEnd w:id="156"/>
    <w:bookmarkStart w:id="160" w:name="市场隐含波动率检验"/>
    <w:p>
      <w:pPr>
        <w:pStyle w:val="Heading2"/>
      </w:pPr>
      <w:r>
        <w:rPr>
          <w:rFonts w:hint="eastAsia"/>
        </w:rPr>
        <w:t xml:space="preserve">市场隐含波动率检验</w:t>
      </w:r>
    </w:p>
    <w:p>
      <w:pPr>
        <w:pStyle w:val="FirstParagraph"/>
      </w:pPr>
      <w:r>
        <w:t xml:space="preserve">GPR </w:t>
      </w:r>
      <w:r>
        <w:rPr>
          <w:rFonts w:hint="eastAsia"/>
        </w:rPr>
        <w:t xml:space="preserve">的优势是覆盖长期地缘政治风险叙事，但它来自新闻文本，天然存在内生性边界。为补充更接近市场交易定价的风险变量，本文接入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隐含波动率日度序列，并与附件布伦特主力合约价格进行滞后检验。</w:t>
      </w:r>
    </w:p>
    <w:p>
      <w:pPr>
        <w:pStyle w:val="TableCaption"/>
      </w:pPr>
      <w:r>
        <w:t xml:space="preserve">OVX </w:t>
      </w:r>
      <w:r>
        <w:rPr>
          <w:rFonts w:hint="eastAsia"/>
        </w:rPr>
        <w:t xml:space="preserve">市场隐含波动率检验指标</w:t>
      </w:r>
    </w:p>
    <w:tbl>
      <w:tblPr>
        <w:tblStyle w:val="Table"/>
        <w:tblW w:type="auto" w:w="0"/>
        <w:tblLook w:firstRow="1" w:lastRow="0" w:firstColumn="0" w:lastColumn="0" w:noHBand="0" w:noVBand="0" w:val="0020"/>
        <w:tblCaption w:val="OVX 市场隐含波动率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冲突窗口</w:t>
            </w:r>
            <w:r>
              <w:t xml:space="preserve"> OVX </w:t>
            </w:r>
            <w:r>
              <w:rPr>
                <w:rFonts w:hint="eastAsia"/>
              </w:rPr>
              <w:t xml:space="preserve">均值</w:t>
            </w:r>
          </w:p>
        </w:tc>
        <w:tc>
          <w:tcPr/>
          <w:p>
            <w:pPr>
              <w:pStyle w:val="Compact"/>
              <w:jc w:val="right"/>
            </w:pPr>
            <w:r>
              <w:t xml:space="preserve">87.07</w:t>
            </w:r>
          </w:p>
        </w:tc>
        <w:tc>
          <w:tcPr/>
          <w:p>
            <w:pPr>
              <w:pStyle w:val="Compact"/>
              <w:jc w:val="left"/>
            </w:pPr>
            <w:r>
              <w:rPr>
                <w:rFonts w:hint="eastAsia"/>
              </w:rPr>
              <w:t xml:space="preserve">期权市场定价出的冲突窗口平均预期波动率</w:t>
            </w:r>
          </w:p>
        </w:tc>
      </w:tr>
      <w:tr>
        <w:tc>
          <w:tcPr/>
          <w:p>
            <w:pPr>
              <w:pStyle w:val="Compact"/>
              <w:jc w:val="left"/>
            </w:pPr>
            <w:r>
              <w:rPr>
                <w:rFonts w:hint="eastAsia"/>
              </w:rPr>
              <w:t xml:space="preserve">冲突窗口</w:t>
            </w:r>
            <w:r>
              <w:t xml:space="preserve"> OVX </w:t>
            </w:r>
            <w:r>
              <w:rPr>
                <w:rFonts w:hint="eastAsia"/>
              </w:rPr>
              <w:t xml:space="preserve">最大值</w:t>
            </w:r>
          </w:p>
        </w:tc>
        <w:tc>
          <w:tcPr/>
          <w:p>
            <w:pPr>
              <w:pStyle w:val="Compact"/>
              <w:jc w:val="right"/>
            </w:pPr>
            <w:r>
              <w:t xml:space="preserve">120.91</w:t>
            </w:r>
          </w:p>
        </w:tc>
        <w:tc>
          <w:tcPr/>
          <w:p>
            <w:pPr>
              <w:pStyle w:val="Compact"/>
              <w:jc w:val="left"/>
            </w:pPr>
            <w:r>
              <w:rPr>
                <w:rFonts w:hint="eastAsia"/>
              </w:rPr>
              <w:t xml:space="preserve">冲突窗口内市场隐含波动率峰值</w:t>
            </w:r>
          </w:p>
        </w:tc>
      </w:tr>
      <w:tr>
        <w:tc>
          <w:tcPr/>
          <w:p>
            <w:pPr>
              <w:pStyle w:val="Compact"/>
              <w:jc w:val="left"/>
            </w:pPr>
            <w:r>
              <w:rPr>
                <w:rFonts w:hint="eastAsia"/>
              </w:rPr>
              <w:t xml:space="preserve">冲突窗口</w:t>
            </w:r>
            <w:r>
              <w:t xml:space="preserve"> OVX </w:t>
            </w:r>
            <w:r>
              <w:rPr>
                <w:rFonts w:hint="eastAsia"/>
              </w:rPr>
              <w:t xml:space="preserve">均值历史分位</w:t>
            </w:r>
          </w:p>
        </w:tc>
        <w:tc>
          <w:tcPr/>
          <w:p>
            <w:pPr>
              <w:pStyle w:val="Compact"/>
              <w:jc w:val="right"/>
            </w:pPr>
            <w:r>
              <w:t xml:space="preserve">97.3%</w:t>
            </w:r>
          </w:p>
        </w:tc>
        <w:tc>
          <w:tcPr/>
          <w:p>
            <w:pPr>
              <w:pStyle w:val="Compact"/>
              <w:jc w:val="left"/>
            </w:pPr>
            <w:r>
              <w:rPr>
                <w:rFonts w:hint="eastAsia"/>
              </w:rPr>
              <w:t xml:space="preserve">同长度历史窗口均值口径下的异常程度</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与绝对收益相关系数</w:t>
            </w:r>
          </w:p>
        </w:tc>
        <w:tc>
          <w:tcPr/>
          <w:p>
            <w:pPr>
              <w:pStyle w:val="Compact"/>
              <w:jc w:val="right"/>
            </w:pPr>
            <w:r>
              <w:t xml:space="preserve">0.422</w:t>
            </w:r>
          </w:p>
        </w:tc>
        <w:tc>
          <w:tcPr/>
          <w:p>
            <w:pPr>
              <w:pStyle w:val="Compact"/>
              <w:jc w:val="left"/>
            </w:pPr>
            <w:r>
              <w:rPr>
                <w:rFonts w:hint="eastAsia"/>
              </w:rPr>
              <w:t xml:space="preserve">隐含波动率对未来波动强度有解释力</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p>
        </w:tc>
        <w:tc>
          <w:tcPr/>
          <w:p>
            <w:pPr>
              <w:pStyle w:val="Compact"/>
              <w:jc w:val="right"/>
            </w:pPr>
            <w:r>
              <w:t xml:space="preserve">0.790</w:t>
            </w:r>
          </w:p>
        </w:tc>
        <w:tc>
          <w:tcPr/>
          <w:p>
            <w:pPr>
              <w:pStyle w:val="Compact"/>
              <w:jc w:val="left"/>
            </w:pPr>
            <w:r>
              <w:t xml:space="preserve">OVX </w:t>
            </w:r>
            <w:r>
              <w:rPr>
                <w:rFonts w:hint="eastAsia"/>
              </w:rPr>
              <w:t xml:space="preserve">更适合约束波动和尾部风险</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变化与收益相关系数</w:t>
            </w:r>
          </w:p>
        </w:tc>
        <w:tc>
          <w:tcPr/>
          <w:p>
            <w:pPr>
              <w:pStyle w:val="Compact"/>
              <w:jc w:val="right"/>
            </w:pPr>
            <w:r>
              <w:t xml:space="preserve">-0.074</w:t>
            </w:r>
          </w:p>
        </w:tc>
        <w:tc>
          <w:tcPr/>
          <w:p>
            <w:pPr>
              <w:pStyle w:val="Compact"/>
              <w:jc w:val="left"/>
            </w:pPr>
            <w:r>
              <w:rPr>
                <w:rFonts w:hint="eastAsia"/>
              </w:rPr>
              <w:t xml:space="preserve">不支持把</w:t>
            </w:r>
            <w:r>
              <w:t xml:space="preserve"> OVX </w:t>
            </w:r>
            <w:r>
              <w:rPr>
                <w:rFonts w:hint="eastAsia"/>
              </w:rPr>
              <w:t xml:space="preserve">包装成强方向预测变量</w:t>
            </w:r>
          </w:p>
        </w:tc>
      </w:tr>
    </w:tbl>
    <w:p>
      <w:pPr>
        <w:pStyle w:val="CaptionedFigure"/>
      </w:pPr>
      <w:r>
        <w:drawing>
          <wp:inline>
            <wp:extent cx="4907280" cy="3141983"/>
            <wp:effectExtent b="0" l="0" r="0" t="0"/>
            <wp:docPr descr="" title="" id="158" name="Picture"/>
            <a:graphic>
              <a:graphicData uri="http://schemas.openxmlformats.org/drawingml/2006/picture">
                <pic:pic>
                  <pic:nvPicPr>
                    <pic:cNvPr descr="OVX隐含波动率滞后检验.png" id="159" name="Picture"/>
                    <pic:cNvPicPr>
                      <a:picLocks noChangeArrowheads="1" noChangeAspect="1"/>
                    </pic:cNvPicPr>
                  </pic:nvPicPr>
                  <pic:blipFill>
                    <a:blip r:embed="rId157"/>
                    <a:stretch>
                      <a:fillRect/>
                    </a:stretch>
                  </pic:blipFill>
                  <pic:spPr bwMode="auto">
                    <a:xfrm>
                      <a:off x="0" y="0"/>
                      <a:ext cx="4907280" cy="3141983"/>
                    </a:xfrm>
                    <a:prstGeom prst="rect">
                      <a:avLst/>
                    </a:prstGeom>
                    <a:noFill/>
                    <a:ln w="9525">
                      <a:noFill/>
                      <a:headEnd/>
                      <a:tailEnd/>
                    </a:ln>
                  </pic:spPr>
                </pic:pic>
              </a:graphicData>
            </a:graphic>
          </wp:inline>
        </w:drawing>
      </w:r>
    </w:p>
    <w:p>
      <w:pPr>
        <w:pStyle w:val="ImageCaption"/>
      </w:pPr>
      <w:r>
        <w:t xml:space="preserve">OVX </w:t>
      </w:r>
      <w:r>
        <w:rPr>
          <w:rFonts w:hint="eastAsia"/>
        </w:rPr>
        <w:t xml:space="preserve">隐含波动率滞后检验。冲突窗口内</w:t>
      </w:r>
      <w:r>
        <w:t xml:space="preserve"> OVX </w:t>
      </w:r>
      <w:r>
        <w:rPr>
          <w:rFonts w:hint="eastAsia"/>
        </w:rPr>
        <w:t xml:space="preserve">明显升高，说明期权市场也对原油尾部风险重新定价。</w:t>
      </w:r>
    </w:p>
    <w:p>
      <w:pPr>
        <w:pStyle w:val="BodyText"/>
      </w:pPr>
      <w:r>
        <w:t xml:space="preserve">OVX </w:t>
      </w:r>
      <w:r>
        <w:rPr>
          <w:rFonts w:hint="eastAsia"/>
        </w:rPr>
        <w:t xml:space="preserve">接入长期模型的方式是克制的：它只作为长期风险权重和不确定性强度的附加乘数，而不进入短期同日拟合。具体而言，OVX</w:t>
      </w:r>
      <w:r>
        <w:t xml:space="preserve"> </w:t>
      </w:r>
      <w:r>
        <w:rPr>
          <w:rFonts w:hint="eastAsia"/>
        </w:rPr>
        <w:t xml:space="preserve">冲突窗口历史分位数和滞后</w:t>
      </w:r>
      <w:r>
        <w:t xml:space="preserve"> 1 </w:t>
      </w:r>
      <w:r>
        <w:rPr>
          <w:rFonts w:hint="eastAsia"/>
        </w:rPr>
        <w:t xml:space="preserve">日</w:t>
      </w:r>
      <w:r>
        <w:t xml:space="preserve"> OVX </w:t>
      </w:r>
      <w:r>
        <w:rPr>
          <w:rFonts w:hint="eastAsia"/>
        </w:rPr>
        <w:t xml:space="preserve">与实现波动率相关性共同生成市场风险压力，进而得到</w:t>
      </w:r>
      <w:r>
        <w:t xml:space="preserve"> OVX </w:t>
      </w:r>
      <w:r>
        <w:rPr>
          <w:rFonts w:hint="eastAsia"/>
        </w:rPr>
        <w:t xml:space="preserve">市场风险权重附加乘数</w:t>
      </w:r>
      <w:r>
        <w:t xml:space="preserve"> 1.0275 </w:t>
      </w:r>
      <w:r>
        <w:rPr>
          <w:rFonts w:hint="eastAsia"/>
        </w:rPr>
        <w:t xml:space="preserve">和</w:t>
      </w:r>
      <w:r>
        <w:t xml:space="preserve"> OVX </w:t>
      </w:r>
      <w:r>
        <w:rPr>
          <w:rFonts w:hint="eastAsia"/>
        </w:rPr>
        <w:t xml:space="preserve">不确定性强度附加乘数</w:t>
      </w:r>
      <w:r>
        <w:t xml:space="preserve"> </w:t>
      </w:r>
      <w:r>
        <w:rPr>
          <w:rFonts w:hint="eastAsia"/>
        </w:rPr>
        <w:t xml:space="preserve">1.0433。这样既利用了期权市场对风险的定价信息，又避免把隐含波动率误写成油价方向预测器。</w:t>
      </w:r>
    </w:p>
    <w:bookmarkEnd w:id="160"/>
    <w:bookmarkStart w:id="167"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62" name="Picture"/>
            <a:graphic>
              <a:graphicData uri="http://schemas.openxmlformats.org/drawingml/2006/picture">
                <pic:pic>
                  <pic:nvPicPr>
                    <pic:cNvPr descr="历史窗口极端性检验.png" id="163" name="Picture"/>
                    <pic:cNvPicPr>
                      <a:picLocks noChangeArrowheads="1" noChangeAspect="1"/>
                    </pic:cNvPicPr>
                  </pic:nvPicPr>
                  <pic:blipFill>
                    <a:blip r:embed="rId161"/>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65" name="Picture"/>
            <a:graphic>
              <a:graphicData uri="http://schemas.openxmlformats.org/drawingml/2006/picture">
                <pic:pic>
                  <pic:nvPicPr>
                    <pic:cNvPr descr="R历史基准误差分布图.png" id="166" name="Picture"/>
                    <pic:cNvPicPr>
                      <a:picLocks noChangeArrowheads="1" noChangeAspect="1"/>
                    </pic:cNvPicPr>
                  </pic:nvPicPr>
                  <pic:blipFill>
                    <a:blip r:embed="rId164"/>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历史同长度窗口基准误差分布。蓝色区间表示历史分位带，红点表示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67"/>
    <w:bookmarkEnd w:id="168"/>
    <w:bookmarkStart w:id="172" w:name="模型评价"/>
    <w:p>
      <w:pPr>
        <w:pStyle w:val="Heading1"/>
      </w:pPr>
      <w:r>
        <w:rPr>
          <w:rFonts w:hint="eastAsia"/>
        </w:rPr>
        <w:t xml:space="preserve">模型评价</w:t>
      </w:r>
    </w:p>
    <w:bookmarkStart w:id="169"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证据链完整：从附件数据清洗、传统供需基准、动态模型、校准、鲁棒性检验、三情景预测到敏感性分析均可复现。</w:t>
      </w:r>
    </w:p>
    <w:p>
      <w:pPr>
        <w:numPr>
          <w:ilvl w:val="0"/>
          <w:numId w:val="1005"/>
        </w:numPr>
      </w:pPr>
      <w:r>
        <w:rPr>
          <w:rFonts w:hint="eastAsia"/>
        </w:rPr>
        <w:t xml:space="preserve">机制解释清晰：价格平台由供应缺口、风险溢价和缓冲折价共同递推形成，而非外生给定的价格上限。</w:t>
      </w:r>
    </w:p>
    <w:p>
      <w:pPr>
        <w:numPr>
          <w:ilvl w:val="0"/>
          <w:numId w:val="1005"/>
        </w:numPr>
      </w:pPr>
      <w:r>
        <w:rPr>
          <w:rFonts w:hint="eastAsia"/>
        </w:rPr>
        <w:t xml:space="preserve">检验体系较完整：本文设置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统计检验、滞后平移检验、机制消融、参数扰动和历史同长度窗口检验。</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5"/>
        </w:numPr>
      </w:pPr>
      <w:r>
        <w:rPr>
          <w:rFonts w:hint="eastAsia"/>
        </w:rPr>
        <w:t xml:space="preserve">长期表述审慎：三情景中心线与蒙特卡洛扇形区间、状态转移情景树合读，把长期结果定位为条件中心路径、状态切换和尾部风险，而非精确日度点预测。</w:t>
      </w:r>
    </w:p>
    <w:bookmarkEnd w:id="169"/>
    <w:bookmarkStart w:id="170"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SPR、商业库存和原油产量周度数据，接入</w:t>
      </w:r>
      <w:r>
        <w:t xml:space="preserve"> JODI </w:t>
      </w:r>
      <w:r>
        <w:rPr>
          <w:rFonts w:hint="eastAsia"/>
        </w:rPr>
        <w:t xml:space="preserve">多国月度产量、库存、进出口、需求和炼厂产出，整理</w:t>
      </w:r>
      <w:r>
        <w:t xml:space="preserve"> OPEC </w:t>
      </w:r>
      <w:r>
        <w:rPr>
          <w:rFonts w:hint="eastAsia"/>
        </w:rPr>
        <w:t xml:space="preserve">公开全球供需平衡表作为长期外生约束，并进一步接入</w:t>
      </w:r>
      <w:r>
        <w:t xml:space="preserve"> OVX </w:t>
      </w:r>
      <w:r>
        <w:rPr>
          <w:rFonts w:hint="eastAsia"/>
        </w:rPr>
        <w:t xml:space="preserve">原油隐含波动率约束长期风险权重和不确定性强度；同时接入</w:t>
      </w:r>
      <w:r>
        <w:t xml:space="preserve"> GPR </w:t>
      </w:r>
      <w:r>
        <w:rPr>
          <w:rFonts w:hint="eastAsia"/>
        </w:rPr>
        <w:t xml:space="preserve">月度指数和历史滚动窗口校验地缘风险与事件极端性。但</w:t>
      </w:r>
      <w:r>
        <w:t xml:space="preserve"> JODI </w:t>
      </w:r>
      <w:r>
        <w:rPr>
          <w:rFonts w:hint="eastAsia"/>
        </w:rPr>
        <w:t xml:space="preserve">存在上报滞后和覆盖差异，OPEC</w:t>
      </w:r>
      <w:r>
        <w:t xml:space="preserve"> </w:t>
      </w:r>
      <w:r>
        <w:rPr>
          <w:rFonts w:hint="eastAsia"/>
        </w:rPr>
        <w:t xml:space="preserve">表属于正常基线预测而非封锁情景实测，OVX</w:t>
      </w:r>
      <w:r>
        <w:t xml:space="preserve"> </w:t>
      </w:r>
      <w:r>
        <w:rPr>
          <w:rFonts w:hint="eastAsia"/>
        </w:rPr>
        <w:t xml:space="preserve">反映波动率而非方向收益，仍不能替代</w:t>
      </w:r>
      <w:r>
        <w:t xml:space="preserve"> IEA </w:t>
      </w:r>
      <w:r>
        <w:rPr>
          <w:rFonts w:hint="eastAsia"/>
        </w:rPr>
        <w:t xml:space="preserve">完整授权数据库、油轮保险费、期货期限结构或高频新闻情绪等变量。</w:t>
      </w:r>
    </w:p>
    <w:p>
      <w:pPr>
        <w:numPr>
          <w:ilvl w:val="0"/>
          <w:numId w:val="1006"/>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70"/>
    <w:bookmarkStart w:id="171"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EIA、JODI </w:t>
      </w:r>
      <w:r>
        <w:rPr>
          <w:rFonts w:hint="eastAsia"/>
        </w:rPr>
        <w:t xml:space="preserve">与</w:t>
      </w:r>
      <w:r>
        <w:t xml:space="preserve"> OPEC </w:t>
      </w:r>
      <w:r>
        <w:rPr>
          <w:rFonts w:hint="eastAsia"/>
        </w:rPr>
        <w:t xml:space="preserve">校验基础上，若获得</w:t>
      </w:r>
      <w:r>
        <w:t xml:space="preserve"> IEA MODS </w:t>
      </w:r>
      <w:r>
        <w:rPr>
          <w:rFonts w:hint="eastAsia"/>
        </w:rPr>
        <w:t xml:space="preserve">等授权数据库，可进一步约束全球库存消耗速度和炼厂吞吐路径；第二，在现有</w:t>
      </w:r>
      <w:r>
        <w:t xml:space="preserve"> GPR </w:t>
      </w:r>
      <w:r>
        <w:rPr>
          <w:rFonts w:hint="eastAsia"/>
        </w:rPr>
        <w:t xml:space="preserve">和</w:t>
      </w:r>
      <w:r>
        <w:t xml:space="preserve"> OVX </w:t>
      </w:r>
      <w:r>
        <w:rPr>
          <w:rFonts w:hint="eastAsia"/>
        </w:rPr>
        <w:t xml:space="preserve">检验基础上，继续探索油轮保险费、BDTI/TD3C、期货期限结构等更接近霍尔木兹运输风险和期限定价的变量；第三，把状态转移概率从当前</w:t>
      </w:r>
      <w:r>
        <w:t xml:space="preserve"> GPR/OVX </w:t>
      </w:r>
      <w:r>
        <w:rPr>
          <w:rFonts w:hint="eastAsia"/>
        </w:rPr>
        <w:t xml:space="preserve">风险约束继续推进为由历史地缘风险、隐含波动率、期限结构和运输保险价格共同驱动的时变概率。R</w:t>
      </w:r>
      <w:r>
        <w:t xml:space="preserve"> </w:t>
      </w:r>
      <w:r>
        <w:rPr>
          <w:rFonts w:hint="eastAsia"/>
        </w:rPr>
        <w:t xml:space="preserve">语言可用于后续</w:t>
      </w:r>
      <w:r>
        <w:t xml:space="preserve"> GARCH、VAR、Granger </w:t>
      </w:r>
      <w:r>
        <w:rPr>
          <w:rFonts w:hint="eastAsia"/>
        </w:rPr>
        <w:t xml:space="preserve">和稳健标准误等计量检验，C++</w:t>
      </w:r>
      <w:r>
        <w:t xml:space="preserve"> </w:t>
      </w:r>
      <w:r>
        <w:rPr>
          <w:rFonts w:hint="eastAsia"/>
        </w:rPr>
        <w:t xml:space="preserve">多智能体仿真则只有在获得主体级行为数据时才有必要进入主线。</w:t>
      </w:r>
    </w:p>
    <w:bookmarkEnd w:id="171"/>
    <w:bookmarkEnd w:id="172"/>
    <w:bookmarkStart w:id="173"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在赛题低短期弹性假设下，线性需求反事实基准会给出约</w:t>
      </w:r>
      <w:r>
        <w:t xml:space="preserve"> 278–337 </w:t>
      </w:r>
      <w:r>
        <w:rPr>
          <w:rFonts w:hint="eastAsia"/>
        </w:rPr>
        <w:t xml:space="preserve">美元/桶的理论压力，常弹性需求口径给出更高机械上界。该结果只表示静态低弹性框架的压力上界，不表示现实市场会到达该价格。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平方损失检验和方向命中检验提供支持性统计证据，且通过滞后平移检验、机制消融和参数扰动检验，具备较好的解释力和稳定性。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美元/桶，并存在二次跳涨风险。</w:t>
      </w:r>
    </w:p>
    <w:p>
      <w:pPr>
        <w:numPr>
          <w:ilvl w:val="0"/>
          <w:numId w:val="1007"/>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7"/>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16.3%，尾部风险主要来自多因素同时恶化；状态转移情景树进一步说明，若未来冲突状态在缓和、维持和升级之间切换，并受到</w:t>
      </w:r>
      <w:r>
        <w:t xml:space="preserve"> GPR/OVX </w:t>
      </w:r>
      <w:r>
        <w:rPr>
          <w:rFonts w:hint="eastAsia"/>
        </w:rPr>
        <w:t xml:space="preserve">风险读数约束，外推期最高价</w:t>
      </w:r>
      <w:r>
        <w:t xml:space="preserve"> P95 </w:t>
      </w:r>
      <w:r>
        <w:rPr>
          <w:rFonts w:hint="eastAsia"/>
        </w:rPr>
        <w:t xml:space="preserve">约为</w:t>
      </w:r>
      <w:r>
        <w:t xml:space="preserve"> 130.51 </w:t>
      </w:r>
      <w:r>
        <w:rPr>
          <w:rFonts w:hint="eastAsia"/>
        </w:rPr>
        <w:t xml:space="preserve">美元/桶，突破</w:t>
      </w:r>
      <w:r>
        <w:t xml:space="preserve"> 120 </w:t>
      </w:r>
      <w:r>
        <w:rPr>
          <w:rFonts w:hint="eastAsia"/>
        </w:rPr>
        <w:t xml:space="preserve">美元/桶的条件概率约为</w:t>
      </w:r>
      <w:r>
        <w:t xml:space="preserve"> 38.3%。</w:t>
      </w:r>
    </w:p>
    <w:p>
      <w:pPr>
        <w:numPr>
          <w:ilvl w:val="0"/>
          <w:numId w:val="1007"/>
        </w:numPr>
      </w:pPr>
      <w:r>
        <w:t xml:space="preserve">GPR </w:t>
      </w:r>
      <w:r>
        <w:rPr>
          <w:rFonts w:hint="eastAsia"/>
        </w:rPr>
        <w:t xml:space="preserve">滞后检验显示，2026</w:t>
      </w:r>
      <w:r>
        <w:t xml:space="preserve">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检验显示冲突窗口隐含波动率均值处于同长度历史窗口约</w:t>
      </w:r>
      <w:r>
        <w:t xml:space="preserve"> 97.3% </w:t>
      </w:r>
      <w:r>
        <w:rPr>
          <w:rFonts w:hint="eastAsia"/>
        </w:rPr>
        <w:t xml:space="preserve">分位。二者支持风险溢价机制，但都不应包装成短期点预测因子。</w:t>
      </w:r>
    </w:p>
    <w:p>
      <w:pPr>
        <w:numPr>
          <w:ilvl w:val="0"/>
          <w:numId w:val="1007"/>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bookmarkEnd w:id="173"/>
    <w:bookmarkStart w:id="182"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74">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175">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176">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77">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178">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179">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180">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181">
        <w:r>
          <w:rPr>
            <w:rStyle w:val="Hyperlink"/>
          </w:rPr>
          <w:t xml:space="preserve">FRED data page</w:t>
        </w:r>
      </w:hyperlink>
      <w:r>
        <w:t xml:space="preserve">.</w:t>
      </w:r>
    </w:p>
    <w:bookmarkEnd w:id="182"/>
    <w:bookmarkStart w:id="189" w:name="附录"/>
    <w:p>
      <w:pPr>
        <w:pStyle w:val="Heading1"/>
      </w:pPr>
      <w:r>
        <w:rPr>
          <w:rFonts w:hint="eastAsia"/>
        </w:rPr>
        <w:t xml:space="preserve">附录</w:t>
      </w:r>
    </w:p>
    <w:bookmarkStart w:id="183" w:name="a.0-项目结构总览"/>
    <w:p>
      <w:pPr>
        <w:pStyle w:val="Heading2"/>
      </w:pPr>
      <w:r>
        <w:t xml:space="preserve">A.0 </w:t>
      </w:r>
      <w:r>
        <w:rPr>
          <w:rFonts w:hint="eastAsia"/>
        </w:rPr>
        <w:t xml:space="preserve">项目结构总览</w:t>
      </w:r>
    </w:p>
    <w:p>
      <w:pPr>
        <w:pStyle w:val="FirstParagraph"/>
      </w:pPr>
      <w:r>
        <w:rPr>
          <w:rFonts w:hint="eastAsia"/>
        </w:rPr>
        <w:t xml:space="preserve">本文的建模、校验、绘图和论文生成均保存在同一项目目录中。核心目录结构如下，未列出的缓存文件、临时渲染文件和历史实验文件不影响最终复现。</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 raw/              </w:t>
      </w:r>
      <w:r>
        <w:rPr>
          <w:rStyle w:val="VerbatimChar"/>
          <w:rFonts w:hint="eastAsia"/>
        </w:rPr>
        <w:t xml:space="preserve">赛题附件原始</w:t>
      </w:r>
      <w:r>
        <w:rPr>
          <w:rStyle w:val="VerbatimChar"/>
        </w:rPr>
        <w:t xml:space="preserve"> CSV</w:t>
      </w:r>
      <w:r>
        <w:br/>
      </w:r>
      <w:r>
        <w:rPr>
          <w:rStyle w:val="VerbatimChar"/>
        </w:rPr>
        <w:t xml:space="preserve">|   |-- processed/        </w:t>
      </w:r>
      <w:r>
        <w:rPr>
          <w:rStyle w:val="VerbatimChar"/>
          <w:rFonts w:hint="eastAsia"/>
        </w:rPr>
        <w:t xml:space="preserve">清洗后完整序列与冲突窗口数据</w:t>
      </w:r>
      <w:r>
        <w:br/>
      </w:r>
      <w:r>
        <w:rPr>
          <w:rStyle w:val="VerbatimChar"/>
        </w:rPr>
        <w:t xml:space="preserve">|   |-- external/         EIA、JODI、OPEC、GPR、OVX </w:t>
      </w:r>
      <w:r>
        <w:rPr>
          <w:rStyle w:val="VerbatimChar"/>
          <w:rFonts w:hint="eastAsia"/>
        </w:rPr>
        <w:t xml:space="preserve">等外部校验数据</w:t>
      </w:r>
      <w:r>
        <w:br/>
      </w:r>
      <w:r>
        <w:rPr>
          <w:rStyle w:val="VerbatimChar"/>
        </w:rPr>
        <w:t xml:space="preserve">|-- src/                  Python </w:t>
      </w:r>
      <w:r>
        <w:rPr>
          <w:rStyle w:val="VerbatimChar"/>
          <w:rFonts w:hint="eastAsia"/>
        </w:rPr>
        <w:t xml:space="preserve">建模与分析源码</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传统供需基准与短期动态模型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w:t>
      </w:r>
      <w:r>
        <w:br/>
      </w:r>
      <w:r>
        <w:rPr>
          <w:rStyle w:val="VerbatimChar"/>
        </w:rPr>
        <w:t xml:space="preserve">|   |-- build/            PDF/DOCX </w:t>
      </w:r>
      <w:r>
        <w:rPr>
          <w:rStyle w:val="VerbatimChar"/>
          <w:rFonts w:hint="eastAsia"/>
        </w:rPr>
        <w:t xml:space="preserve">一键构建脚本</w:t>
      </w:r>
      <w:r>
        <w:br/>
      </w:r>
      <w:r>
        <w:rPr>
          <w:rStyle w:val="VerbatimChar"/>
        </w:rPr>
        <w:t xml:space="preserve">|   |-- audit/            R </w:t>
      </w:r>
      <w:r>
        <w:rPr>
          <w:rStyle w:val="VerbatimChar"/>
          <w:rFonts w:hint="eastAsia"/>
        </w:rPr>
        <w:t xml:space="preserve">语言计量检验与学术图表脚本</w:t>
      </w:r>
      <w:r>
        <w:br/>
      </w:r>
      <w:r>
        <w:rPr>
          <w:rStyle w:val="VerbatimChar"/>
        </w:rPr>
        <w:t xml:space="preserve">|   |-- postprocess/      DOCX </w:t>
      </w:r>
      <w:r>
        <w:rPr>
          <w:rStyle w:val="VerbatimChar"/>
          <w:rFonts w:hint="eastAsia"/>
        </w:rPr>
        <w:t xml:space="preserve">后处理脚本</w:t>
      </w:r>
      <w:r>
        <w:br/>
      </w:r>
      <w:r>
        <w:rPr>
          <w:rStyle w:val="VerbatimChar"/>
        </w:rPr>
        <w:t xml:space="preserve">|-- paper/</w:t>
      </w:r>
      <w:r>
        <w:br/>
      </w:r>
      <w:r>
        <w:rPr>
          <w:rStyle w:val="VerbatimChar"/>
        </w:rPr>
        <w:t xml:space="preserve">|   |-- </w:t>
      </w:r>
      <w:r>
        <w:rPr>
          <w:rStyle w:val="VerbatimChar"/>
          <w:rFonts w:hint="eastAsia"/>
        </w:rPr>
        <w:t xml:space="preserve">总论文.tex</w:t>
      </w:r>
      <w:r>
        <w:rPr>
          <w:rStyle w:val="VerbatimChar"/>
        </w:rPr>
        <w:t xml:space="preserve">        </w:t>
      </w:r>
      <w:r>
        <w:rPr>
          <w:rStyle w:val="VerbatimChar"/>
          <w:rFonts w:hint="eastAsia"/>
        </w:rPr>
        <w:t xml:space="preserve">最终论文主控文件</w:t>
      </w:r>
      <w:r>
        <w:br/>
      </w:r>
      <w:r>
        <w:rPr>
          <w:rStyle w:val="VerbatimChar"/>
        </w:rPr>
        <w:t xml:space="preserve">|   |-- sections/         </w:t>
      </w:r>
      <w:r>
        <w:rPr>
          <w:rStyle w:val="VerbatimChar"/>
          <w:rFonts w:hint="eastAsia"/>
        </w:rPr>
        <w:t xml:space="preserve">总论文章节源码</w:t>
      </w:r>
      <w:r>
        <w:br/>
      </w:r>
      <w:r>
        <w:rPr>
          <w:rStyle w:val="VerbatimChar"/>
        </w:rPr>
        <w:t xml:space="preserve">|   |-- figures/          </w:t>
      </w:r>
      <w:r>
        <w:rPr>
          <w:rStyle w:val="VerbatimChar"/>
          <w:rFonts w:hint="eastAsia"/>
        </w:rPr>
        <w:t xml:space="preserve">论文正式引用图表</w:t>
      </w:r>
      <w:r>
        <w:br/>
      </w:r>
      <w:r>
        <w:rPr>
          <w:rStyle w:val="VerbatimChar"/>
        </w:rPr>
        <w:t xml:space="preserve">|   |-- diagrams/         Mermaid </w:t>
      </w:r>
      <w:r>
        <w:rPr>
          <w:rStyle w:val="VerbatimChar"/>
          <w:rFonts w:hint="eastAsia"/>
        </w:rPr>
        <w:t xml:space="preserve">结构图源码</w:t>
      </w:r>
      <w:r>
        <w:br/>
      </w:r>
      <w:r>
        <w:rPr>
          <w:rStyle w:val="VerbatimChar"/>
        </w:rPr>
        <w:t xml:space="preserve">|-- output/               </w:t>
      </w:r>
      <w:r>
        <w:rPr>
          <w:rStyle w:val="VerbatimChar"/>
          <w:rFonts w:hint="eastAsia"/>
        </w:rPr>
        <w:t xml:space="preserve">模型结果、校验报告和最终交付物</w:t>
      </w:r>
      <w:r>
        <w:br/>
      </w:r>
      <w:r>
        <w:rPr>
          <w:rStyle w:val="VerbatimChar"/>
        </w:rPr>
        <w:t xml:space="preserve">|   |-- calibration/      </w:t>
      </w:r>
      <w:r>
        <w:rPr>
          <w:rStyle w:val="VerbatimChar"/>
          <w:rFonts w:hint="eastAsia"/>
        </w:rPr>
        <w:t xml:space="preserve">短期模型校准结果</w:t>
      </w:r>
      <w:r>
        <w:br/>
      </w:r>
      <w:r>
        <w:rPr>
          <w:rStyle w:val="VerbatimChar"/>
        </w:rPr>
        <w:t xml:space="preserve">|   |-- scenarios/        </w:t>
      </w:r>
      <w:r>
        <w:rPr>
          <w:rStyle w:val="VerbatimChar"/>
          <w:rFonts w:hint="eastAsia"/>
        </w:rPr>
        <w:t xml:space="preserve">长期情景预测与状态转移结果</w:t>
      </w:r>
      <w:r>
        <w:br/>
      </w:r>
      <w:r>
        <w:rPr>
          <w:rStyle w:val="VerbatimChar"/>
        </w:rPr>
        <w:t xml:space="preserve">|   |-- sensitivity/      </w:t>
      </w:r>
      <w:r>
        <w:rPr>
          <w:rStyle w:val="VerbatimChar"/>
          <w:rFonts w:hint="eastAsia"/>
        </w:rPr>
        <w:t xml:space="preserve">敏感性分析与参数排序</w:t>
      </w:r>
      <w:r>
        <w:br/>
      </w:r>
      <w:r>
        <w:rPr>
          <w:rStyle w:val="VerbatimChar"/>
        </w:rPr>
        <w:t xml:space="preserve">|   |-- reports/          </w:t>
      </w:r>
      <w:r>
        <w:rPr>
          <w:rStyle w:val="VerbatimChar"/>
          <w:rFonts w:hint="eastAsia"/>
        </w:rPr>
        <w:t xml:space="preserve">自动生成的校验报告</w:t>
      </w:r>
      <w:r>
        <w:br/>
      </w:r>
      <w:r>
        <w:rPr>
          <w:rStyle w:val="VerbatimChar"/>
        </w:rPr>
        <w:t xml:space="preserve">|   |-- final/            </w:t>
      </w:r>
      <w:r>
        <w:rPr>
          <w:rStyle w:val="VerbatimChar"/>
          <w:rFonts w:hint="eastAsia"/>
        </w:rPr>
        <w:t xml:space="preserve">最终</w:t>
      </w:r>
      <w:r>
        <w:rPr>
          <w:rStyle w:val="VerbatimChar"/>
        </w:rPr>
        <w:t xml:space="preserve"> PDF </w:t>
      </w:r>
      <w:r>
        <w:rPr>
          <w:rStyle w:val="VerbatimChar"/>
          <w:rFonts w:hint="eastAsia"/>
        </w:rPr>
        <w:t xml:space="preserve">和</w:t>
      </w:r>
      <w:r>
        <w:rPr>
          <w:rStyle w:val="VerbatimChar"/>
        </w:rPr>
        <w:t xml:space="preserve"> DOCX</w:t>
      </w:r>
      <w:r>
        <w:br/>
      </w:r>
      <w:r>
        <w:rPr>
          <w:rStyle w:val="VerbatimChar"/>
        </w:rPr>
        <w:t xml:space="preserve">|-- docs/                 </w:t>
      </w:r>
      <w:r>
        <w:rPr>
          <w:rStyle w:val="VerbatimChar"/>
          <w:rFonts w:hint="eastAsia"/>
        </w:rPr>
        <w:t xml:space="preserve">项目总览、建模方案和交付物索引</w:t>
      </w:r>
      <w:r>
        <w:br/>
      </w:r>
      <w:r>
        <w:rPr>
          <w:rStyle w:val="VerbatimChar"/>
        </w:rPr>
        <w:t xml:space="preserve">|-- figures/              </w:t>
      </w:r>
      <w:r>
        <w:rPr>
          <w:rStyle w:val="VerbatimChar"/>
          <w:rFonts w:hint="eastAsia"/>
        </w:rPr>
        <w:t xml:space="preserve">中间图表与可视化生成结果</w:t>
      </w:r>
      <w:r>
        <w:br/>
      </w:r>
      <w:r>
        <w:rPr>
          <w:rStyle w:val="VerbatimChar"/>
        </w:rPr>
        <w:t xml:space="preserve">|-- </w:t>
      </w:r>
      <w:r>
        <w:rPr>
          <w:rStyle w:val="VerbatimChar"/>
          <w:rFonts w:hint="eastAsia"/>
        </w:rPr>
        <w:t xml:space="preserve">质疑报告/</w:t>
      </w:r>
      <w:r>
        <w:rPr>
          <w:rStyle w:val="VerbatimChar"/>
        </w:rPr>
        <w:t xml:space="preserve">             </w:t>
      </w:r>
      <w:r>
        <w:rPr>
          <w:rStyle w:val="VerbatimChar"/>
          <w:rFonts w:hint="eastAsia"/>
        </w:rPr>
        <w:t xml:space="preserve">外部评审意见和修改记录</w:t>
      </w:r>
    </w:p>
    <w:bookmarkEnd w:id="183"/>
    <w:bookmarkStart w:id="184" w:name="a.1-数据口径"/>
    <w:p>
      <w:pPr>
        <w:pStyle w:val="Heading2"/>
      </w:pPr>
      <w:r>
        <w:t xml:space="preserve">A.1 </w:t>
      </w:r>
      <w:r>
        <w:rPr>
          <w:rFonts w:hint="eastAsia"/>
        </w:rPr>
        <w:t xml:space="preserve">数据口径</w:t>
      </w:r>
    </w:p>
    <w:p>
      <w:pPr>
        <w:pStyle w:val="FirstParagraph"/>
      </w:pPr>
      <w:r>
        <w:rPr>
          <w:rFonts w:hint="eastAsia"/>
        </w:rPr>
        <w:t xml:space="preserve">本文真实价格数据只来自赛题附件，并经清洗后形成中文命名数据文件。短期拟合使用附件中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184"/>
    <w:bookmarkStart w:id="185" w:name="a.2-综合机制递推模型伪代码"/>
    <w:p>
      <w:pPr>
        <w:pStyle w:val="Heading2"/>
      </w:pPr>
      <w:r>
        <w:t xml:space="preserve">A.2 </w:t>
      </w:r>
      <w:r>
        <w:rPr>
          <w:rFonts w:hint="eastAsia"/>
        </w:rPr>
        <w:t xml:space="preserve">综合机制递推模型伪代码</w:t>
      </w:r>
    </w:p>
    <w:p>
      <w:pPr>
        <w:pStyle w:val="FirstParagraph"/>
      </w:pPr>
      <w:r>
        <w:rPr>
          <w:rFonts w:hint="eastAsia"/>
        </w:rPr>
        <w:t xml:space="preserve">为避免在附录中堆叠大量源代码，本文只列出主模型的核心计算逻辑。完整程序随项目文件保存，若提交系统要求源程序，可作为单独附件提供。</w:t>
      </w:r>
    </w:p>
    <w:p>
      <w:pPr>
        <w:pStyle w:val="SourceCode"/>
      </w:pPr>
      <w:r>
        <w:rPr>
          <w:rStyle w:val="VerbatimChar"/>
          <w:rFonts w:hint="eastAsia"/>
        </w:rPr>
        <w:t xml:space="preserve">输入：</w:t>
      </w:r>
      <w:r>
        <w:br/>
      </w:r>
      <w:r>
        <w:rPr>
          <w:rStyle w:val="VerbatimChar"/>
        </w:rPr>
        <w:t xml:space="preserve">  </w:t>
      </w:r>
      <w:r>
        <w:rPr>
          <w:rStyle w:val="VerbatimChar"/>
          <w:rFonts w:hint="eastAsia"/>
        </w:rPr>
        <w:t xml:space="preserve">附件布伦特价格序列</w:t>
      </w:r>
      <w:r>
        <w:rPr>
          <w:rStyle w:val="VerbatimChar"/>
        </w:rPr>
        <w:t xml:space="preserve"> P_t</w:t>
      </w:r>
      <w:r>
        <w:br/>
      </w:r>
      <w:r>
        <w:rPr>
          <w:rStyle w:val="VerbatimChar"/>
        </w:rPr>
        <w:t xml:space="preserve">  </w:t>
      </w:r>
      <w:r>
        <w:rPr>
          <w:rStyle w:val="VerbatimChar"/>
          <w:rFonts w:hint="eastAsia"/>
        </w:rPr>
        <w:t xml:space="preserve">供应中断</w:t>
      </w:r>
      <w:r>
        <w:rPr>
          <w:rStyle w:val="VerbatimChar"/>
        </w:rPr>
        <w:t xml:space="preserve"> </w:t>
      </w:r>
      <w:r>
        <w:rPr>
          <w:rStyle w:val="VerbatimChar"/>
          <w:rFonts w:hint="eastAsia"/>
        </w:rPr>
        <w:t xml:space="preserve">I、基础需求</w:t>
      </w:r>
      <w:r>
        <w:rPr>
          <w:rStyle w:val="VerbatimChar"/>
        </w:rPr>
        <w:t xml:space="preserve"> </w:t>
      </w:r>
      <w:r>
        <w:rPr>
          <w:rStyle w:val="VerbatimChar"/>
          <w:rFonts w:hint="eastAsia"/>
        </w:rPr>
        <w:t xml:space="preserve">D_0、短期弹性</w:t>
      </w:r>
      <w:r>
        <w:rPr>
          <w:rStyle w:val="VerbatimChar"/>
        </w:rPr>
        <w:t xml:space="preserve"> epsilon_t</w:t>
      </w:r>
      <w:r>
        <w:br/>
      </w:r>
      <w:r>
        <w:rPr>
          <w:rStyle w:val="VerbatimChar"/>
        </w:rPr>
        <w:t xml:space="preserve">  SPR </w:t>
      </w:r>
      <w:r>
        <w:rPr>
          <w:rStyle w:val="VerbatimChar"/>
          <w:rFonts w:hint="eastAsia"/>
        </w:rPr>
        <w:t xml:space="preserve">释放</w:t>
      </w:r>
      <w:r>
        <w:rPr>
          <w:rStyle w:val="VerbatimChar"/>
        </w:rPr>
        <w:t xml:space="preserve"> </w:t>
      </w:r>
      <w:r>
        <w:rPr>
          <w:rStyle w:val="VerbatimChar"/>
          <w:rFonts w:hint="eastAsia"/>
        </w:rPr>
        <w:t xml:space="preserve">R_t、商业库存</w:t>
      </w:r>
      <w:r>
        <w:rPr>
          <w:rStyle w:val="VerbatimChar"/>
        </w:rPr>
        <w:t xml:space="preserve"> </w:t>
      </w:r>
      <w:r>
        <w:rPr>
          <w:rStyle w:val="VerbatimChar"/>
          <w:rFonts w:hint="eastAsia"/>
        </w:rPr>
        <w:t xml:space="preserve">B_t、绕道运输</w:t>
      </w:r>
      <w:r>
        <w:rPr>
          <w:rStyle w:val="VerbatimChar"/>
        </w:rPr>
        <w:t xml:space="preserve"> Q_t</w:t>
      </w:r>
      <w:r>
        <w:br/>
      </w:r>
      <w:r>
        <w:rPr>
          <w:rStyle w:val="VerbatimChar"/>
        </w:rPr>
        <w:t xml:space="preserve">  </w:t>
      </w:r>
      <w:r>
        <w:rPr>
          <w:rStyle w:val="VerbatimChar"/>
          <w:rFonts w:hint="eastAsia"/>
        </w:rPr>
        <w:t xml:space="preserve">恐慌强度</w:t>
      </w:r>
      <w:r>
        <w:rPr>
          <w:rStyle w:val="VerbatimChar"/>
        </w:rPr>
        <w:t xml:space="preserve"> </w:t>
      </w:r>
      <w:r>
        <w:rPr>
          <w:rStyle w:val="VerbatimChar"/>
          <w:rFonts w:hint="eastAsia"/>
        </w:rPr>
        <w:t xml:space="preserve">F_t、地缘风险权重</w:t>
      </w:r>
      <w:r>
        <w:rPr>
          <w:rStyle w:val="VerbatimChar"/>
        </w:rPr>
        <w:t xml:space="preserve"> </w:t>
      </w:r>
      <w:r>
        <w:rPr>
          <w:rStyle w:val="VerbatimChar"/>
          <w:rFonts w:hint="eastAsia"/>
        </w:rPr>
        <w:t xml:space="preserve">beta、调整速度</w:t>
      </w:r>
      <w:r>
        <w:rPr>
          <w:rStyle w:val="VerbatimChar"/>
        </w:rPr>
        <w:t xml:space="preserve"> v</w:t>
      </w:r>
      <w:r>
        <w:br/>
      </w:r>
      <w:r>
        <w:br/>
      </w:r>
      <w:r>
        <w:rPr>
          <w:rStyle w:val="VerbatimChar"/>
          <w:rFonts w:hint="eastAsia"/>
        </w:rPr>
        <w:t xml:space="preserve">初始化：</w:t>
      </w:r>
      <w:r>
        <w:br/>
      </w:r>
      <w:r>
        <w:rPr>
          <w:rStyle w:val="VerbatimChar"/>
        </w:rPr>
        <w:t xml:space="preserve">  </w:t>
      </w:r>
      <w:r>
        <w:rPr>
          <w:rStyle w:val="VerbatimChar"/>
          <w:rFonts w:hint="eastAsia"/>
        </w:rPr>
        <w:t xml:space="preserve">设定</w:t>
      </w:r>
      <w:r>
        <w:rPr>
          <w:rStyle w:val="VerbatimChar"/>
        </w:rPr>
        <w:t xml:space="preserve"> P_hat_0 = P_0</w:t>
      </w:r>
      <w:r>
        <w:br/>
      </w:r>
      <w:r>
        <w:rPr>
          <w:rStyle w:val="VerbatimChar"/>
        </w:rPr>
        <w:t xml:space="preserve">  </w:t>
      </w:r>
      <w:r>
        <w:rPr>
          <w:rStyle w:val="VerbatimChar"/>
          <w:rFonts w:hint="eastAsia"/>
        </w:rPr>
        <w:t xml:space="preserve">根据题面约束确定</w:t>
      </w:r>
      <w:r>
        <w:rPr>
          <w:rStyle w:val="VerbatimChar"/>
        </w:rPr>
        <w:t xml:space="preserve"> I、SPR </w:t>
      </w:r>
      <w:r>
        <w:rPr>
          <w:rStyle w:val="VerbatimChar"/>
          <w:rFonts w:hint="eastAsia"/>
        </w:rPr>
        <w:t xml:space="preserve">上限、绕道能力和短期弹性范围</w:t>
      </w:r>
      <w:r>
        <w:br/>
      </w:r>
      <w:r>
        <w:br/>
      </w:r>
      <w:r>
        <w:rPr>
          <w:rStyle w:val="VerbatimChar"/>
          <w:rFonts w:hint="eastAsia"/>
        </w:rPr>
        <w:t xml:space="preserve">对冲突窗口内每一日</w:t>
      </w:r>
      <w:r>
        <w:rPr>
          <w:rStyle w:val="VerbatimChar"/>
        </w:rPr>
        <w:t xml:space="preserve"> t = </w:t>
      </w:r>
      <w:r>
        <w:rPr>
          <w:rStyle w:val="VerbatimChar"/>
          <w:rFonts w:hint="eastAsia"/>
        </w:rPr>
        <w:t xml:space="preserve">1,2,...,T：</w:t>
      </w:r>
      <w:r>
        <w:br/>
      </w:r>
      <w:r>
        <w:rPr>
          <w:rStyle w:val="VerbatimChar"/>
        </w:rPr>
        <w:t xml:space="preserve">  1. </w:t>
      </w:r>
      <w:r>
        <w:rPr>
          <w:rStyle w:val="VerbatimChar"/>
          <w:rFonts w:hint="eastAsia"/>
        </w:rPr>
        <w:t xml:space="preserve">计算有效供应：</w:t>
      </w:r>
      <w:r>
        <w:br/>
      </w:r>
      <w:r>
        <w:rPr>
          <w:rStyle w:val="VerbatimChar"/>
        </w:rPr>
        <w:t xml:space="preserve">       S_t = S_0 - I + R_t + B_t + Q_t</w:t>
      </w:r>
      <w:r>
        <w:br/>
      </w:r>
      <w:r>
        <w:rPr>
          <w:rStyle w:val="VerbatimChar"/>
        </w:rPr>
        <w:t xml:space="preserve">  2. </w:t>
      </w:r>
      <w:r>
        <w:rPr>
          <w:rStyle w:val="VerbatimChar"/>
          <w:rFonts w:hint="eastAsia"/>
        </w:rPr>
        <w:t xml:space="preserve">计算有效需求：</w:t>
      </w:r>
      <w:r>
        <w:br/>
      </w:r>
      <w:r>
        <w:rPr>
          <w:rStyle w:val="VerbatimChar"/>
        </w:rPr>
        <w:t xml:space="preserve">       D_t = D_0 * (1 + </w:t>
      </w:r>
      <w:r>
        <w:rPr>
          <w:rStyle w:val="VerbatimChar"/>
          <w:rFonts w:hint="eastAsia"/>
        </w:rPr>
        <w:t xml:space="preserve">恐慌需求项</w:t>
      </w:r>
      <w:r>
        <w:rPr>
          <w:rStyle w:val="VerbatimChar"/>
        </w:rPr>
        <w:t xml:space="preserve"> + </w:t>
      </w:r>
      <w:r>
        <w:rPr>
          <w:rStyle w:val="VerbatimChar"/>
          <w:rFonts w:hint="eastAsia"/>
        </w:rPr>
        <w:t xml:space="preserve">需求收缩项)</w:t>
      </w:r>
      <w:r>
        <w:br/>
      </w:r>
      <w:r>
        <w:rPr>
          <w:rStyle w:val="VerbatimChar"/>
        </w:rPr>
        <w:t xml:space="preserve">  3. </w:t>
      </w:r>
      <w:r>
        <w:rPr>
          <w:rStyle w:val="VerbatimChar"/>
          <w:rFonts w:hint="eastAsia"/>
        </w:rPr>
        <w:t xml:space="preserve">得到剩余缺口：</w:t>
      </w:r>
      <w:r>
        <w:br/>
      </w:r>
      <w:r>
        <w:rPr>
          <w:rStyle w:val="VerbatimChar"/>
        </w:rPr>
        <w:t xml:space="preserve">       G_t = max(D_t - S_t, 0)</w:t>
      </w:r>
      <w:r>
        <w:br/>
      </w:r>
      <w:r>
        <w:rPr>
          <w:rStyle w:val="VerbatimChar"/>
        </w:rPr>
        <w:t xml:space="preserve">  4. </w:t>
      </w:r>
      <w:r>
        <w:rPr>
          <w:rStyle w:val="VerbatimChar"/>
          <w:rFonts w:hint="eastAsia"/>
        </w:rPr>
        <w:t xml:space="preserve">构造目标价格：</w:t>
      </w:r>
      <w:r>
        <w:br/>
      </w:r>
      <w:r>
        <w:rPr>
          <w:rStyle w:val="VerbatimChar"/>
        </w:rPr>
        <w:t xml:space="preserve">       P_t^* = </w:t>
      </w:r>
      <w:r>
        <w:rPr>
          <w:rStyle w:val="VerbatimChar"/>
          <w:rFonts w:hint="eastAsia"/>
        </w:rPr>
        <w:t xml:space="preserve">基准价格</w:t>
      </w:r>
      <w:r>
        <w:br/>
      </w:r>
      <w:r>
        <w:rPr>
          <w:rStyle w:val="VerbatimChar"/>
        </w:rPr>
        <w:t xml:space="preserve">             + </w:t>
      </w:r>
      <w:r>
        <w:rPr>
          <w:rStyle w:val="VerbatimChar"/>
          <w:rFonts w:hint="eastAsia"/>
        </w:rPr>
        <w:t xml:space="preserve">物理缺口压力</w:t>
      </w:r>
      <w:r>
        <w:br/>
      </w:r>
      <w:r>
        <w:rPr>
          <w:rStyle w:val="VerbatimChar"/>
        </w:rPr>
        <w:t xml:space="preserve">             + </w:t>
      </w:r>
      <w:r>
        <w:rPr>
          <w:rStyle w:val="VerbatimChar"/>
          <w:rFonts w:hint="eastAsia"/>
        </w:rPr>
        <w:t xml:space="preserve">地缘风险溢价</w:t>
      </w:r>
      <w:r>
        <w:br/>
      </w:r>
      <w:r>
        <w:rPr>
          <w:rStyle w:val="VerbatimChar"/>
        </w:rPr>
        <w:t xml:space="preserve">             + </w:t>
      </w:r>
      <w:r>
        <w:rPr>
          <w:rStyle w:val="VerbatimChar"/>
          <w:rFonts w:hint="eastAsia"/>
        </w:rPr>
        <w:t xml:space="preserve">冲击不确定性溢价</w:t>
      </w:r>
      <w:r>
        <w:br/>
      </w:r>
      <w:r>
        <w:rPr>
          <w:rStyle w:val="VerbatimChar"/>
        </w:rPr>
        <w:t xml:space="preserve">             + </w:t>
      </w:r>
      <w:r>
        <w:rPr>
          <w:rStyle w:val="VerbatimChar"/>
          <w:rFonts w:hint="eastAsia"/>
        </w:rPr>
        <w:t xml:space="preserve">恐慌溢价</w:t>
      </w:r>
      <w:r>
        <w:br/>
      </w:r>
      <w:r>
        <w:rPr>
          <w:rStyle w:val="VerbatimChar"/>
        </w:rPr>
        <w:t xml:space="preserve">             - </w:t>
      </w:r>
      <w:r>
        <w:rPr>
          <w:rStyle w:val="VerbatimChar"/>
          <w:rFonts w:hint="eastAsia"/>
        </w:rPr>
        <w:t xml:space="preserve">缓冲确认折价</w:t>
      </w:r>
      <w:r>
        <w:br/>
      </w:r>
      <w:r>
        <w:rPr>
          <w:rStyle w:val="VerbatimChar"/>
        </w:rPr>
        <w:t xml:space="preserve">             - </w:t>
      </w:r>
      <w:r>
        <w:rPr>
          <w:rStyle w:val="VerbatimChar"/>
          <w:rFonts w:hint="eastAsia"/>
        </w:rPr>
        <w:t xml:space="preserve">预期修复折价</w:t>
      </w:r>
      <w:r>
        <w:br/>
      </w:r>
      <w:r>
        <w:rPr>
          <w:rStyle w:val="VerbatimChar"/>
        </w:rPr>
        <w:t xml:space="preserve">  5. </w:t>
      </w:r>
      <w:r>
        <w:rPr>
          <w:rStyle w:val="VerbatimChar"/>
          <w:rFonts w:hint="eastAsia"/>
        </w:rPr>
        <w:t xml:space="preserve">日度递推：</w:t>
      </w:r>
      <w:r>
        <w:br/>
      </w:r>
      <w:r>
        <w:rPr>
          <w:rStyle w:val="VerbatimChar"/>
        </w:rPr>
        <w:t xml:space="preserve">       P_hat_t = P_hat_{t-1}</w:t>
      </w:r>
      <w:r>
        <w:br/>
      </w:r>
      <w:r>
        <w:rPr>
          <w:rStyle w:val="VerbatimChar"/>
        </w:rPr>
        <w:t xml:space="preserve">               + v * (P_t^* - P_hat_{t-1})</w:t>
      </w:r>
      <w:r>
        <w:br/>
      </w:r>
      <w:r>
        <w:rPr>
          <w:rStyle w:val="VerbatimChar"/>
        </w:rPr>
        <w:t xml:space="preserve">               + gamma_F * (F_t - F_{t-1})</w:t>
      </w:r>
      <w:r>
        <w:br/>
      </w:r>
      <w:r>
        <w:rPr>
          <w:rStyle w:val="VerbatimChar"/>
        </w:rPr>
        <w:t xml:space="preserve">  6. </w:t>
      </w:r>
      <w:r>
        <w:rPr>
          <w:rStyle w:val="VerbatimChar"/>
          <w:rFonts w:hint="eastAsia"/>
        </w:rPr>
        <w:t xml:space="preserve">记录预测值、误差和各机制贡献</w:t>
      </w:r>
      <w:r>
        <w:br/>
      </w:r>
      <w:r>
        <w:br/>
      </w:r>
      <w:r>
        <w:rPr>
          <w:rStyle w:val="VerbatimChar"/>
          <w:rFonts w:hint="eastAsia"/>
        </w:rPr>
        <w:t xml:space="preserve">输出：</w:t>
      </w:r>
      <w:r>
        <w:br/>
      </w:r>
      <w:r>
        <w:rPr>
          <w:rStyle w:val="VerbatimChar"/>
        </w:rPr>
        <w:t xml:space="preserve">  </w:t>
      </w:r>
      <w:r>
        <w:rPr>
          <w:rStyle w:val="VerbatimChar"/>
          <w:rFonts w:hint="eastAsia"/>
        </w:rPr>
        <w:t xml:space="preserve">短期拟合路径、误差指标、机制贡献、消融结果和长期情景初始状态</w:t>
      </w:r>
    </w:p>
    <w:bookmarkEnd w:id="185"/>
    <w:bookmarkStart w:id="186" w:name="a.3-关键结果核查表"/>
    <w:p>
      <w:pPr>
        <w:pStyle w:val="Heading2"/>
      </w:pPr>
      <w:r>
        <w:t xml:space="preserve">A.3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CSV，外部数据只用于合理性校验</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3.44 </w:t>
            </w:r>
            <w:r>
              <w:rPr>
                <w:rFonts w:hint="eastAsia"/>
              </w:rPr>
              <w:t xml:space="preserve">美元/桶，MAE</w:t>
            </w:r>
            <w:r>
              <w:t xml:space="preserve"> = 2.85 </w:t>
            </w:r>
            <w:r>
              <w:rPr>
                <w:rFonts w:hint="eastAsia"/>
              </w:rPr>
              <w:t xml:space="preserve">美元/桶，MAPE</w:t>
            </w:r>
            <w:r>
              <w:t xml:space="preserve"> = 2.86%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94.15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110.16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蒙特卡洛显示外推期最高价突破</w:t>
            </w:r>
            <w:r>
              <w:t xml:space="preserve"> 120 </w:t>
            </w:r>
            <w:r>
              <w:rPr>
                <w:rFonts w:hint="eastAsia"/>
              </w:rPr>
              <w:t xml:space="preserve">美元/桶的条件概率约</w:t>
            </w:r>
            <w:r>
              <w:t xml:space="preserve"> 16.3%</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186"/>
    <w:bookmarkStart w:id="187" w:name="a.4-稳健性检验补充"/>
    <w:p>
      <w:pPr>
        <w:pStyle w:val="Heading2"/>
      </w:pPr>
      <w:r>
        <w:t xml:space="preserve">A.4 </w:t>
      </w:r>
      <w:r>
        <w:rPr>
          <w:rFonts w:hint="eastAsia"/>
        </w:rPr>
        <w:t xml:space="preserve">稳健性检验补充</w:t>
      </w:r>
    </w:p>
    <w:p>
      <w:pPr>
        <w:numPr>
          <w:ilvl w:val="0"/>
          <w:numId w:val="1008"/>
        </w:numPr>
      </w:pPr>
      <w:r>
        <w:rPr>
          <w:rFonts w:hint="eastAsia"/>
        </w:rPr>
        <w:t xml:space="preserve">基准检验：与上一日价格、漂移随机游走和滚动</w:t>
      </w:r>
      <w:r>
        <w:t xml:space="preserve"> ARIMA </w:t>
      </w:r>
      <w:r>
        <w:rPr>
          <w:rFonts w:hint="eastAsia"/>
        </w:rPr>
        <w:t xml:space="preserve">比较，防止模型只是复杂但无效的随机游走复制。</w:t>
      </w:r>
    </w:p>
    <w:p>
      <w:pPr>
        <w:numPr>
          <w:ilvl w:val="0"/>
          <w:numId w:val="1008"/>
        </w:numPr>
      </w:pPr>
      <w:r>
        <w:rPr>
          <w:rFonts w:hint="eastAsia"/>
        </w:rPr>
        <w:t xml:space="preserve">滞后检验：检查预测曲线是否简单滞后真实价格，避免</w:t>
      </w:r>
      <w:r>
        <w:rPr>
          <w:rFonts w:hint="eastAsia"/>
        </w:rPr>
        <w:t xml:space="preserve">“马后炮曲线”</w:t>
      </w:r>
      <w:r>
        <w:rPr>
          <w:rFonts w:hint="eastAsia"/>
        </w:rPr>
        <w:t xml:space="preserve">问题。</w:t>
      </w:r>
    </w:p>
    <w:p>
      <w:pPr>
        <w:numPr>
          <w:ilvl w:val="0"/>
          <w:numId w:val="1008"/>
        </w:numPr>
      </w:pPr>
      <w:r>
        <w:rPr>
          <w:rFonts w:hint="eastAsia"/>
        </w:rPr>
        <w:t xml:space="preserve">消融检验：逐项移除风险溢价、缓冲折价、预期修复等机制，验证各因素的边际贡献。</w:t>
      </w:r>
    </w:p>
    <w:p>
      <w:pPr>
        <w:numPr>
          <w:ilvl w:val="0"/>
          <w:numId w:val="1008"/>
        </w:numPr>
      </w:pPr>
      <w:r>
        <w:rPr>
          <w:rFonts w:hint="eastAsia"/>
        </w:rPr>
        <w:t xml:space="preserve">参数压力测试：扰动价格传导、风险权重和长期机制参数，检验结论是否依赖唯一一组参数。</w:t>
      </w:r>
    </w:p>
    <w:p>
      <w:pPr>
        <w:numPr>
          <w:ilvl w:val="0"/>
          <w:numId w:val="1008"/>
        </w:numPr>
      </w:pPr>
      <w:r>
        <w:rPr>
          <w:rFonts w:hint="eastAsia"/>
        </w:rPr>
        <w:t xml:space="preserve">外部校验：EIA</w:t>
      </w:r>
      <w:r>
        <w:t xml:space="preserve">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月度指数、OVX</w:t>
      </w:r>
      <w:r>
        <w:t xml:space="preserve"> </w:t>
      </w:r>
      <w:r>
        <w:rPr>
          <w:rFonts w:hint="eastAsia"/>
        </w:rPr>
        <w:t xml:space="preserve">隐含波动率和</w:t>
      </w:r>
      <w:r>
        <w:t xml:space="preserve"> 2017–2026 </w:t>
      </w:r>
      <w:r>
        <w:rPr>
          <w:rFonts w:hint="eastAsia"/>
        </w:rPr>
        <w:t xml:space="preserve">历史同长度窗口用于验证数量级、风险定价和事件极端性。</w:t>
      </w:r>
    </w:p>
    <w:bookmarkEnd w:id="187"/>
    <w:bookmarkStart w:id="188" w:name="a.5-程序材料说明"/>
    <w:p>
      <w:pPr>
        <w:pStyle w:val="Heading2"/>
      </w:pPr>
      <w:r>
        <w:t xml:space="preserve">A.5 </w:t>
      </w:r>
      <w:r>
        <w:rPr>
          <w:rFonts w:hint="eastAsia"/>
        </w:rPr>
        <w:t xml:space="preserve">程序材料说明</w:t>
      </w:r>
    </w:p>
    <w:p>
      <w:pPr>
        <w:pStyle w:val="FirstParagraph"/>
      </w:pPr>
      <w:r>
        <w:rPr>
          <w:rFonts w:hint="eastAsia"/>
        </w:rPr>
        <w:t xml:space="preserve">本文不在正文附录中展开完整</w:t>
      </w:r>
      <w:r>
        <w:t xml:space="preserve"> Python </w:t>
      </w:r>
      <w:r>
        <w:rPr>
          <w:rFonts w:hint="eastAsia"/>
        </w:rPr>
        <w:t xml:space="preserve">或</w:t>
      </w:r>
      <w:r>
        <w:t xml:space="preserve"> R </w:t>
      </w:r>
      <w:r>
        <w:rPr>
          <w:rFonts w:hint="eastAsia"/>
        </w:rPr>
        <w:t xml:space="preserve">源代码。原因是完整源程序较长，直接粘贴会削弱论文主体的可读性；同时，数学建模论文更应突出模型假设、递推公式、参数解释和结果检验。若比赛提交系统要求源程序，完整代码可作为独立附件提交，正文附录仅保留项目结构、核心算法伪代码和关键结果核查。</w:t>
      </w:r>
    </w:p>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64" Target="media/rId164.png" /><Relationship Type="http://schemas.openxmlformats.org/officeDocument/2006/relationships/image" Id="rId88" Target="media/rId88.png" /><Relationship Type="http://schemas.openxmlformats.org/officeDocument/2006/relationships/image" Id="rId146" Target="media/rId146.png" /><Relationship Type="http://schemas.openxmlformats.org/officeDocument/2006/relationships/image" Id="rId36" Target="media/rId36.png" /><Relationship Type="http://schemas.openxmlformats.org/officeDocument/2006/relationships/image" Id="rId138" Target="media/rId138.png" /><Relationship Type="http://schemas.openxmlformats.org/officeDocument/2006/relationships/image" Id="rId22" Target="media/rId22.png" /><Relationship Type="http://schemas.openxmlformats.org/officeDocument/2006/relationships/image" Id="rId135" Target="media/rId135.png" /><Relationship Type="http://schemas.openxmlformats.org/officeDocument/2006/relationships/image" Id="rId161" Target="media/rId161.png" /><Relationship Type="http://schemas.openxmlformats.org/officeDocument/2006/relationships/image" Id="rId130" Target="media/rId130.png" /><Relationship Type="http://schemas.openxmlformats.org/officeDocument/2006/relationships/image" Id="rId150" Target="media/rId150.png" /><Relationship Type="http://schemas.openxmlformats.org/officeDocument/2006/relationships/image" Id="rId19" Target="media/rId19.png" /><Relationship Type="http://schemas.openxmlformats.org/officeDocument/2006/relationships/image" Id="rId26" Target="media/rId26.png" /><Relationship Type="http://schemas.openxmlformats.org/officeDocument/2006/relationships/image" Id="rId124" Target="media/rId124.png" /><Relationship Type="http://schemas.openxmlformats.org/officeDocument/2006/relationships/image" Id="rId153" Target="media/rId153.png" /><Relationship Type="http://schemas.openxmlformats.org/officeDocument/2006/relationships/image" Id="rId117" Target="media/rId117.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59" Target="media/rId59.png" /><Relationship Type="http://schemas.openxmlformats.org/officeDocument/2006/relationships/image" Id="rId93" Target="media/rId93.png" /><Relationship Type="http://schemas.openxmlformats.org/officeDocument/2006/relationships/image" Id="rId48" Target="media/rId48.png" /><Relationship Type="http://schemas.openxmlformats.org/officeDocument/2006/relationships/image" Id="rId81" Target="media/rId81.png" /><Relationship Type="http://schemas.openxmlformats.org/officeDocument/2006/relationships/image" Id="rId100" Target="media/rId100.png" /><Relationship Type="http://schemas.openxmlformats.org/officeDocument/2006/relationships/image" Id="rId52" Target="media/rId52.png" /><Relationship Type="http://schemas.openxmlformats.org/officeDocument/2006/relationships/image" Id="rId70" Target="media/rId70.png" /><Relationship Type="http://schemas.openxmlformats.org/officeDocument/2006/relationships/image" Id="rId62" Target="media/rId62.png" /><Relationship Type="http://schemas.openxmlformats.org/officeDocument/2006/relationships/image" Id="rId97" Target="media/rId97.png" /><Relationship Type="http://schemas.openxmlformats.org/officeDocument/2006/relationships/image" Id="rId85" Target="media/rId85.png" /><Relationship Type="http://schemas.openxmlformats.org/officeDocument/2006/relationships/image" Id="rId66" Target="media/rId66.png" /><Relationship Type="http://schemas.openxmlformats.org/officeDocument/2006/relationships/image" Id="rId41" Target="media/rId41.png" /><Relationship Type="http://schemas.openxmlformats.org/officeDocument/2006/relationships/image" Id="rId142" Target="media/rId142.png" /><Relationship Type="http://schemas.openxmlformats.org/officeDocument/2006/relationships/image" Id="rId113" Target="media/rId113.png" /><Relationship Type="http://schemas.openxmlformats.org/officeDocument/2006/relationships/image" Id="rId10" Target="media/rId10.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hyperlink" Id="rId181" Target="https://fred.stlouisfed.org/series/OVXCLS" TargetMode="External" /><Relationship Type="http://schemas.openxmlformats.org/officeDocument/2006/relationships/hyperlink" Id="rId179" Target="https://publications.opec.org/momr/chapter/147/2738" TargetMode="External" /><Relationship Type="http://schemas.openxmlformats.org/officeDocument/2006/relationships/hyperlink" Id="rId177" Target="https://www.eia.gov/dnav/pet/pet_sum_sndw_dcus_nus_w.htm" TargetMode="External" /><Relationship Type="http://schemas.openxmlformats.org/officeDocument/2006/relationships/hyperlink" Id="rId174" Target="https://www.eia.gov/international/analysis/special-topics/World_Oil_Transit_Chokepoints" TargetMode="External" /><Relationship Type="http://schemas.openxmlformats.org/officeDocument/2006/relationships/hyperlink" Id="rId175" Target="https://www.iea.org/about/oil-security-and-emergency-response/strait-of-hormuz" TargetMode="External" /><Relationship Type="http://schemas.openxmlformats.org/officeDocument/2006/relationships/hyperlink" Id="rId176" Target="https://www.iea.org/news/iea-governing-board-concludes-2022-collective-actions" TargetMode="External" /><Relationship Type="http://schemas.openxmlformats.org/officeDocument/2006/relationships/hyperlink" Id="rId178" Target="https://www.jodidata.org/oil/" TargetMode="External" /><Relationship Type="http://schemas.openxmlformats.org/officeDocument/2006/relationships/hyperlink" Id="rId180"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81" Target="https://fred.stlouisfed.org/series/OVXCLS" TargetMode="External" /><Relationship Type="http://schemas.openxmlformats.org/officeDocument/2006/relationships/hyperlink" Id="rId179" Target="https://publications.opec.org/momr/chapter/147/2738" TargetMode="External" /><Relationship Type="http://schemas.openxmlformats.org/officeDocument/2006/relationships/hyperlink" Id="rId177" Target="https://www.eia.gov/dnav/pet/pet_sum_sndw_dcus_nus_w.htm" TargetMode="External" /><Relationship Type="http://schemas.openxmlformats.org/officeDocument/2006/relationships/hyperlink" Id="rId174" Target="https://www.eia.gov/international/analysis/special-topics/World_Oil_Transit_Chokepoints" TargetMode="External" /><Relationship Type="http://schemas.openxmlformats.org/officeDocument/2006/relationships/hyperlink" Id="rId175" Target="https://www.iea.org/about/oil-security-and-emergency-response/strait-of-hormuz" TargetMode="External" /><Relationship Type="http://schemas.openxmlformats.org/officeDocument/2006/relationships/hyperlink" Id="rId176" Target="https://www.iea.org/news/iea-governing-board-concludes-2022-collective-actions" TargetMode="External" /><Relationship Type="http://schemas.openxmlformats.org/officeDocument/2006/relationships/hyperlink" Id="rId178" Target="https://www.jodidata.org/oil/" TargetMode="External" /><Relationship Type="http://schemas.openxmlformats.org/officeDocument/2006/relationships/hyperlink" Id="rId180"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2026-05-13T07:00:40Z</dcterms:created>
  <dcterms:modified xsi:type="dcterms:W3CDTF">2026-05-13T07:00:40Z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