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91.png" ContentType="image/png"/>
  <Override PartName="/word/media/rId95.png" ContentType="image/png"/>
  <Override PartName="/word/media/rId173.png" ContentType="image/png"/>
  <Override PartName="/word/media/rId39.png" ContentType="image/png"/>
  <Override PartName="/word/media/rId165.png" ContentType="image/png"/>
  <Override PartName="/word/media/rId51.png" ContentType="image/png"/>
  <Override PartName="/word/media/rId25.png" ContentType="image/png"/>
  <Override PartName="/word/media/rId162.png" ContentType="image/png"/>
  <Override PartName="/word/media/rId188.png" ContentType="image/png"/>
  <Override PartName="/word/media/rId153.png" ContentType="image/png"/>
  <Override PartName="/word/media/rId177.png" ContentType="image/png"/>
  <Override PartName="/word/media/rId22.png" ContentType="image/png"/>
  <Override PartName="/word/media/rId29.png" ContentType="image/png"/>
  <Override PartName="/word/media/rId147.png" ContentType="image/png"/>
  <Override PartName="/word/media/rId180.png" ContentType="image/png"/>
  <Override PartName="/word/media/rId101.png" ContentType="image/png"/>
  <Override PartName="/word/media/rId139.png" ContentType="image/png"/>
  <Override PartName="/word/media/rId110.png" ContentType="image/png"/>
  <Override PartName="/word/media/rId114.png" ContentType="image/png"/>
  <Override PartName="/word/media/rId68.png" ContentType="image/png"/>
  <Override PartName="/word/media/rId106.png" ContentType="image/png"/>
  <Override PartName="/word/media/rId56.png" ContentType="image/png"/>
  <Override PartName="/word/media/rId88.png" ContentType="image/png"/>
  <Override PartName="/word/media/rId121.png" ContentType="image/png"/>
  <Override PartName="/word/media/rId60.png" ContentType="image/png"/>
  <Override PartName="/word/media/rId80.png" ContentType="image/png"/>
  <Override PartName="/word/media/rId71.png" ContentType="image/png"/>
  <Override PartName="/word/media/rId118.png" ContentType="image/png"/>
  <Override PartName="/word/media/rId92.png" ContentType="image/png"/>
  <Override PartName="/word/media/rId76.png" ContentType="image/png"/>
  <Override PartName="/word/media/rId83.png" ContentType="image/png"/>
  <Override PartName="/word/media/rId44.png" ContentType="image/png"/>
  <Override PartName="/word/media/rId169.png" ContentType="image/png"/>
  <Override PartName="/word/media/rId135.png" ContentType="image/png"/>
  <Override PartName="/word/media/rId10.png" ContentType="image/png"/>
  <Override PartName="/word/media/rId65.png" ContentType="image/png"/>
  <Override PartName="/word/media/rId157.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3" w:name="数据处理与描述性分析"/>
    <w:p>
      <w:pPr>
        <w:pStyle w:val="Heading1"/>
      </w:pPr>
      <w:r>
        <w:rPr>
          <w:rFonts w:hint="eastAsia"/>
        </w:rPr>
        <w:t xml:space="preserve">数据处理与描述性分析</w:t>
      </w:r>
    </w:p>
    <w:bookmarkStart w:id="28"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BodyText"/>
      </w:pPr>
      <w:r>
        <w:rPr>
          <w:rFonts w:hint="eastAsia"/>
        </w:rPr>
        <w:t xml:space="preserve">为避免外部数据口径混乱，本文将所有补充数据划分为</w:t>
      </w:r>
      <w:r>
        <w:rPr>
          <w:rFonts w:hint="eastAsia"/>
        </w:rPr>
        <w:t xml:space="preserve">“拟合目标”</w:t>
      </w:r>
      <w:r>
        <w:rPr>
          <w:rFonts w:hint="eastAsia"/>
        </w:rPr>
        <w:t xml:space="preserve">“长期约束”</w:t>
      </w:r>
      <w:r>
        <w:rPr>
          <w:rFonts w:hint="eastAsia"/>
        </w:rPr>
        <w:t xml:space="preserve">“风险审计”</w:t>
      </w:r>
      <w:r>
        <w:rPr>
          <w:rFonts w:hint="eastAsia"/>
        </w:rPr>
        <w:t xml:space="preserve">和</w:t>
      </w:r>
      <w:r>
        <w:rPr>
          <w:rFonts w:hint="eastAsia"/>
        </w:rPr>
        <w:t xml:space="preserve">“候选市场变量”</w:t>
      </w:r>
      <w:r>
        <w:rPr>
          <w:rFonts w:hint="eastAsia"/>
        </w:rPr>
        <w:t xml:space="preserve">四类。表</w:t>
      </w:r>
      <w:r>
        <w:t xml:space="preserve"> </w:t>
      </w:r>
      <w:hyperlink w:anchor="tab:external-data-role">
        <w:r>
          <w:rPr>
            <w:rStyle w:val="Hyperlink"/>
          </w:rPr>
          <w:t xml:space="preserve">4</w:t>
        </w:r>
      </w:hyperlink>
      <w:r>
        <w:t xml:space="preserve"> </w:t>
      </w:r>
      <w:r>
        <w:rPr>
          <w:rFonts w:hint="eastAsia"/>
        </w:rPr>
        <w:t xml:space="preserve">给出外部数据来源、进入模型的位置和使用边界。需要特别说明的是，短期拟合的真实价格目标只来自赛题附件；EIA、JODI、OPEC、GPR、OVX</w:t>
      </w:r>
      <w:r>
        <w:t xml:space="preserve"> </w:t>
      </w:r>
      <w:r>
        <w:rPr>
          <w:rFonts w:hint="eastAsia"/>
        </w:rPr>
        <w:t xml:space="preserve">和期限结构资料均不反向替代附件价格，也不用于构造新的真实油价。</w:t>
      </w:r>
    </w:p>
    <w:bookmarkStart w:id="21" w:name="tab:external-data-role"/>
    <w:p>
      <w:pPr>
        <w:pStyle w:val="TableCaption"/>
      </w:pPr>
      <w:r>
        <w:rPr>
          <w:rFonts w:hint="eastAsia"/>
        </w:rPr>
        <w:t xml:space="preserve">外部数据来源、模型作用与使用边界</w:t>
      </w:r>
    </w:p>
    <w:tbl>
      <w:tblPr>
        <w:tblStyle w:val="Table"/>
        <w:tblW w:type="auto" w:w="0"/>
        <w:tblLook w:firstRow="1" w:lastRow="0" w:firstColumn="0" w:lastColumn="0" w:noHBand="0" w:noVBand="0" w:val="0020"/>
        <w:tblCaption w:val="外部数据来源、模型作用与使用边界"/>
      </w:tblPr>
      <w:tblGrid>
        <w:gridCol w:w="1980"/>
        <w:gridCol w:w="1980"/>
        <w:gridCol w:w="1980"/>
        <w:gridCol w:w="1980"/>
      </w:tblGrid>
      <w:tr>
        <w:trPr>
          <w:tblHeader w:val="on"/>
        </w:trPr>
        <w:tc>
          <w:tcPr/>
          <w:p>
            <w:pPr>
              <w:pStyle w:val="Compact"/>
              <w:jc w:val="left"/>
            </w:pPr>
            <w:r>
              <w:rPr>
                <w:rFonts w:hint="eastAsia"/>
              </w:rPr>
              <w:t xml:space="preserve">来源</w:t>
            </w:r>
          </w:p>
        </w:tc>
        <w:tc>
          <w:tcPr/>
          <w:p>
            <w:pPr>
              <w:pStyle w:val="Compact"/>
              <w:jc w:val="left"/>
            </w:pPr>
            <w:r>
              <w:rPr>
                <w:rFonts w:hint="eastAsia"/>
              </w:rPr>
              <w:t xml:space="preserve">数据对象</w:t>
            </w:r>
          </w:p>
        </w:tc>
        <w:tc>
          <w:tcPr/>
          <w:p>
            <w:pPr>
              <w:pStyle w:val="Compact"/>
              <w:jc w:val="left"/>
            </w:pPr>
            <w:r>
              <w:rPr>
                <w:rFonts w:hint="eastAsia"/>
              </w:rPr>
              <w:t xml:space="preserve">在模型中的作用</w:t>
            </w:r>
          </w:p>
        </w:tc>
        <w:tc>
          <w:tcPr/>
          <w:p>
            <w:pPr>
              <w:pStyle w:val="Compact"/>
              <w:jc w:val="left"/>
            </w:pPr>
            <w:r>
              <w:rPr>
                <w:rFonts w:hint="eastAsia"/>
              </w:rPr>
              <w:t xml:space="preserve">使用边界</w:t>
            </w:r>
          </w:p>
        </w:tc>
      </w:tr>
      <w:tr>
        <w:tc>
          <w:tcPr/>
          <w:p>
            <w:pPr>
              <w:pStyle w:val="Compact"/>
              <w:jc w:val="left"/>
            </w:pPr>
            <w:r>
              <w:rPr>
                <w:rFonts w:hint="eastAsia"/>
              </w:rPr>
              <w:t xml:space="preserve">赛题附件</w:t>
            </w:r>
            <w:r>
              <w:t xml:space="preserve"> CSV</w:t>
            </w:r>
          </w:p>
        </w:tc>
        <w:tc>
          <w:tcPr/>
          <w:p>
            <w:pPr>
              <w:pStyle w:val="Compact"/>
              <w:jc w:val="left"/>
            </w:pPr>
            <w:r>
              <w:t xml:space="preserve">2017–2026 </w:t>
            </w:r>
            <w:r>
              <w:rPr>
                <w:rFonts w:hint="eastAsia"/>
              </w:rPr>
              <w:t xml:space="preserve">年布伦特原油期货主力合约价格</w:t>
            </w:r>
          </w:p>
        </w:tc>
        <w:tc>
          <w:tcPr/>
          <w:p>
            <w:pPr>
              <w:pStyle w:val="Compact"/>
              <w:jc w:val="left"/>
            </w:pPr>
            <w:r>
              <w:rPr>
                <w:rFonts w:hint="eastAsia"/>
              </w:rPr>
              <w:t xml:space="preserve">短期模型拟合目标、基准模型对比、历史滚动窗口检验</w:t>
            </w:r>
          </w:p>
        </w:tc>
        <w:tc>
          <w:tcPr/>
          <w:p>
            <w:pPr>
              <w:pStyle w:val="Compact"/>
              <w:jc w:val="left"/>
            </w:pPr>
            <w:r>
              <w:rPr>
                <w:rFonts w:hint="eastAsia"/>
              </w:rPr>
              <w:t xml:space="preserve">唯一真实价格来源；短期</w:t>
            </w:r>
            <w:r>
              <w:t xml:space="preserve"> RMSE、MAE、MAPE </w:t>
            </w:r>
            <w:r>
              <w:rPr>
                <w:rFonts w:hint="eastAsia"/>
              </w:rPr>
              <w:t xml:space="preserve">均以附件收盘价计算</w:t>
            </w:r>
          </w:p>
        </w:tc>
      </w:tr>
      <w:tr>
        <w:tc>
          <w:tcPr/>
          <w:p>
            <w:pPr>
              <w:pStyle w:val="Compact"/>
              <w:jc w:val="left"/>
            </w:pPr>
            <w:r>
              <w:t xml:space="preserve">EIA </w:t>
            </w:r>
            <w:r>
              <w:rPr>
                <w:rFonts w:hint="eastAsia"/>
              </w:rPr>
              <w:t xml:space="preserve">周度石油数据</w:t>
            </w:r>
          </w:p>
        </w:tc>
        <w:tc>
          <w:tcPr/>
          <w:p>
            <w:pPr>
              <w:pStyle w:val="Compact"/>
              <w:jc w:val="left"/>
            </w:pPr>
            <w:r>
              <w:rPr>
                <w:rFonts w:hint="eastAsia"/>
              </w:rPr>
              <w:t xml:space="preserve">美国</w:t>
            </w:r>
            <w:r>
              <w:t xml:space="preserve"> SPR </w:t>
            </w:r>
            <w:r>
              <w:rPr>
                <w:rFonts w:hint="eastAsia"/>
              </w:rPr>
              <w:t xml:space="preserve">库存、商业库存、原油产量</w:t>
            </w:r>
          </w:p>
        </w:tc>
        <w:tc>
          <w:tcPr/>
          <w:p>
            <w:pPr>
              <w:pStyle w:val="Compact"/>
              <w:jc w:val="left"/>
            </w:pPr>
            <w:r>
              <w:rPr>
                <w:rFonts w:hint="eastAsia"/>
              </w:rPr>
              <w:t xml:space="preserve">长期情景中的库存缓冲、SPR</w:t>
            </w:r>
            <w:r>
              <w:t xml:space="preserve"> </w:t>
            </w:r>
            <w:r>
              <w:rPr>
                <w:rFonts w:hint="eastAsia"/>
              </w:rPr>
              <w:t xml:space="preserve">释放强度和非海湾供给恢复数量级校验</w:t>
            </w:r>
          </w:p>
        </w:tc>
        <w:tc>
          <w:tcPr/>
          <w:p>
            <w:pPr>
              <w:pStyle w:val="Compact"/>
              <w:jc w:val="left"/>
            </w:pPr>
            <w:r>
              <w:rPr>
                <w:rFonts w:hint="eastAsia"/>
              </w:rPr>
              <w:t xml:space="preserve">美国口径，不等同全球总量；不参与短期模型拟合</w:t>
            </w:r>
          </w:p>
        </w:tc>
      </w:tr>
      <w:tr>
        <w:tc>
          <w:tcPr/>
          <w:p>
            <w:pPr>
              <w:pStyle w:val="Compact"/>
              <w:jc w:val="left"/>
            </w:pPr>
            <w:r>
              <w:t xml:space="preserve">JODI Oil World Database</w:t>
            </w:r>
          </w:p>
        </w:tc>
        <w:tc>
          <w:tcPr/>
          <w:p>
            <w:pPr>
              <w:pStyle w:val="Compact"/>
              <w:jc w:val="left"/>
            </w:pPr>
            <w:r>
              <w:rPr>
                <w:rFonts w:hint="eastAsia"/>
              </w:rPr>
              <w:t xml:space="preserve">多国月度产量、库存、进出口、需求、炼厂产出</w:t>
            </w:r>
          </w:p>
        </w:tc>
        <w:tc>
          <w:tcPr/>
          <w:p>
            <w:pPr>
              <w:pStyle w:val="Compact"/>
              <w:jc w:val="left"/>
            </w:pPr>
            <w:r>
              <w:rPr>
                <w:rFonts w:hint="eastAsia"/>
              </w:rPr>
              <w:t xml:space="preserve">多国上报口径下的供需与库存约束，辅助校验长期参数方向</w:t>
            </w:r>
          </w:p>
        </w:tc>
        <w:tc>
          <w:tcPr/>
          <w:p>
            <w:pPr>
              <w:pStyle w:val="Compact"/>
              <w:jc w:val="left"/>
            </w:pPr>
            <w:r>
              <w:rPr>
                <w:rFonts w:hint="eastAsia"/>
              </w:rPr>
              <w:t xml:space="preserve">有国家覆盖差异和发布滞后，只作同口径数量级审计</w:t>
            </w:r>
          </w:p>
        </w:tc>
      </w:tr>
      <w:tr>
        <w:tc>
          <w:tcPr/>
          <w:p>
            <w:pPr>
              <w:pStyle w:val="Compact"/>
              <w:jc w:val="left"/>
            </w:pPr>
            <w:r>
              <w:t xml:space="preserve">OPEC MOMR</w:t>
            </w:r>
          </w:p>
        </w:tc>
        <w:tc>
          <w:tcPr/>
          <w:p>
            <w:pPr>
              <w:pStyle w:val="Compact"/>
              <w:jc w:val="left"/>
            </w:pP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p>
        </w:tc>
        <w:tc>
          <w:tcPr/>
          <w:p>
            <w:pPr>
              <w:pStyle w:val="Compact"/>
              <w:jc w:val="left"/>
            </w:pPr>
            <w:r>
              <w:rPr>
                <w:rFonts w:hint="eastAsia"/>
              </w:rPr>
              <w:t xml:space="preserve">约束</w:t>
            </w:r>
            <w:r>
              <w:t xml:space="preserve"> 60–180 </w:t>
            </w:r>
            <w:r>
              <w:rPr>
                <w:rFonts w:hint="eastAsia"/>
              </w:rPr>
              <w:t xml:space="preserve">天长期外推中的需求背景、供给恢复和尾部压力</w:t>
            </w:r>
          </w:p>
        </w:tc>
        <w:tc>
          <w:tcPr/>
          <w:p>
            <w:pPr>
              <w:pStyle w:val="Compact"/>
              <w:jc w:val="left"/>
            </w:pPr>
            <w:r>
              <w:rPr>
                <w:rFonts w:hint="eastAsia"/>
              </w:rPr>
              <w:t xml:space="preserve">正常基线预测，不替代霍尔木兹封锁冲击参数</w:t>
            </w:r>
          </w:p>
        </w:tc>
      </w:tr>
      <w:tr>
        <w:tc>
          <w:tcPr/>
          <w:p>
            <w:pPr>
              <w:pStyle w:val="Compact"/>
              <w:jc w:val="left"/>
            </w:pPr>
            <w:r>
              <w:t xml:space="preserve">Caldara-Iacoviello GPR</w:t>
            </w:r>
          </w:p>
        </w:tc>
        <w:tc>
          <w:tcPr/>
          <w:p>
            <w:pPr>
              <w:pStyle w:val="Compact"/>
              <w:jc w:val="left"/>
            </w:pPr>
            <w:r>
              <w:rPr>
                <w:rFonts w:hint="eastAsia"/>
              </w:rPr>
              <w:t xml:space="preserve">月度地缘政治风险指数</w:t>
            </w:r>
          </w:p>
        </w:tc>
        <w:tc>
          <w:tcPr/>
          <w:p>
            <w:pPr>
              <w:pStyle w:val="Compact"/>
              <w:jc w:val="left"/>
            </w:pPr>
            <w:r>
              <w:rPr>
                <w:rFonts w:hint="eastAsia"/>
              </w:rPr>
              <w:t xml:space="preserve">外部审计地缘风险溢价，并进行滞后相关检验</w:t>
            </w:r>
          </w:p>
        </w:tc>
        <w:tc>
          <w:tcPr/>
          <w:p>
            <w:pPr>
              <w:pStyle w:val="Compact"/>
              <w:jc w:val="left"/>
            </w:pPr>
            <w:r>
              <w:rPr>
                <w:rFonts w:hint="eastAsia"/>
              </w:rPr>
              <w:t xml:space="preserve">指数由新闻构造，避免同月解释同月价格；不作为短期同步拟合输入</w:t>
            </w:r>
          </w:p>
        </w:tc>
      </w:tr>
      <w:tr>
        <w:tc>
          <w:tcPr/>
          <w:p>
            <w:pPr>
              <w:pStyle w:val="Compact"/>
              <w:jc w:val="left"/>
            </w:pPr>
            <w:r>
              <w:t xml:space="preserve">FRED/Cboe OVX</w:t>
            </w:r>
          </w:p>
        </w:tc>
        <w:tc>
          <w:tcPr/>
          <w:p>
            <w:pPr>
              <w:pStyle w:val="Compact"/>
              <w:jc w:val="left"/>
            </w:pPr>
            <w:r>
              <w:rPr>
                <w:rFonts w:hint="eastAsia"/>
              </w:rPr>
              <w:t xml:space="preserve">原油</w:t>
            </w:r>
            <w:r>
              <w:t xml:space="preserve"> ETF </w:t>
            </w:r>
            <w:r>
              <w:rPr>
                <w:rFonts w:hint="eastAsia"/>
              </w:rPr>
              <w:t xml:space="preserve">隐含波动率</w:t>
            </w:r>
          </w:p>
        </w:tc>
        <w:tc>
          <w:tcPr/>
          <w:p>
            <w:pPr>
              <w:pStyle w:val="Compact"/>
              <w:jc w:val="left"/>
            </w:pPr>
            <w:r>
              <w:rPr>
                <w:rFonts w:hint="eastAsia"/>
              </w:rPr>
              <w:t xml:space="preserve">约束长期状态转移压力、不确定性强度和尾部风险</w:t>
            </w:r>
          </w:p>
        </w:tc>
        <w:tc>
          <w:tcPr/>
          <w:p>
            <w:pPr>
              <w:pStyle w:val="Compact"/>
              <w:jc w:val="left"/>
            </w:pPr>
            <w:r>
              <w:rPr>
                <w:rFonts w:hint="eastAsia"/>
              </w:rPr>
              <w:t xml:space="preserve">反映期权市场波动预期，不直接预测日度价格方向</w:t>
            </w:r>
          </w:p>
        </w:tc>
      </w:tr>
      <w:tr>
        <w:tc>
          <w:tcPr/>
          <w:p>
            <w:pPr>
              <w:pStyle w:val="Compact"/>
              <w:jc w:val="left"/>
            </w:pPr>
            <w:r>
              <w:t xml:space="preserve">ICE / EIA </w:t>
            </w:r>
            <w:r>
              <w:rPr>
                <w:rFonts w:hint="eastAsia"/>
              </w:rPr>
              <w:t xml:space="preserve">报道</w:t>
            </w:r>
          </w:p>
        </w:tc>
        <w:tc>
          <w:tcPr/>
          <w:p>
            <w:pPr>
              <w:pStyle w:val="Compact"/>
              <w:jc w:val="left"/>
            </w:pPr>
            <w:r>
              <w:t xml:space="preserve">Brent </w:t>
            </w:r>
            <w:r>
              <w:rPr>
                <w:rFonts w:hint="eastAsia"/>
              </w:rPr>
              <w:t xml:space="preserve">多期限官方结算价候选来源、现货-近月期货价差公开证据</w:t>
            </w:r>
          </w:p>
        </w:tc>
        <w:tc>
          <w:tcPr/>
          <w:p>
            <w:pPr>
              <w:pStyle w:val="Compact"/>
              <w:jc w:val="left"/>
            </w:pPr>
            <w:r>
              <w:rPr>
                <w:rFonts w:hint="eastAsia"/>
              </w:rPr>
              <w:t xml:space="preserve">候选期限结构变量，用于未来约束近端短缺和库存压力</w:t>
            </w:r>
          </w:p>
        </w:tc>
        <w:tc>
          <w:tcPr/>
          <w:p>
            <w:pPr>
              <w:pStyle w:val="Compact"/>
              <w:jc w:val="left"/>
            </w:pPr>
            <w:r>
              <w:rPr>
                <w:rFonts w:hint="eastAsia"/>
              </w:rPr>
              <w:t xml:space="preserve">当前未获得完整可复现多期限曲线，暂不写入数值模型；后续只采用</w:t>
            </w:r>
            <w:r>
              <w:t xml:space="preserve"> ICE </w:t>
            </w:r>
            <w:r>
              <w:rPr>
                <w:rFonts w:hint="eastAsia"/>
              </w:rPr>
              <w:t xml:space="preserve">官方多期限结算价口径</w:t>
            </w:r>
          </w:p>
        </w:tc>
      </w:tr>
    </w:tbl>
    <w:bookmarkEnd w:id="21"/>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3" name="Picture"/>
            <a:graphic>
              <a:graphicData uri="http://schemas.openxmlformats.org/drawingml/2006/picture">
                <pic:pic>
                  <pic:nvPicPr>
                    <pic:cNvPr descr="布伦特原油长期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6" name="Picture"/>
            <a:graphic>
              <a:graphicData uri="http://schemas.openxmlformats.org/drawingml/2006/picture">
                <pic:pic>
                  <pic:nvPicPr>
                    <pic:cNvPr descr="冲突窗口价格走势.png" id="27" name="Picture"/>
                    <pic:cNvPicPr>
                      <a:picLocks noChangeArrowheads="1" noChangeAspect="1"/>
                    </pic:cNvPicPr>
                  </pic:nvPicPr>
                  <pic:blipFill>
                    <a:blip r:embed="rId2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8"/>
    <w:bookmarkStart w:id="32"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30" name="Picture"/>
            <a:graphic>
              <a:graphicData uri="http://schemas.openxmlformats.org/drawingml/2006/picture">
                <pic:pic>
                  <pic:nvPicPr>
                    <pic:cNvPr descr="布伦特收益率与波动率.png" id="31" name="Picture"/>
                    <pic:cNvPicPr>
                      <a:picLocks noChangeArrowheads="1" noChangeAspect="1"/>
                    </pic:cNvPicPr>
                  </pic:nvPicPr>
                  <pic:blipFill>
                    <a:blip r:embed="rId29"/>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2"/>
    <w:bookmarkEnd w:id="33"/>
    <w:bookmarkStart w:id="37" w:name="模型假设与符号说明"/>
    <w:p>
      <w:pPr>
        <w:pStyle w:val="Heading1"/>
      </w:pPr>
      <w:r>
        <w:rPr>
          <w:rFonts w:hint="eastAsia"/>
        </w:rPr>
        <w:t xml:space="preserve">模型假设与符号说明</w:t>
      </w:r>
    </w:p>
    <w:bookmarkStart w:id="34"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4"/>
    <w:bookmarkStart w:id="35"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5"/>
    <w:bookmarkStart w:id="36"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6"/>
    <w:bookmarkEnd w:id="37"/>
    <w:bookmarkStart w:id="43" w:name="传统供需基准模型"/>
    <w:p>
      <w:pPr>
        <w:pStyle w:val="Heading1"/>
      </w:pPr>
      <w:r>
        <w:rPr>
          <w:rFonts w:hint="eastAsia"/>
        </w:rPr>
        <w:t xml:space="preserve">传统供需基准模型</w:t>
      </w:r>
    </w:p>
    <w:bookmarkStart w:id="38"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8"/>
    <w:bookmarkStart w:id="42"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40" name="Picture"/>
            <a:graphic>
              <a:graphicData uri="http://schemas.openxmlformats.org/drawingml/2006/picture">
                <pic:pic>
                  <pic:nvPicPr>
                    <pic:cNvPr descr="传统供需基准与真实价格对比.png" id="41" name="Picture"/>
                    <pic:cNvPicPr>
                      <a:picLocks noChangeArrowheads="1" noChangeAspect="1"/>
                    </pic:cNvPicPr>
                  </pic:nvPicPr>
                  <pic:blipFill>
                    <a:blip r:embed="rId39"/>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2"/>
    <w:bookmarkEnd w:id="43"/>
    <w:bookmarkStart w:id="50"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5" name="Picture"/>
            <a:graphic>
              <a:graphicData uri="http://schemas.openxmlformats.org/drawingml/2006/picture">
                <pic:pic>
                  <pic:nvPicPr>
                    <pic:cNvPr descr="综合机制递推模型结构图.png" id="46" name="Picture"/>
                    <pic:cNvPicPr>
                      <a:picLocks noChangeArrowheads="1" noChangeAspect="1"/>
                    </pic:cNvPicPr>
                  </pic:nvPicPr>
                  <pic:blipFill>
                    <a:blip r:embed="rId44"/>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短期价格形成反馈回路。蓝色方向表示冲击和风险溢价推高价格，绿色方向表示政策缓冲、绕道运输、需求收缩和预期修复压低价格。该图强调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7"/>
    <w:bookmarkStart w:id="4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8"/>
    <w:bookmarkStart w:id="4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9"/>
    <w:bookmarkEnd w:id="50"/>
    <w:bookmarkStart w:id="130" w:name="参数校准与模型检验"/>
    <w:p>
      <w:pPr>
        <w:pStyle w:val="Heading1"/>
      </w:pPr>
      <w:r>
        <w:rPr>
          <w:rFonts w:hint="eastAsia"/>
        </w:rPr>
        <w:t xml:space="preserve">参数校准与模型检验</w:t>
      </w:r>
    </w:p>
    <w:bookmarkStart w:id="64" w:name="模型校准与拟合表现"/>
    <w:p>
      <w:pPr>
        <w:pStyle w:val="Heading2"/>
      </w:pPr>
      <w:r>
        <w:rPr>
          <w:rFonts w:hint="eastAsia"/>
        </w:rPr>
        <w:t xml:space="preserve">模型校准与拟合表现</w:t>
      </w:r>
    </w:p>
    <w:bookmarkStart w:id="55"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4" w:name="fig:candidate-tradeoff-bubble"/>
    <w:p>
      <w:pPr>
        <w:pStyle w:val="CaptionedFigure"/>
      </w:pPr>
      <w:r>
        <w:drawing>
          <wp:inline>
            <wp:extent cx="4587240" cy="3077972"/>
            <wp:effectExtent b="0" l="0" r="0" t="0"/>
            <wp:docPr descr="" title="" id="52" name="Picture"/>
            <a:graphic>
              <a:graphicData uri="http://schemas.openxmlformats.org/drawingml/2006/picture">
                <pic:pic>
                  <pic:nvPicPr>
                    <pic:cNvPr descr="候选模型权衡气泡图.png" id="53" name="Picture"/>
                    <pic:cNvPicPr>
                      <a:picLocks noChangeArrowheads="1" noChangeAspect="1"/>
                    </pic:cNvPicPr>
                  </pic:nvPicPr>
                  <pic:blipFill>
                    <a:blip r:embed="rId51"/>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4"/>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5"/>
    <w:bookmarkStart w:id="63"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9" w:name="fig:short-term-fit"/>
    <w:p>
      <w:pPr>
        <w:pStyle w:val="CaptionedFigure"/>
      </w:pPr>
      <w:r>
        <w:drawing>
          <wp:inline>
            <wp:extent cx="4907280" cy="2587474"/>
            <wp:effectExtent b="0" l="0" r="0" t="0"/>
            <wp:docPr descr="" title="" id="57" name="Picture"/>
            <a:graphic>
              <a:graphicData uri="http://schemas.openxmlformats.org/drawingml/2006/picture">
                <pic:pic>
                  <pic:nvPicPr>
                    <pic:cNvPr descr="短期模型拟合效果.png" id="58" name="Picture"/>
                    <pic:cNvPicPr>
                      <a:picLocks noChangeArrowheads="1" noChangeAspect="1"/>
                    </pic:cNvPicPr>
                  </pic:nvPicPr>
                  <pic:blipFill>
                    <a:blip r:embed="rId56"/>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9"/>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1" name="Picture"/>
            <a:graphic>
              <a:graphicData uri="http://schemas.openxmlformats.org/drawingml/2006/picture">
                <pic:pic>
                  <pic:nvPicPr>
                    <pic:cNvPr descr="短期模型机制贡献.png" id="62" name="Picture"/>
                    <pic:cNvPicPr>
                      <a:picLocks noChangeArrowheads="1" noChangeAspect="1"/>
                    </pic:cNvPicPr>
                  </pic:nvPicPr>
                  <pic:blipFill>
                    <a:blip r:embed="rId6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3"/>
    <w:bookmarkEnd w:id="64"/>
    <w:bookmarkStart w:id="75" w:name="基准对比与统计检验"/>
    <w:p>
      <w:pPr>
        <w:pStyle w:val="Heading2"/>
      </w:pPr>
      <w:r>
        <w:rPr>
          <w:rFonts w:hint="eastAsia"/>
        </w:rPr>
        <w:t xml:space="preserve">基准对比与统计检验</w:t>
      </w:r>
    </w:p>
    <w:bookmarkStart w:id="74"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6" name="Picture"/>
            <a:graphic>
              <a:graphicData uri="http://schemas.openxmlformats.org/drawingml/2006/picture">
                <pic:pic>
                  <pic:nvPicPr>
                    <pic:cNvPr descr="评审质疑防御框架图.png" id="67" name="Picture"/>
                    <pic:cNvPicPr>
                      <a:picLocks noChangeArrowheads="1" noChangeAspect="1"/>
                    </pic:cNvPicPr>
                  </pic:nvPicPr>
                  <pic:blipFill>
                    <a:blip r:embed="rId65"/>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9" name="Picture"/>
            <a:graphic>
              <a:graphicData uri="http://schemas.openxmlformats.org/drawingml/2006/picture">
                <pic:pic>
                  <pic:nvPicPr>
                    <pic:cNvPr descr="短期模型基准对比.png" id="70" name="Picture"/>
                    <pic:cNvPicPr>
                      <a:picLocks noChangeArrowheads="1" noChangeAspect="1"/>
                    </pic:cNvPicPr>
                  </pic:nvPicPr>
                  <pic:blipFill>
                    <a:blip r:embed="rId68"/>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2" name="Picture"/>
            <a:graphic>
              <a:graphicData uri="http://schemas.openxmlformats.org/drawingml/2006/picture">
                <pic:pic>
                  <pic:nvPicPr>
                    <pic:cNvPr descr="短期模型滞后平移检验.png" id="73" name="Picture"/>
                    <pic:cNvPicPr>
                      <a:picLocks noChangeArrowheads="1" noChangeAspect="1"/>
                    </pic:cNvPicPr>
                  </pic:nvPicPr>
                  <pic:blipFill>
                    <a:blip r:embed="rId71"/>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4"/>
    <w:bookmarkEnd w:id="75"/>
    <w:bookmarkStart w:id="99" w:name="模型鲁棒性与稳定性评估"/>
    <w:p>
      <w:pPr>
        <w:pStyle w:val="Heading2"/>
      </w:pPr>
      <w:r>
        <w:rPr>
          <w:rFonts w:hint="eastAsia"/>
        </w:rPr>
        <w:t xml:space="preserve">模型鲁棒性与稳定性评估</w:t>
      </w:r>
    </w:p>
    <w:bookmarkStart w:id="79"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7" name="Picture"/>
            <a:graphic>
              <a:graphicData uri="http://schemas.openxmlformats.org/drawingml/2006/picture">
                <pic:pic>
                  <pic:nvPicPr>
                    <pic:cNvPr descr="短期模型过拟合压力测试.png" id="78" name="Picture"/>
                    <pic:cNvPicPr>
                      <a:picLocks noChangeArrowheads="1" noChangeAspect="1"/>
                    </pic:cNvPicPr>
                  </pic:nvPicPr>
                  <pic:blipFill>
                    <a:blip r:embed="rId76"/>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9"/>
    <w:bookmarkStart w:id="87"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1" name="Picture"/>
            <a:graphic>
              <a:graphicData uri="http://schemas.openxmlformats.org/drawingml/2006/picture">
                <pic:pic>
                  <pic:nvPicPr>
                    <pic:cNvPr descr="短期模型残差诊断增强.png" id="82" name="Picture"/>
                    <pic:cNvPicPr>
                      <a:picLocks noChangeArrowheads="1" noChangeAspect="1"/>
                    </pic:cNvPicPr>
                  </pic:nvPicPr>
                  <pic:blipFill>
                    <a:blip r:embed="rId80"/>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Start w:id="86" w:name="fig:segmented-residual-distribution"/>
    <w:p>
      <w:pPr>
        <w:pStyle w:val="CaptionedFigure"/>
      </w:pPr>
      <w:r>
        <w:drawing>
          <wp:inline>
            <wp:extent cx="4800600" cy="2937084"/>
            <wp:effectExtent b="0" l="0" r="0" t="0"/>
            <wp:docPr descr="" title="" id="84" name="Picture"/>
            <a:graphic>
              <a:graphicData uri="http://schemas.openxmlformats.org/drawingml/2006/picture">
                <pic:pic>
                  <pic:nvPicPr>
                    <pic:cNvPr descr="短期残差分段分布图.png" id="85" name="Picture"/>
                    <pic:cNvPicPr>
                      <a:picLocks noChangeArrowheads="1" noChangeAspect="1"/>
                    </pic:cNvPicPr>
                  </pic:nvPicPr>
                  <pic:blipFill>
                    <a:blip r:embed="rId83"/>
                    <a:stretch>
                      <a:fillRect/>
                    </a:stretch>
                  </pic:blipFill>
                  <pic:spPr bwMode="auto">
                    <a:xfrm>
                      <a:off x="0" y="0"/>
                      <a:ext cx="4800600" cy="2937084"/>
                    </a:xfrm>
                    <a:prstGeom prst="rect">
                      <a:avLst/>
                    </a:prstGeom>
                    <a:noFill/>
                    <a:ln w="9525">
                      <a:noFill/>
                      <a:headEnd/>
                      <a:tailEnd/>
                    </a:ln>
                  </pic:spPr>
                </pic:pic>
              </a:graphicData>
            </a:graphic>
          </wp:inline>
        </w:drawing>
      </w:r>
    </w:p>
    <w:p>
      <w:pPr>
        <w:pStyle w:val="ImageCaption"/>
      </w:pPr>
      <w:r>
        <w:rPr>
          <w:rFonts w:hint="eastAsia"/>
        </w:rPr>
        <w:t xml:space="preserve">短期模型残差的分段分布。小提琴图、箱线图和逐日散点共同显示，冲击启动期和回落修复期误差分布较均衡，高位平台期误差离散度更高，说明模型主要难点集中在市场反复确认封锁持续性和缓冲可信度的阶段。</w:t>
      </w:r>
    </w:p>
    <w:bookmarkEnd w:id="86"/>
    <w:bookmarkEnd w:id="87"/>
    <w:bookmarkStart w:id="91"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9" name="Picture"/>
            <a:graphic>
              <a:graphicData uri="http://schemas.openxmlformats.org/drawingml/2006/picture">
                <pic:pic>
                  <pic:nvPicPr>
                    <pic:cNvPr descr="短期模型时间轴与删块稳健性.png" id="90" name="Picture"/>
                    <pic:cNvPicPr>
                      <a:picLocks noChangeArrowheads="1" noChangeAspect="1"/>
                    </pic:cNvPicPr>
                  </pic:nvPicPr>
                  <pic:blipFill>
                    <a:blip r:embed="rId88"/>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91"/>
    <w:bookmarkStart w:id="98"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93" name="Picture"/>
            <a:graphic>
              <a:graphicData uri="http://schemas.openxmlformats.org/drawingml/2006/picture">
                <pic:pic>
                  <pic:nvPicPr>
                    <pic:cNvPr descr="短期模型统计审计.png" id="94" name="Picture"/>
                    <pic:cNvPicPr>
                      <a:picLocks noChangeArrowheads="1" noChangeAspect="1"/>
                    </pic:cNvPicPr>
                  </pic:nvPicPr>
                  <pic:blipFill>
                    <a:blip r:embed="rId92"/>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6" name="Picture"/>
            <a:graphic>
              <a:graphicData uri="http://schemas.openxmlformats.org/drawingml/2006/picture">
                <pic:pic>
                  <pic:nvPicPr>
                    <pic:cNvPr descr="R短期误差学术诊断.png" id="97" name="Picture"/>
                    <pic:cNvPicPr>
                      <a:picLocks noChangeArrowheads="1" noChangeAspect="1"/>
                    </pic:cNvPicPr>
                  </pic:nvPicPr>
                  <pic:blipFill>
                    <a:blip r:embed="rId95"/>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8"/>
    <w:bookmarkEnd w:id="99"/>
    <w:bookmarkStart w:id="129" w:name="机制消融事件边界与机器学习辅助"/>
    <w:p>
      <w:pPr>
        <w:pStyle w:val="Heading2"/>
      </w:pPr>
      <w:r>
        <w:rPr>
          <w:rFonts w:hint="eastAsia"/>
        </w:rPr>
        <w:t xml:space="preserve">机制消融、事件边界与机器学习辅助</w:t>
      </w:r>
    </w:p>
    <w:bookmarkStart w:id="100"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100"/>
    <w:bookmarkStart w:id="105"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Start w:id="104" w:name="fig:lagged-feature-correlation"/>
    <w:p>
      <w:pPr>
        <w:pStyle w:val="CaptionedFigure"/>
      </w:pPr>
      <w:r>
        <w:drawing>
          <wp:inline>
            <wp:extent cx="4693920" cy="4253662"/>
            <wp:effectExtent b="0" l="0" r="0" t="0"/>
            <wp:docPr descr="" title="" id="102" name="Picture"/>
            <a:graphic>
              <a:graphicData uri="http://schemas.openxmlformats.org/drawingml/2006/picture">
                <pic:pic>
                  <pic:nvPicPr>
                    <pic:cNvPr descr="滞后特征相关性热力图.png" id="103" name="Picture"/>
                    <pic:cNvPicPr>
                      <a:picLocks noChangeArrowheads="1" noChangeAspect="1"/>
                    </pic:cNvPicPr>
                  </pic:nvPicPr>
                  <pic:blipFill>
                    <a:blip r:embed="rId101"/>
                    <a:stretch>
                      <a:fillRect/>
                    </a:stretch>
                  </pic:blipFill>
                  <pic:spPr bwMode="auto">
                    <a:xfrm>
                      <a:off x="0" y="0"/>
                      <a:ext cx="4693920" cy="4253662"/>
                    </a:xfrm>
                    <a:prstGeom prst="rect">
                      <a:avLst/>
                    </a:prstGeom>
                    <a:noFill/>
                    <a:ln w="9525">
                      <a:noFill/>
                      <a:headEnd/>
                      <a:tailEnd/>
                    </a:ln>
                  </pic:spPr>
                </pic:pic>
              </a:graphicData>
            </a:graphic>
          </wp:inline>
        </w:drawing>
      </w:r>
    </w:p>
    <w:p>
      <w:pPr>
        <w:pStyle w:val="ImageCaption"/>
      </w:pPr>
      <w:r>
        <w:rPr>
          <w:rFonts w:hint="eastAsia"/>
        </w:rPr>
        <w:t xml:space="preserve">滞后价格特征相关性热力图。该图只使用目标日前可观测的历史价格特征，展示收益率、波动率、均线偏离和价格分位之间的相关结构；高相关块说明机器学习层存在信息冗余，因此本文采用低自由度</w:t>
      </w:r>
      <w:r>
        <w:t xml:space="preserve"> Ridge </w:t>
      </w:r>
      <w:r>
        <w:rPr>
          <w:rFonts w:hint="eastAsia"/>
        </w:rPr>
        <w:t xml:space="preserve">辅助修正，而不把复杂机器学习模型作为主解释模型。</w:t>
      </w:r>
    </w:p>
    <w:bookmarkEnd w:id="104"/>
    <w:bookmarkEnd w:id="105"/>
    <w:bookmarkStart w:id="113"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107" name="Picture"/>
            <a:graphic>
              <a:graphicData uri="http://schemas.openxmlformats.org/drawingml/2006/picture">
                <pic:pic>
                  <pic:nvPicPr>
                    <pic:cNvPr descr="短期模型拐点局部检验.png" id="108" name="Picture"/>
                    <pic:cNvPicPr>
                      <a:picLocks noChangeArrowheads="1" noChangeAspect="1"/>
                    </pic:cNvPicPr>
                  </pic:nvPicPr>
                  <pic:blipFill>
                    <a:blip r:embed="rId10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进一步地，本文将短期冲突窗口拆成四个事件段，分别检验初始冲击吸收、高位平台形成、中期再定价回落和后期二次抬升。表</w:t>
      </w:r>
      <w:r>
        <w:t xml:space="preserve"> </w:t>
      </w:r>
      <w:hyperlink w:anchor="tab:short-event-window-audit">
        <w:r>
          <w:rPr>
            <w:rStyle w:val="Hyperlink"/>
          </w:rPr>
          <w:t xml:space="preserve">5</w:t>
        </w:r>
      </w:hyperlink>
      <w:r>
        <w:t xml:space="preserve"> </w:t>
      </w:r>
      <w:r>
        <w:rPr>
          <w:rFonts w:hint="eastAsia"/>
        </w:rPr>
        <w:t xml:space="preserve">显示，四个事件窗口下模型</w:t>
      </w:r>
      <w:r>
        <w:t xml:space="preserve"> RMSE </w:t>
      </w:r>
      <w:r>
        <w:rPr>
          <w:rFonts w:hint="eastAsia"/>
        </w:rPr>
        <w:t xml:space="preserve">均低于朴素上一日基准，其中初始冲击吸收和后期二次抬升窗口的相对改善率超过</w:t>
      </w:r>
      <w:r>
        <w:t xml:space="preserve"> </w:t>
      </w:r>
      <w:r>
        <w:rPr>
          <w:rFonts w:hint="eastAsia"/>
        </w:rPr>
        <w:t xml:space="preserve">30%。高位平台形成和中期再定价回落窗口误差相对更高，说明模型最难处理的不是方向判断，而是平台期真实价格的短期反复震荡。</w:t>
      </w:r>
    </w:p>
    <w:bookmarkStart w:id="109" w:name="tab:short-event-window-audit"/>
    <w:p>
      <w:pPr>
        <w:pStyle w:val="TableCaption"/>
      </w:pPr>
      <w:r>
        <w:rPr>
          <w:rFonts w:hint="eastAsia"/>
        </w:rPr>
        <w:t xml:space="preserve">短期模型事件窗口检验表</w:t>
      </w:r>
    </w:p>
    <w:tbl>
      <w:tblPr>
        <w:tblStyle w:val="Table"/>
        <w:tblW w:type="auto" w:w="0"/>
        <w:tblLook w:firstRow="1" w:lastRow="0" w:firstColumn="0" w:lastColumn="0" w:noHBand="0" w:noVBand="0" w:val="0020"/>
        <w:tblCaption w:val="短期模型事件窗口检验表"/>
      </w:tblPr>
      <w:tblGrid>
        <w:gridCol w:w="1584"/>
        <w:gridCol w:w="1584"/>
        <w:gridCol w:w="1584"/>
        <w:gridCol w:w="1584"/>
        <w:gridCol w:w="1584"/>
      </w:tblGrid>
      <w:tr>
        <w:trPr>
          <w:tblHeader w:val="on"/>
        </w:trPr>
        <w:tc>
          <w:tcPr/>
          <w:p>
            <w:pPr>
              <w:pStyle w:val="Compact"/>
              <w:jc w:val="left"/>
            </w:pPr>
            <w:r>
              <w:rPr>
                <w:rFonts w:hint="eastAsia"/>
              </w:rPr>
              <w:t xml:space="preserve">事件窗口</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方向命中率</w:t>
            </w:r>
          </w:p>
        </w:tc>
        <w:tc>
          <w:tcPr/>
          <w:p>
            <w:pPr>
              <w:pStyle w:val="Compact"/>
              <w:jc w:val="right"/>
            </w:pPr>
            <w:r>
              <w:rPr>
                <w:rFonts w:hint="eastAsia"/>
              </w:rPr>
              <w:t xml:space="preserve">相对朴素改善率</w:t>
            </w:r>
          </w:p>
        </w:tc>
      </w:tr>
      <w:tr>
        <w:tc>
          <w:tcPr/>
          <w:p>
            <w:pPr>
              <w:pStyle w:val="Compact"/>
              <w:jc w:val="left"/>
            </w:pPr>
            <w:r>
              <w:rPr>
                <w:rFonts w:hint="eastAsia"/>
              </w:rPr>
              <w:t xml:space="preserve">初始冲击吸收</w:t>
            </w:r>
          </w:p>
        </w:tc>
        <w:tc>
          <w:tcPr/>
          <w:p>
            <w:pPr>
              <w:pStyle w:val="Compact"/>
              <w:jc w:val="right"/>
            </w:pPr>
            <w:r>
              <w:t xml:space="preserve">3.27</w:t>
            </w:r>
          </w:p>
        </w:tc>
        <w:tc>
          <w:tcPr/>
          <w:p>
            <w:pPr>
              <w:pStyle w:val="Compact"/>
              <w:jc w:val="right"/>
            </w:pPr>
            <w:r>
              <w:t xml:space="preserve">2.88</w:t>
            </w:r>
          </w:p>
        </w:tc>
        <w:tc>
          <w:tcPr/>
          <w:p>
            <w:pPr>
              <w:pStyle w:val="Compact"/>
              <w:jc w:val="right"/>
            </w:pPr>
            <w:r>
              <w:t xml:space="preserve">77.8%</w:t>
            </w:r>
          </w:p>
        </w:tc>
        <w:tc>
          <w:tcPr/>
          <w:p>
            <w:pPr>
              <w:pStyle w:val="Compact"/>
              <w:jc w:val="right"/>
            </w:pPr>
            <w:r>
              <w:t xml:space="preserve">32.7%</w:t>
            </w:r>
          </w:p>
        </w:tc>
      </w:tr>
      <w:tr>
        <w:tc>
          <w:tcPr/>
          <w:p>
            <w:pPr>
              <w:pStyle w:val="Compact"/>
              <w:jc w:val="left"/>
            </w:pPr>
            <w:r>
              <w:rPr>
                <w:rFonts w:hint="eastAsia"/>
              </w:rPr>
              <w:t xml:space="preserve">高位平台形成</w:t>
            </w:r>
          </w:p>
        </w:tc>
        <w:tc>
          <w:tcPr/>
          <w:p>
            <w:pPr>
              <w:pStyle w:val="Compact"/>
              <w:jc w:val="right"/>
            </w:pPr>
            <w:r>
              <w:t xml:space="preserve">3.91</w:t>
            </w:r>
          </w:p>
        </w:tc>
        <w:tc>
          <w:tcPr/>
          <w:p>
            <w:pPr>
              <w:pStyle w:val="Compact"/>
              <w:jc w:val="right"/>
            </w:pPr>
            <w:r>
              <w:t xml:space="preserve">3.23</w:t>
            </w:r>
          </w:p>
        </w:tc>
        <w:tc>
          <w:tcPr/>
          <w:p>
            <w:pPr>
              <w:pStyle w:val="Compact"/>
              <w:jc w:val="right"/>
            </w:pPr>
            <w:r>
              <w:t xml:space="preserve">70.0%</w:t>
            </w:r>
          </w:p>
        </w:tc>
        <w:tc>
          <w:tcPr/>
          <w:p>
            <w:pPr>
              <w:pStyle w:val="Compact"/>
              <w:jc w:val="right"/>
            </w:pPr>
            <w:r>
              <w:t xml:space="preserve">16.5%</w:t>
            </w:r>
          </w:p>
        </w:tc>
      </w:tr>
      <w:tr>
        <w:tc>
          <w:tcPr/>
          <w:p>
            <w:pPr>
              <w:pStyle w:val="Compact"/>
              <w:jc w:val="left"/>
            </w:pPr>
            <w:r>
              <w:rPr>
                <w:rFonts w:hint="eastAsia"/>
              </w:rPr>
              <w:t xml:space="preserve">中期再定价回落</w:t>
            </w:r>
          </w:p>
        </w:tc>
        <w:tc>
          <w:tcPr/>
          <w:p>
            <w:pPr>
              <w:pStyle w:val="Compact"/>
              <w:jc w:val="right"/>
            </w:pPr>
            <w:r>
              <w:t xml:space="preserve">3.90</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14.1%</w:t>
            </w:r>
          </w:p>
        </w:tc>
      </w:tr>
      <w:tr>
        <w:tc>
          <w:tcPr/>
          <w:p>
            <w:pPr>
              <w:pStyle w:val="Compact"/>
              <w:jc w:val="left"/>
            </w:pPr>
            <w:r>
              <w:rPr>
                <w:rFonts w:hint="eastAsia"/>
              </w:rPr>
              <w:t xml:space="preserve">后期二次抬升</w:t>
            </w:r>
          </w:p>
        </w:tc>
        <w:tc>
          <w:tcPr/>
          <w:p>
            <w:pPr>
              <w:pStyle w:val="Compact"/>
              <w:jc w:val="right"/>
            </w:pPr>
            <w:r>
              <w:t xml:space="preserve">2.66</w:t>
            </w:r>
          </w:p>
        </w:tc>
        <w:tc>
          <w:tcPr/>
          <w:p>
            <w:pPr>
              <w:pStyle w:val="Compact"/>
              <w:jc w:val="right"/>
            </w:pPr>
            <w:r>
              <w:t xml:space="preserve">2.14</w:t>
            </w:r>
          </w:p>
        </w:tc>
        <w:tc>
          <w:tcPr/>
          <w:p>
            <w:pPr>
              <w:pStyle w:val="Compact"/>
              <w:jc w:val="right"/>
            </w:pPr>
            <w:r>
              <w:t xml:space="preserve">54.5%</w:t>
            </w:r>
          </w:p>
        </w:tc>
        <w:tc>
          <w:tcPr/>
          <w:p>
            <w:pPr>
              <w:pStyle w:val="Compact"/>
              <w:jc w:val="right"/>
            </w:pPr>
            <w:r>
              <w:t xml:space="preserve">32.0%</w:t>
            </w:r>
          </w:p>
        </w:tc>
      </w:tr>
    </w:tbl>
    <w:bookmarkEnd w:id="109"/>
    <w:p>
      <w:pPr>
        <w:pStyle w:val="CaptionedFigure"/>
      </w:pPr>
      <w:r>
        <w:drawing>
          <wp:inline>
            <wp:extent cx="5013960" cy="3038763"/>
            <wp:effectExtent b="0" l="0" r="0" t="0"/>
            <wp:docPr descr="" title="" id="111" name="Picture"/>
            <a:graphic>
              <a:graphicData uri="http://schemas.openxmlformats.org/drawingml/2006/picture">
                <pic:pic>
                  <pic:nvPicPr>
                    <pic:cNvPr descr="短期模型事件窗口检验.png" id="112" name="Picture"/>
                    <pic:cNvPicPr>
                      <a:picLocks noChangeArrowheads="1" noChangeAspect="1"/>
                    </pic:cNvPicPr>
                  </pic:nvPicPr>
                  <pic:blipFill>
                    <a:blip r:embed="rId110"/>
                    <a:stretch>
                      <a:fillRect/>
                    </a:stretch>
                  </pic:blipFill>
                  <pic:spPr bwMode="auto">
                    <a:xfrm>
                      <a:off x="0" y="0"/>
                      <a:ext cx="5013960" cy="3038763"/>
                    </a:xfrm>
                    <a:prstGeom prst="rect">
                      <a:avLst/>
                    </a:prstGeom>
                    <a:noFill/>
                    <a:ln w="9525">
                      <a:noFill/>
                      <a:headEnd/>
                      <a:tailEnd/>
                    </a:ln>
                  </pic:spPr>
                </pic:pic>
              </a:graphicData>
            </a:graphic>
          </wp:inline>
        </w:drawing>
      </w:r>
    </w:p>
    <w:p>
      <w:pPr>
        <w:pStyle w:val="ImageCaption"/>
      </w:pPr>
      <w:r>
        <w:rPr>
          <w:rFonts w:hint="eastAsia"/>
        </w:rPr>
        <w:t xml:space="preserve">短期模型事件窗口检验。该图将总拟合曲线拆成四个关键事件段，显示模型在初始冲击和后期抬升段拟合较稳，在高位平台与中期回落段仍面临更高日度噪声。</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13"/>
    <w:bookmarkStart w:id="125"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BodyText"/>
      </w:pPr>
      <w:r>
        <w:rPr>
          <w:rFonts w:hint="eastAsia"/>
        </w:rPr>
        <w:t xml:space="preserve">为进一步排除</w:t>
      </w:r>
      <w:r>
        <w:rPr>
          <w:rFonts w:hint="eastAsia"/>
        </w:rPr>
        <w:t xml:space="preserve">“单个神奇参数点”</w:t>
      </w:r>
      <w:r>
        <w:rPr>
          <w:rFonts w:hint="eastAsia"/>
        </w:rPr>
        <w:t xml:space="preserve">的风险，本文固定其他参数，只对价格传导系数、封锁风险权重、不确定性底座、价格调整速度、缓冲确认折价和预期修复折价进行一维剖面检验。图</w:t>
      </w:r>
      <w:r>
        <w:t xml:space="preserve"> </w:t>
      </w:r>
      <w:hyperlink w:anchor="fig:short-parameter-profile">
        <w:r>
          <w:rPr>
            <w:rStyle w:val="Hyperlink"/>
          </w:rPr>
          <w:t xml:space="preserve">7</w:t>
        </w:r>
      </w:hyperlink>
      <w:r>
        <w:t xml:space="preserve"> </w:t>
      </w:r>
      <w:r>
        <w:rPr>
          <w:rFonts w:hint="eastAsia"/>
        </w:rPr>
        <w:t xml:space="preserve">表明，当前最优参数附近的误差曲线整体连续，轻微扰动不会导致模型表现突然崩溃；其中封锁风险权重和不确定性底座对</w:t>
      </w:r>
      <w:r>
        <w:t xml:space="preserve"> RMSE </w:t>
      </w:r>
      <w:r>
        <w:rPr>
          <w:rFonts w:hint="eastAsia"/>
        </w:rPr>
        <w:t xml:space="preserve">更敏感，说明风险溢价通道是短期路径解释的关键部分。</w:t>
      </w:r>
    </w:p>
    <w:bookmarkStart w:id="117" w:name="fig:short-parameter-profile"/>
    <w:p>
      <w:pPr>
        <w:pStyle w:val="CaptionedFigure"/>
      </w:pPr>
      <w:r>
        <w:drawing>
          <wp:inline>
            <wp:extent cx="5013960" cy="2962794"/>
            <wp:effectExtent b="0" l="0" r="0" t="0"/>
            <wp:docPr descr="" title="" id="115" name="Picture"/>
            <a:graphic>
              <a:graphicData uri="http://schemas.openxmlformats.org/drawingml/2006/picture">
                <pic:pic>
                  <pic:nvPicPr>
                    <pic:cNvPr descr="短期模型参数剖面图.png" id="116" name="Picture"/>
                    <pic:cNvPicPr>
                      <a:picLocks noChangeArrowheads="1" noChangeAspect="1"/>
                    </pic:cNvPicPr>
                  </pic:nvPicPr>
                  <pic:blipFill>
                    <a:blip r:embed="rId114"/>
                    <a:stretch>
                      <a:fillRect/>
                    </a:stretch>
                  </pic:blipFill>
                  <pic:spPr bwMode="auto">
                    <a:xfrm>
                      <a:off x="0" y="0"/>
                      <a:ext cx="5013960" cy="2962794"/>
                    </a:xfrm>
                    <a:prstGeom prst="rect">
                      <a:avLst/>
                    </a:prstGeom>
                    <a:noFill/>
                    <a:ln w="9525">
                      <a:noFill/>
                      <a:headEnd/>
                      <a:tailEnd/>
                    </a:ln>
                  </pic:spPr>
                </pic:pic>
              </a:graphicData>
            </a:graphic>
          </wp:inline>
        </w:drawing>
      </w:r>
    </w:p>
    <w:p>
      <w:pPr>
        <w:pStyle w:val="ImageCaption"/>
      </w:pPr>
      <w:r>
        <w:rPr>
          <w:rFonts w:hint="eastAsia"/>
        </w:rPr>
        <w:t xml:space="preserve">短期模型关键参数一维剖面。横轴为相对当前最优参数的比例，绿点为当前参数位置，虚线为</w:t>
      </w:r>
      <w:r>
        <w:t xml:space="preserve"> RMSE=5 </w:t>
      </w:r>
      <w:r>
        <w:rPr>
          <w:rFonts w:hint="eastAsia"/>
        </w:rPr>
        <w:t xml:space="preserve">的稳健性参考阈值；图中曲线用于检验模型是否依赖孤立参数点。</w:t>
      </w:r>
    </w:p>
    <w:bookmarkEnd w:id="117"/>
    <w:p>
      <w:pPr>
        <w:pStyle w:val="CaptionedFigure"/>
      </w:pPr>
      <w:r>
        <w:drawing>
          <wp:inline>
            <wp:extent cx="4907280" cy="2587474"/>
            <wp:effectExtent b="0" l="0" r="0" t="0"/>
            <wp:docPr descr="" title="" id="119" name="Picture"/>
            <a:graphic>
              <a:graphicData uri="http://schemas.openxmlformats.org/drawingml/2006/picture">
                <pic:pic>
                  <pic:nvPicPr>
                    <pic:cNvPr descr="短期模型稳健性带.png" id="120" name="Picture"/>
                    <pic:cNvPicPr>
                      <a:picLocks noChangeArrowheads="1" noChangeAspect="1"/>
                    </pic:cNvPicPr>
                  </pic:nvPicPr>
                  <pic:blipFill>
                    <a:blip r:embed="rId11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短期模型局部扰动稳健性区间。青蓝区间表示优秀扰动样本的价格分布，深蓝线为综合最优模型，黑线为实际收盘价。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8</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24" w:name="fig:short-quality-gate"/>
    <w:p>
      <w:pPr>
        <w:pStyle w:val="CaptionedFigure"/>
      </w:pPr>
      <w:r>
        <w:drawing>
          <wp:inline>
            <wp:extent cx="4160520" cy="3874484"/>
            <wp:effectExtent b="0" l="0" r="0" t="0"/>
            <wp:docPr descr="" title="" id="122" name="Picture"/>
            <a:graphic>
              <a:graphicData uri="http://schemas.openxmlformats.org/drawingml/2006/picture">
                <pic:pic>
                  <pic:nvPicPr>
                    <pic:cNvPr descr="短期模型最终质量雷达图.png" id="123" name="Picture"/>
                    <pic:cNvPicPr>
                      <a:picLocks noChangeArrowheads="1" noChangeAspect="1"/>
                    </pic:cNvPicPr>
                  </pic:nvPicPr>
                  <pic:blipFill>
                    <a:blip r:embed="rId121"/>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24"/>
    <w:bookmarkEnd w:id="125"/>
    <w:bookmarkStart w:id="126"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26"/>
    <w:bookmarkStart w:id="128"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6</w:t>
        </w:r>
      </w:hyperlink>
      <w:r>
        <w:t xml:space="preserve"> </w:t>
      </w:r>
      <w:r>
        <w:rPr>
          <w:rFonts w:hint="eastAsia"/>
        </w:rPr>
        <w:t xml:space="preserve">中的检验均不重新寻找最优参数，而是在同一模型框架下改变某个关键条件，观察主结论是否保持稳定。</w:t>
      </w:r>
    </w:p>
    <w:bookmarkStart w:id="127"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27"/>
    <w:bookmarkEnd w:id="128"/>
    <w:bookmarkEnd w:id="129"/>
    <w:bookmarkEnd w:id="130"/>
    <w:bookmarkStart w:id="151" w:name="天三情景预测"/>
    <w:p>
      <w:pPr>
        <w:pStyle w:val="Heading1"/>
      </w:pPr>
      <w:r>
        <w:t xml:space="preserve">60–180 </w:t>
      </w:r>
      <w:r>
        <w:rPr>
          <w:rFonts w:hint="eastAsia"/>
        </w:rPr>
        <w:t xml:space="preserve">天三情景预测</w:t>
      </w:r>
    </w:p>
    <w:bookmarkStart w:id="131"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31"/>
    <w:bookmarkStart w:id="134"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7</w:t>
        </w:r>
      </w:hyperlink>
      <w:r>
        <w:t xml:space="preserve">。</w:t>
      </w:r>
    </w:p>
    <w:bookmarkStart w:id="132"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32"/>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8</w:t>
        </w:r>
      </w:hyperlink>
      <w:r>
        <w:t xml:space="preserve">。</w:t>
      </w:r>
    </w:p>
    <w:bookmarkStart w:id="133"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33"/>
    <w:bookmarkEnd w:id="134"/>
    <w:bookmarkStart w:id="150"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38" w:name="fig:long-term-fan"/>
    <w:p>
      <w:pPr>
        <w:pStyle w:val="CaptionedFigure"/>
      </w:pPr>
      <w:r>
        <w:drawing>
          <wp:inline>
            <wp:extent cx="5227320" cy="2777013"/>
            <wp:effectExtent b="0" l="0" r="0" t="0"/>
            <wp:docPr descr="" title="" id="136" name="Picture"/>
            <a:graphic>
              <a:graphicData uri="http://schemas.openxmlformats.org/drawingml/2006/picture">
                <pic:pic>
                  <pic:nvPicPr>
                    <pic:cNvPr descr="蒙特卡洛情景树高级组合图.png" id="137" name="Picture"/>
                    <pic:cNvPicPr>
                      <a:picLocks noChangeArrowheads="1" noChangeAspect="1"/>
                    </pic:cNvPicPr>
                  </pic:nvPicPr>
                  <pic:blipFill>
                    <a:blip r:embed="rId135"/>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38"/>
    <w:p>
      <w:pPr>
        <w:pStyle w:val="CaptionedFigure"/>
      </w:pPr>
      <w:r>
        <w:drawing>
          <wp:inline>
            <wp:extent cx="5013960" cy="2757678"/>
            <wp:effectExtent b="0" l="0" r="0" t="0"/>
            <wp:docPr descr="" title="" id="140" name="Picture"/>
            <a:graphic>
              <a:graphicData uri="http://schemas.openxmlformats.org/drawingml/2006/picture">
                <pic:pic>
                  <pic:nvPicPr>
                    <pic:cNvPr descr="短期拟合与长期预测总览.png" id="141" name="Picture"/>
                    <pic:cNvPicPr>
                      <a:picLocks noChangeArrowheads="1" noChangeAspect="1"/>
                    </pic:cNvPicPr>
                  </pic:nvPicPr>
                  <pic:blipFill>
                    <a:blip r:embed="rId139"/>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9</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9</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42"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42"/>
    <w:bookmarkStart w:id="146" w:name="fig:state-transition-fan"/>
    <w:p>
      <w:pPr>
        <w:pStyle w:val="CaptionedFigure"/>
      </w:pPr>
      <w:r>
        <w:drawing>
          <wp:inline>
            <wp:extent cx="5013960" cy="3654242"/>
            <wp:effectExtent b="0" l="0" r="0" t="0"/>
            <wp:docPr descr="" title="" id="144" name="Picture"/>
            <a:graphic>
              <a:graphicData uri="http://schemas.openxmlformats.org/drawingml/2006/picture">
                <pic:pic>
                  <pic:nvPicPr>
                    <pic:cNvPr descr="长期状态转移情景树.png" id="145" name="Picture"/>
                    <pic:cNvPicPr>
                      <a:picLocks noChangeArrowheads="1" noChangeAspect="1"/>
                    </pic:cNvPicPr>
                  </pic:nvPicPr>
                  <pic:blipFill>
                    <a:blip r:embed="rId143"/>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46"/>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10</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48" name="Picture"/>
            <a:graphic>
              <a:graphicData uri="http://schemas.openxmlformats.org/drawingml/2006/picture">
                <pic:pic>
                  <pic:nvPicPr>
                    <pic:cNvPr descr="库存与供需缺口风险.png" id="149" name="Picture"/>
                    <pic:cNvPicPr>
                      <a:picLocks noChangeArrowheads="1" noChangeAspect="1"/>
                    </pic:cNvPicPr>
                  </pic:nvPicPr>
                  <pic:blipFill>
                    <a:blip r:embed="rId147"/>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50"/>
    <w:bookmarkEnd w:id="151"/>
    <w:bookmarkStart w:id="195" w:name="敏感性分析"/>
    <w:p>
      <w:pPr>
        <w:pStyle w:val="Heading1"/>
      </w:pPr>
      <w:r>
        <w:rPr>
          <w:rFonts w:hint="eastAsia"/>
        </w:rPr>
        <w:t xml:space="preserve">敏感性分析</w:t>
      </w:r>
    </w:p>
    <w:bookmarkStart w:id="152"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52"/>
    <w:bookmarkStart w:id="161"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56" w:name="fig:sensitivity-tornado"/>
    <w:p>
      <w:pPr>
        <w:pStyle w:val="CaptionedFigure"/>
      </w:pPr>
      <w:r>
        <w:drawing>
          <wp:inline>
            <wp:extent cx="4907280" cy="2998893"/>
            <wp:effectExtent b="0" l="0" r="0" t="0"/>
            <wp:docPr descr="" title="" id="154" name="Picture"/>
            <a:graphic>
              <a:graphicData uri="http://schemas.openxmlformats.org/drawingml/2006/picture">
                <pic:pic>
                  <pic:nvPicPr>
                    <pic:cNvPr descr="参数敏感性龙卷风图.png" id="155" name="Picture"/>
                    <pic:cNvPicPr>
                      <a:picLocks noChangeArrowheads="1" noChangeAspect="1"/>
                    </pic:cNvPicPr>
                  </pic:nvPicPr>
                  <pic:blipFill>
                    <a:blip r:embed="rId153"/>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56"/>
    <w:bookmarkStart w:id="160" w:name="fig:sensitivity-heatmap"/>
    <w:p>
      <w:pPr>
        <w:pStyle w:val="CaptionedFigure"/>
      </w:pPr>
      <w:r>
        <w:drawing>
          <wp:inline>
            <wp:extent cx="4800600" cy="2971150"/>
            <wp:effectExtent b="0" l="0" r="0" t="0"/>
            <wp:docPr descr="" title="" id="158" name="Picture"/>
            <a:graphic>
              <a:graphicData uri="http://schemas.openxmlformats.org/drawingml/2006/picture">
                <pic:pic>
                  <pic:nvPicPr>
                    <pic:cNvPr descr="长期敏感性扰动热力图.png" id="159" name="Picture"/>
                    <pic:cNvPicPr>
                      <a:picLocks noChangeArrowheads="1" noChangeAspect="1"/>
                    </pic:cNvPicPr>
                  </pic:nvPicPr>
                  <pic:blipFill>
                    <a:blip r:embed="rId157"/>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深蓝代表终点价格上升，绿色代表终点价格下降。相比单一排序图，该图进一步展示同一参数在不同扰动档位下是否呈现稳定方向，说明长期结论主要受封锁风险衰减速度、地缘风险权重和制度风险强度共同控制。</w:t>
      </w:r>
    </w:p>
    <w:bookmarkEnd w:id="160"/>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11</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61"/>
    <w:bookmarkStart w:id="172"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63" name="Picture"/>
            <a:graphic>
              <a:graphicData uri="http://schemas.openxmlformats.org/drawingml/2006/picture">
                <pic:pic>
                  <pic:nvPicPr>
                    <pic:cNvPr descr="历史波动参数校准.png" id="164" name="Picture"/>
                    <pic:cNvPicPr>
                      <a:picLocks noChangeArrowheads="1" noChangeAspect="1"/>
                    </pic:cNvPicPr>
                  </pic:nvPicPr>
                  <pic:blipFill>
                    <a:blip r:embed="rId162"/>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68" w:name="fig:mc-path-cloud"/>
    <w:p>
      <w:pPr>
        <w:pStyle w:val="CaptionedFigure"/>
      </w:pPr>
      <w:r>
        <w:drawing>
          <wp:inline>
            <wp:extent cx="4907280" cy="2661575"/>
            <wp:effectExtent b="0" l="0" r="0" t="0"/>
            <wp:docPr descr="" title="" id="166" name="Picture"/>
            <a:graphic>
              <a:graphicData uri="http://schemas.openxmlformats.org/drawingml/2006/picture">
                <pic:pic>
                  <pic:nvPicPr>
                    <pic:cNvPr descr="传统蒙特卡洛路径云图.png" id="167" name="Picture"/>
                    <pic:cNvPicPr>
                      <a:picLocks noChangeArrowheads="1" noChangeAspect="1"/>
                    </pic:cNvPicPr>
                  </pic:nvPicPr>
                  <pic:blipFill>
                    <a:blip r:embed="rId165"/>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条模拟路径中分层抽取代表路径，黑线为中位数路径，青蓝虚线为</w:t>
      </w:r>
      <w:r>
        <w:t xml:space="preserve"> P05/P95 </w:t>
      </w:r>
      <w:r>
        <w:rPr>
          <w:rFonts w:hint="eastAsia"/>
        </w:rPr>
        <w:t xml:space="preserve">条件边界，亮蓝虚线为</w:t>
      </w:r>
      <w:r>
        <w:t xml:space="preserve"> 120 </w:t>
      </w:r>
      <w:r>
        <w:rPr>
          <w:rFonts w:hint="eastAsia"/>
        </w:rPr>
        <w:t xml:space="preserve">美元/桶风险线。</w:t>
      </w:r>
    </w:p>
    <w:bookmarkEnd w:id="168"/>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70" name="Picture"/>
            <a:graphic>
              <a:graphicData uri="http://schemas.openxmlformats.org/drawingml/2006/picture">
                <pic:pic>
                  <pic:nvPicPr>
                    <pic:cNvPr descr="蒙特卡洛尾部风险概率.png" id="171" name="Picture"/>
                    <pic:cNvPicPr>
                      <a:picLocks noChangeArrowheads="1" noChangeAspect="1"/>
                    </pic:cNvPicPr>
                  </pic:nvPicPr>
                  <pic:blipFill>
                    <a:blip r:embed="rId169"/>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72"/>
    <w:bookmarkStart w:id="176"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74" name="Picture"/>
            <a:graphic>
              <a:graphicData uri="http://schemas.openxmlformats.org/drawingml/2006/picture">
                <pic:pic>
                  <pic:nvPicPr>
                    <pic:cNvPr descr="R长期状态转移扇形图.png" id="175" name="Picture"/>
                    <pic:cNvPicPr>
                      <a:picLocks noChangeArrowheads="1" noChangeAspect="1"/>
                    </pic:cNvPicPr>
                  </pic:nvPicPr>
                  <pic:blipFill>
                    <a:blip r:embed="rId173"/>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76"/>
    <w:bookmarkStart w:id="183"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78" name="Picture"/>
            <a:graphic>
              <a:graphicData uri="http://schemas.openxmlformats.org/drawingml/2006/picture">
                <pic:pic>
                  <pic:nvPicPr>
                    <pic:cNvPr descr="地缘风险指数滞后审计.png" id="179" name="Picture"/>
                    <pic:cNvPicPr>
                      <a:picLocks noChangeArrowheads="1" noChangeAspect="1"/>
                    </pic:cNvPicPr>
                  </pic:nvPicPr>
                  <pic:blipFill>
                    <a:blip r:embed="rId177"/>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81" name="Picture"/>
            <a:graphic>
              <a:graphicData uri="http://schemas.openxmlformats.org/drawingml/2006/picture">
                <pic:pic>
                  <pic:nvPicPr>
                    <pic:cNvPr descr="滞后GPR与布伦特收益关系.png" id="182" name="Picture"/>
                    <pic:cNvPicPr>
                      <a:picLocks noChangeArrowheads="1" noChangeAspect="1"/>
                    </pic:cNvPicPr>
                  </pic:nvPicPr>
                  <pic:blipFill>
                    <a:blip r:embed="rId180"/>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83"/>
    <w:bookmarkStart w:id="187"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85" name="Picture"/>
            <a:graphic>
              <a:graphicData uri="http://schemas.openxmlformats.org/drawingml/2006/picture">
                <pic:pic>
                  <pic:nvPicPr>
                    <pic:cNvPr descr="OVX隐含波动率滞后检验.png" id="186" name="Picture"/>
                    <pic:cNvPicPr>
                      <a:picLocks noChangeArrowheads="1" noChangeAspect="1"/>
                    </pic:cNvPicPr>
                  </pic:nvPicPr>
                  <pic:blipFill>
                    <a:blip r:embed="rId184"/>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87"/>
    <w:bookmarkStart w:id="194"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89" name="Picture"/>
            <a:graphic>
              <a:graphicData uri="http://schemas.openxmlformats.org/drawingml/2006/picture">
                <pic:pic>
                  <pic:nvPicPr>
                    <pic:cNvPr descr="历史窗口极端性检验.png" id="190" name="Picture"/>
                    <pic:cNvPicPr>
                      <a:picLocks noChangeArrowheads="1" noChangeAspect="1"/>
                    </pic:cNvPicPr>
                  </pic:nvPicPr>
                  <pic:blipFill>
                    <a:blip r:embed="rId188"/>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92" name="Picture"/>
            <a:graphic>
              <a:graphicData uri="http://schemas.openxmlformats.org/drawingml/2006/picture">
                <pic:pic>
                  <pic:nvPicPr>
                    <pic:cNvPr descr="R历史基准误差分布图.png" id="193" name="Picture"/>
                    <pic:cNvPicPr>
                      <a:picLocks noChangeArrowheads="1" noChangeAspect="1"/>
                    </pic:cNvPicPr>
                  </pic:nvPicPr>
                  <pic:blipFill>
                    <a:blip r:embed="rId191"/>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历史同长度窗口基准误差分布。蓝色区间表示历史分位带，亮蓝点表示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94"/>
    <w:bookmarkEnd w:id="195"/>
    <w:bookmarkStart w:id="199" w:name="模型评价"/>
    <w:p>
      <w:pPr>
        <w:pStyle w:val="Heading1"/>
      </w:pPr>
      <w:r>
        <w:rPr>
          <w:rFonts w:hint="eastAsia"/>
        </w:rPr>
        <w:t xml:space="preserve">模型评价</w:t>
      </w:r>
    </w:p>
    <w:bookmarkStart w:id="196"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96"/>
    <w:bookmarkStart w:id="197"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97"/>
    <w:bookmarkStart w:id="198"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98"/>
    <w:bookmarkEnd w:id="199"/>
    <w:bookmarkStart w:id="200"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200"/>
    <w:bookmarkStart w:id="210"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201">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202">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203">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204">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205">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206">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207">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208">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209">
        <w:r>
          <w:rPr>
            <w:rStyle w:val="Hyperlink"/>
          </w:rPr>
          <w:t xml:space="preserve">ICE report center</w:t>
        </w:r>
      </w:hyperlink>
      <w:r>
        <w:t xml:space="preserve">.</w:t>
      </w:r>
    </w:p>
    <w:bookmarkEnd w:id="210"/>
    <w:bookmarkStart w:id="221"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附录只保留复现路径、核心模型实现和关键检验代码。完整</w:t>
      </w:r>
      <w:r>
        <w:t xml:space="preserve"> Python/R </w:t>
      </w:r>
      <w:r>
        <w:rPr>
          <w:rFonts w:hint="eastAsia"/>
        </w:rPr>
        <w:t xml:space="preserve">程序随项目文件提交，避免大段源码削弱论文主体可读性。</w:t>
      </w:r>
    </w:p>
    <w:bookmarkStart w:id="211" w:name="a-代码复现说明"/>
    <w:p>
      <w:pPr>
        <w:pStyle w:val="Heading2"/>
      </w:pPr>
      <w:r>
        <w:t xml:space="preserve">A </w:t>
      </w:r>
      <w:r>
        <w:rPr>
          <w:rFonts w:hint="eastAsia"/>
        </w:rPr>
        <w:t xml:space="preserve">代码复现说明</w:t>
      </w:r>
    </w:p>
    <w:p>
      <w:pPr>
        <w:pStyle w:val="FirstParagraph"/>
      </w:pPr>
      <w:r>
        <w:rPr>
          <w:rFonts w:hint="eastAsia"/>
        </w:rPr>
        <w:t xml:space="preserve">本文的建模、校验、绘图和论文生成均保存在同一项目目录中。Python</w:t>
      </w:r>
      <w:r>
        <w:t xml:space="preserve"> </w:t>
      </w:r>
      <w:r>
        <w:rPr>
          <w:rFonts w:hint="eastAsia"/>
        </w:rPr>
        <w:t xml:space="preserve">环境采用</w:t>
      </w:r>
      <w:r>
        <w:t xml:space="preserve"> </w:t>
      </w:r>
      <w:r>
        <w:rPr>
          <w:rStyle w:val="VerbatimChar"/>
        </w:rPr>
        <w:t xml:space="preserve">python=3.11</w:t>
      </w:r>
      <w:r>
        <w:rPr>
          <w:rFonts w:hint="eastAsia"/>
        </w:rPr>
        <w:t xml:space="preserve">，主要依赖包括</w:t>
      </w:r>
      <w:r>
        <w:t xml:space="preserve"> </w:t>
      </w:r>
      <w:r>
        <w:rPr>
          <w:rStyle w:val="VerbatimChar"/>
        </w:rPr>
        <w:t xml:space="preserve">pandas</w:t>
      </w:r>
      <w:r>
        <w:t xml:space="preserve">、</w:t>
      </w:r>
      <w:r>
        <w:rPr>
          <w:rStyle w:val="VerbatimChar"/>
        </w:rPr>
        <w:t xml:space="preserve">numpy</w:t>
      </w:r>
      <w:r>
        <w:t xml:space="preserve">、</w:t>
      </w:r>
      <w:r>
        <w:rPr>
          <w:rStyle w:val="VerbatimChar"/>
        </w:rPr>
        <w:t xml:space="preserve">scipy</w:t>
      </w:r>
      <w:r>
        <w:t xml:space="preserve">、</w:t>
      </w:r>
      <w:r>
        <w:rPr>
          <w:rStyle w:val="VerbatimChar"/>
        </w:rPr>
        <w:t xml:space="preserve">matplotlib</w:t>
      </w:r>
      <w:r>
        <w:t xml:space="preserve">、</w:t>
      </w:r>
      <w:r>
        <w:rPr>
          <w:rStyle w:val="VerbatimChar"/>
        </w:rPr>
        <w:t xml:space="preserve">statsmodels</w:t>
      </w:r>
      <w:r>
        <w:t xml:space="preserve">、</w:t>
      </w:r>
      <w:r>
        <w:rPr>
          <w:rStyle w:val="VerbatimChar"/>
        </w:rPr>
        <w:t xml:space="preserve">scikit-learn</w:t>
      </w:r>
      <w:r>
        <w:t xml:space="preserve">、</w:t>
      </w:r>
      <w:r>
        <w:rPr>
          <w:rStyle w:val="VerbatimChar"/>
        </w:rPr>
        <w:t xml:space="preserve">plotly</w:t>
      </w:r>
      <w:r>
        <w:t xml:space="preserve"> </w:t>
      </w:r>
      <w:r>
        <w:rPr>
          <w:rFonts w:hint="eastAsia"/>
        </w:rPr>
        <w:t xml:space="preserve">和</w:t>
      </w:r>
      <w:r>
        <w:t xml:space="preserve"> </w:t>
      </w:r>
      <w:r>
        <w:rPr>
          <w:rStyle w:val="VerbatimChar"/>
        </w:rPr>
        <w:t xml:space="preserve">pyyaml</w:t>
      </w:r>
      <w:r>
        <w:rPr>
          <w:rFonts w:hint="eastAsia"/>
        </w:rPr>
        <w:t xml:space="preserve">。核心运行顺序如下。</w:t>
      </w:r>
    </w:p>
    <w:p>
      <w:pPr>
        <w:pStyle w:val="BodyText"/>
      </w:pPr>
      <w:r>
        <w:t xml:space="preserve">lst:reproduce-flow</w:t>
      </w:r>
      <w:r>
        <w:t xml:space="preserve">python</w:t>
      </w:r>
      <w:r>
        <w:rPr>
          <w:rFonts w:hint="eastAsia"/>
        </w:rPr>
        <w:t xml:space="preserve">论文结果复现主流程</w:t>
      </w:r>
      <w:r>
        <w:t xml:space="preserve"> </w:t>
      </w:r>
      <w:r>
        <w:t xml:space="preserve"># 1. </w:t>
      </w:r>
      <w:r>
        <w:rPr>
          <w:rFonts w:hint="eastAsia"/>
        </w:rPr>
        <w:t xml:space="preserve">清洗赛题附件数据</w:t>
      </w:r>
      <w:r>
        <w:t xml:space="preserve"> </w:t>
      </w:r>
      <w:r>
        <w:t xml:space="preserve">python -m src.pipeline.clean_data</w:t>
      </w:r>
    </w:p>
    <w:p>
      <w:pPr>
        <w:pStyle w:val="BodyText"/>
      </w:pPr>
      <w:r>
        <w:t xml:space="preserve"># 2. </w:t>
      </w:r>
      <w:r>
        <w:rPr>
          <w:rFonts w:hint="eastAsia"/>
        </w:rPr>
        <w:t xml:space="preserve">建立短期动态递推模型</w:t>
      </w:r>
      <w:r>
        <w:t xml:space="preserve"> </w:t>
      </w:r>
      <w:r>
        <w:t xml:space="preserve">python -m src.models.dynamic_short_term</w:t>
      </w:r>
    </w:p>
    <w:p>
      <w:pPr>
        <w:pStyle w:val="BodyText"/>
      </w:pPr>
      <w:r>
        <w:t xml:space="preserve"># 3. </w:t>
      </w:r>
      <w:r>
        <w:rPr>
          <w:rFonts w:hint="eastAsia"/>
        </w:rPr>
        <w:t xml:space="preserve">校准综合机制参数</w:t>
      </w:r>
      <w:r>
        <w:t xml:space="preserve"> </w:t>
      </w:r>
      <w:r>
        <w:t xml:space="preserve">python -m src.calibration.calibrate_dynamic_model</w:t>
      </w:r>
    </w:p>
    <w:p>
      <w:pPr>
        <w:pStyle w:val="BodyText"/>
      </w:pPr>
      <w:r>
        <w:t xml:space="preserve"># 4. </w:t>
      </w:r>
      <w:r>
        <w:rPr>
          <w:rFonts w:hint="eastAsia"/>
        </w:rPr>
        <w:t xml:space="preserve">生成</w:t>
      </w:r>
      <w:r>
        <w:t xml:space="preserve"> 60–180 </w:t>
      </w:r>
      <w:r>
        <w:rPr>
          <w:rFonts w:hint="eastAsia"/>
        </w:rPr>
        <w:t xml:space="preserve">天三情景预测</w:t>
      </w:r>
      <w:r>
        <w:t xml:space="preserve"> </w:t>
      </w:r>
      <w:r>
        <w:t xml:space="preserve">python -m src.scenarios.scenario_forecast</w:t>
      </w:r>
    </w:p>
    <w:p>
      <w:pPr>
        <w:pStyle w:val="BodyText"/>
      </w:pPr>
      <w:r>
        <w:t xml:space="preserve"># 5. </w:t>
      </w:r>
      <w:r>
        <w:rPr>
          <w:rFonts w:hint="eastAsia"/>
        </w:rPr>
        <w:t xml:space="preserve">运行蒙特卡洛情景树与统计审计</w:t>
      </w:r>
      <w:r>
        <w:t xml:space="preserve"> </w:t>
      </w:r>
      <w:r>
        <w:t xml:space="preserve">python -m src.analysis.monte_carlo_scenario_tree</w:t>
      </w:r>
      <w:r>
        <w:t xml:space="preserve"> </w:t>
      </w:r>
      <w:r>
        <w:t xml:space="preserve">python -m src.analysis.statistical_audit</w:t>
      </w:r>
    </w:p>
    <w:p>
      <w:pPr>
        <w:pStyle w:val="BodyText"/>
      </w:pPr>
      <w:r>
        <w:t xml:space="preserve"># 6. </w:t>
      </w:r>
      <w:r>
        <w:rPr>
          <w:rFonts w:hint="eastAsia"/>
        </w:rPr>
        <w:t xml:space="preserve">生成论文图表并构建最终论文</w:t>
      </w:r>
      <w:r>
        <w:t xml:space="preserve"> </w:t>
      </w:r>
      <w:r>
        <w:t xml:space="preserve">python -m src.visualization.final_paper_figures</w:t>
      </w:r>
      <w:r>
        <w:t xml:space="preserve"> </w:t>
      </w:r>
      <w:r>
        <w:t xml:space="preserve">./scripts/build_final_paper.sh</w:t>
      </w:r>
    </w:p>
    <w:p>
      <w:pPr>
        <w:pStyle w:val="BodyText"/>
      </w:pPr>
      <w:r>
        <w:rPr>
          <w:rFonts w:hint="eastAsia"/>
        </w:rPr>
        <w:t xml:space="preserve">项目核心结构如下。未列出的缓存文件、临时渲染文件和历史实验文件不影响最终复现。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211"/>
    <w:bookmarkStart w:id="212" w:name="b-数据口径"/>
    <w:p>
      <w:pPr>
        <w:pStyle w:val="Heading2"/>
      </w:pPr>
      <w:r>
        <w:t xml:space="preserve">B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212"/>
    <w:bookmarkStart w:id="213" w:name="c-综合机制递推模型核心代码"/>
    <w:p>
      <w:pPr>
        <w:pStyle w:val="Heading2"/>
      </w:pPr>
      <w:r>
        <w:t xml:space="preserve">C </w:t>
      </w:r>
      <w:r>
        <w:rPr>
          <w:rFonts w:hint="eastAsia"/>
        </w:rPr>
        <w:t xml:space="preserve">综合机制递推模型核心代码</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展示短期综合机制递推模型的核心实现。模型逐日计算有效需求、有效供应、剩余缺口、风险溢价和缓冲折价，并由目标价格递推得到模拟价格。</w:t>
      </w:r>
    </w:p>
    <w:p>
      <w:pPr>
        <w:pStyle w:val="BodyText"/>
      </w:pPr>
      <w:r>
        <w:t xml:space="preserve">lst:dynamic-recursion</w:t>
      </w:r>
      <w:r>
        <w:t xml:space="preserve">python</w:t>
      </w:r>
      <w:r>
        <w:rPr>
          <w:rFonts w:hint="eastAsia"/>
        </w:rPr>
        <w:t xml:space="preserve">综合机制递推模型核心实现</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r>
        <w:t xml:space="preserve"> </w:t>
      </w:r>
      <w:r>
        <w:t xml:space="preserve">price_ratio = max(previous_price / base_price, 0.1)</w:t>
      </w:r>
    </w:p>
    <w:p>
      <w:pPr>
        <w:pStyle w:val="BodyText"/>
      </w:pPr>
      <w:r>
        <w:t xml:space="preserve"># </w:t>
      </w:r>
      <w:r>
        <w:rPr>
          <w:rFonts w:hint="eastAsia"/>
        </w:rPr>
        <w:t xml:space="preserve">需求侧：价格弹性与高油价需求收缩共同作用</w:t>
      </w:r>
      <w:r>
        <w:t xml:space="preserve"> </w:t>
      </w:r>
      <w:r>
        <w:t xml:space="preserve">price_adjusted_demand = assumptions.base_demand * (price_ratio ** elasticity)</w:t>
      </w:r>
      <w:r>
        <w:t xml:space="preserve"> </w:t>
      </w:r>
      <w:r>
        <w:t xml:space="preserve">demand_decline = ramp(day_index, 0, assumptions.demand_decline_ramp_days,</w:t>
      </w:r>
      <w:r>
        <w:t xml:space="preserve"> </w:t>
      </w:r>
      <w:r>
        <w:t xml:space="preserve">assumptions.observed_demand_decline)</w:t>
      </w:r>
      <w:r>
        <w:t xml:space="preserve"> </w:t>
      </w:r>
      <w:r>
        <w:t xml:space="preserve">effective_demand = max(price_adjusted_demand - demand_decline,</w:t>
      </w:r>
      <w:r>
        <w:t xml:space="preserve"> </w:t>
      </w:r>
      <w:r>
        <w:t xml:space="preserve">assumptions.base_demand * 0.70)</w:t>
      </w:r>
    </w:p>
    <w:p>
      <w:pPr>
        <w:pStyle w:val="BodyText"/>
      </w:pPr>
      <w:r>
        <w:t xml:space="preserve"># </w:t>
      </w:r>
      <w:r>
        <w:rPr>
          <w:rFonts w:hint="eastAsia"/>
        </w:rPr>
        <w:t xml:space="preserve">供给侧：基础供应扣除中断后，加入</w:t>
      </w:r>
      <w:r>
        <w:t xml:space="preserve"> </w:t>
      </w:r>
      <w:r>
        <w:rPr>
          <w:rFonts w:hint="eastAsia"/>
        </w:rPr>
        <w:t xml:space="preserve">SPR、绕道运输和库存缓冲</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w:t>
      </w:r>
      <w:r>
        <w:t xml:space="preserve"> </w:t>
      </w:r>
      <w:r>
        <w:t xml:space="preserve">- assumptions.supply_interruption</w:t>
      </w:r>
      <w:r>
        <w:t xml:space="preserve"> </w:t>
      </w:r>
      <w:r>
        <w:t xml:space="preserve">+ spr_release + route_supply)</w:t>
      </w:r>
    </w:p>
    <w:p>
      <w:pPr>
        <w:pStyle w:val="BodyText"/>
      </w:pPr>
      <w:r>
        <w:t xml:space="preserve">raw_gap = max(effective_demand - supply_without_inventory, 0.0)</w:t>
      </w:r>
      <w:r>
        <w:t xml:space="preserve"> </w:t>
      </w:r>
      <w:r>
        <w:t xml:space="preserve">inventory_buffer = min(raw_gap * behavior.inventory_response,</w:t>
      </w:r>
      <w:r>
        <w:t xml:space="preserve"> </w:t>
      </w:r>
      <w:r>
        <w:t xml:space="preserve">assumptions.inventory_daily_cap,</w:t>
      </w:r>
      <w:r>
        <w:t xml:space="preserve"> </w:t>
      </w:r>
      <w:r>
        <w:t xml:space="preserve">inventory_remaining)</w:t>
      </w:r>
      <w:r>
        <w:t xml:space="preserve"> </w:t>
      </w:r>
      <w:r>
        <w:t xml:space="preserve">inventory_remaining -= inventory_buffer</w:t>
      </w:r>
      <w:r>
        <w:t xml:space="preserve"> </w:t>
      </w:r>
      <w:r>
        <w:t xml:space="preserve">effective_supply = supply_without_inventory + inventory_buffer</w:t>
      </w:r>
      <w:r>
        <w:t xml:space="preserve"> </w:t>
      </w:r>
      <w:r>
        <w:t xml:space="preserve">residual_gap = max(effective_demand - effective_supply, 0.0)</w:t>
      </w:r>
      <w:r>
        <w:t xml:space="preserve"> </w:t>
      </w:r>
      <w:r>
        <w:t xml:space="preserve">if gap_closure_day is None and residual_gap &lt;= assumptions.base_demand * 0.005:</w:t>
      </w:r>
      <w:r>
        <w:t xml:space="preserve"> </w:t>
      </w:r>
      <w:r>
        <w:t xml:space="preserve">gap_closure_day = day_index</w:t>
      </w:r>
    </w:p>
    <w:p>
      <w:pPr>
        <w:pStyle w:val="BodyText"/>
      </w:pPr>
      <w:r>
        <w:t xml:space="preserve"># </w:t>
      </w:r>
      <w:r>
        <w:rPr>
          <w:rFonts w:hint="eastAsia"/>
        </w:rPr>
        <w:t xml:space="preserve">价格形成层：物理缺口、地缘风险、恐慌溢价与市场缓冲折价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panic_premium = base_price * 0.45 * fear_excess</w:t>
      </w:r>
    </w:p>
    <w:p>
      <w:pPr>
        <w:pStyle w:val="BodyText"/>
      </w:pPr>
      <w:r>
        <w:t xml:space="preserve">target_price = (base_price + shortage_pressure + blockade_risk_premium</w:t>
      </w:r>
      <w:r>
        <w:t xml:space="preserve"> </w:t>
      </w:r>
      <w:r>
        <w:t xml:space="preserve">+ panic_premium</w:t>
      </w:r>
      <w:r>
        <w:t xml:space="preserve"> </w:t>
      </w:r>
      <w:r>
        <w:t xml:space="preserve">- buffer_confirmation_discount(day_index, gap_closure_day,</w:t>
      </w:r>
      <w:r>
        <w:t xml:space="preserve"> </w:t>
      </w:r>
      <w:r>
        <w:t xml:space="preserve">base_price, behavior)</w:t>
      </w:r>
      <w:r>
        <w:t xml:space="preserve"> </w:t>
      </w:r>
      <w:r>
        <w:t xml:space="preserve">- expectation_relief_discount(day_index, base_price, behavior))</w:t>
      </w:r>
    </w:p>
    <w:p>
      <w:pPr>
        <w:pStyle w:val="BodyText"/>
      </w:pPr>
      <w:r>
        <w:t xml:space="preserve">simulated_price = previous_price + behavior.adjustment_speed * (target_price - previous_price)</w:t>
      </w:r>
      <w:r>
        <w:t xml:space="preserve"> </w:t>
      </w:r>
      <w:r>
        <w:t xml:space="preserve">simulated_price += 2.5 * (fear_excess - previous_fear_excess)</w:t>
      </w:r>
      <w:r>
        <w:t xml:space="preserve"> </w:t>
      </w:r>
      <w:r>
        <w:t xml:space="preserve">rows.append(</w:t>
      </w:r>
      <w:r>
        <w:t xml:space="preserve">"day_index": day_index, "simulated_price": simulated_price</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213"/>
    <w:bookmarkStart w:id="214" w:name="d-参数校准模块"/>
    <w:p>
      <w:pPr>
        <w:pStyle w:val="Heading2"/>
      </w:pPr>
      <w:r>
        <w:t xml:space="preserve">D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给出参数校准流程。本文不是手工指定最优参数，而是在固定机制结构下，综合使用差分进化、局部稳定性搜索和拟合质量精修选择代表性参数。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214"/>
    <w:bookmarkStart w:id="215" w:name="e-长期情景递推与政策缓冲"/>
    <w:p>
      <w:pPr>
        <w:pStyle w:val="Heading2"/>
      </w:pPr>
      <w:r>
        <w:t xml:space="preserve">E </w:t>
      </w:r>
      <w:r>
        <w:rPr>
          <w:rFonts w:hint="eastAsia"/>
        </w:rPr>
        <w:t xml:space="preserve">长期情景递推与政策缓冲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自适应释放与供需再平衡的处理。该模块避免把战略储备释放机械设为满额，而是根据剩余缺口、价格压力和时间衰减动态收缩释放强度。</w:t>
      </w:r>
    </w:p>
    <w:p>
      <w:pPr>
        <w:pStyle w:val="BodyText"/>
      </w:pPr>
      <w:r>
        <w:t xml:space="preserve">lst:future-recursion</w:t>
      </w:r>
      <w:r>
        <w:t xml:space="preserve">python</w:t>
      </w:r>
      <w:r>
        <w:rPr>
          <w:rFonts w:hint="eastAsia"/>
        </w:rPr>
        <w:t xml:space="preserve">长期情景递推中的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bookmarkEnd w:id="215"/>
    <w:bookmarkStart w:id="216" w:name="f-蒙特卡洛情景预测"/>
    <w:p>
      <w:pPr>
        <w:pStyle w:val="Heading2"/>
      </w:pPr>
      <w:r>
        <w:t xml:space="preserve">F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216"/>
    <w:bookmarkStart w:id="217" w:name="g-机制消融与统计检验"/>
    <w:p>
      <w:pPr>
        <w:pStyle w:val="Heading2"/>
      </w:pPr>
      <w:r>
        <w:t xml:space="preserve">G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用于逐项关闭模型机制，检验主结论是否依赖某一个单独设定。若去除风险溢价、缓冲折价或预期修复后误差显著上升，则说明这些机制对解释价格平台具有实质贡献。</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217"/>
    <w:bookmarkStart w:id="218" w:name="h-关键结果核查表"/>
    <w:p>
      <w:pPr>
        <w:pStyle w:val="Heading2"/>
      </w:pPr>
      <w:r>
        <w:t xml:space="preserve">H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218"/>
    <w:bookmarkStart w:id="219" w:name="i-一键构建与独立审计补充"/>
    <w:p>
      <w:pPr>
        <w:pStyle w:val="Heading2"/>
      </w:pPr>
      <w:r>
        <w:t xml:space="preserve">I </w:t>
      </w:r>
      <w:r>
        <w:rPr>
          <w:rFonts w:hint="eastAsia"/>
        </w:rPr>
        <w:t xml:space="preserve">一键构建与独立审计补充</w:t>
      </w:r>
    </w:p>
    <w:p>
      <w:pPr>
        <w:pStyle w:val="FirstParagraph"/>
      </w:pPr>
      <w:r>
        <w:rPr>
          <w:rFonts w:hint="eastAsia"/>
        </w:rPr>
        <w:t xml:space="preserve">代码</w:t>
      </w:r>
      <w:r>
        <w:t xml:space="preserve"> </w:t>
      </w:r>
      <w:hyperlink w:anchor="lst:build-pipeline">
        <w:r>
          <w:rPr>
            <w:rStyle w:val="Hyperlink"/>
          </w:rPr>
          <w:t xml:space="preserve">[lst:build-pipeline]</w:t>
        </w:r>
      </w:hyperlink>
      <w:r>
        <w:t xml:space="preserve"> </w:t>
      </w:r>
      <w:r>
        <w:rPr>
          <w:rFonts w:hint="eastAsia"/>
        </w:rPr>
        <w:t xml:space="preserve">展示最终论文的自动构建入口。该脚本将数据清洗、外部数据校验、情景预测、敏感性分析、蒙特卡洛、统计审计、图表生成和</w:t>
      </w:r>
      <w:r>
        <w:t xml:space="preserve"> PDF/DOCX </w:t>
      </w:r>
      <w:r>
        <w:rPr>
          <w:rFonts w:hint="eastAsia"/>
        </w:rPr>
        <w:t xml:space="preserve">导出串联为统一流水线，用于避免手工复制结果造成口径不一致。</w:t>
      </w:r>
    </w:p>
    <w:p>
      <w:pPr>
        <w:pStyle w:val="BodyText"/>
      </w:pPr>
      <w:r>
        <w:t xml:space="preserve">lst:build-pipeline</w:t>
      </w:r>
      <w:r>
        <w:t xml:space="preserve">bash</w:t>
      </w:r>
      <w:r>
        <w:rPr>
          <w:rFonts w:hint="eastAsia"/>
        </w:rPr>
        <w:t xml:space="preserve">最终论文一键复现脚本核心流程</w:t>
      </w:r>
      <w:r>
        <w:t xml:space="preserve"> </w:t>
      </w:r>
      <w:r>
        <w:t xml:space="preserve">#!/usr/bin/env bash</w:t>
      </w:r>
      <w:r>
        <w:t xml:space="preserve"> </w:t>
      </w:r>
      <w:r>
        <w:t xml:space="preserve">set -euo pipefail</w:t>
      </w:r>
    </w:p>
    <w:p>
      <w:pPr>
        <w:pStyle w:val="BodyText"/>
      </w:pPr>
      <w:r>
        <w:t xml:space="preserve">ROOT_DIR="</w:t>
      </w:r>
      <w:r>
        <w:t xml:space="preserve">$(cd "$</w:t>
      </w:r>
      <w:r>
        <w:t xml:space="preserve">(dirname "</w:t>
      </w:r>
      <w:r>
        <w:t xml:space="preserve">${BASH_SOURCE[0]}")/../.." &amp;&amp; pwd)"
    cd "$</w:t>
      </w:r>
      <w:r>
        <w:t xml:space="preserve">ROOT_DIR</w:t>
      </w:r>
      <w:r>
        <w:t xml:space="preserve">"</w:t>
      </w:r>
    </w:p>
    <w:p>
      <w:pPr>
        <w:pStyle w:val="BodyText"/>
      </w:pPr>
      <w:r>
        <w:t xml:space="preserve">if [ -x /opt/homebrew/Caskroom/miniconda/base/envs/mathmodel-oil/bin/python3 ]; then</w:t>
      </w:r>
      <w:r>
        <w:t xml:space="preserve"> </w:t>
      </w:r>
      <w:r>
        <w:t xml:space="preserve">PYTHON_BIN="/opt/homebrew/Caskroom/miniconda/base/envs/mathmodel-oil/bin/python3"</w:t>
      </w:r>
      <w:r>
        <w:t xml:space="preserve"> </w:t>
      </w:r>
      <w:r>
        <w:t xml:space="preserve">else</w:t>
      </w:r>
      <w:r>
        <w:t xml:space="preserve"> </w:t>
      </w:r>
      <w:r>
        <w:t xml:space="preserve">PYTHON_BIN="python3"</w:t>
      </w:r>
      <w:r>
        <w:t xml:space="preserve"> </w:t>
      </w:r>
      <w:r>
        <w:t xml:space="preserve">fi</w:t>
      </w:r>
    </w:p>
    <w:p>
      <w:pPr>
        <w:pStyle w:val="BodyText"/>
      </w:pPr>
      <w:r>
        <w:t xml:space="preserve">require_artifact </w:t>
      </w:r>
      <w:r>
        <w:rPr>
          <w:rFonts w:hint="eastAsia"/>
        </w:rPr>
        <w:t xml:space="preserve">"output/calibration/动态模型校准后路径.csv"</w:t>
      </w:r>
      <w:r>
        <w:t xml:space="preserve"> "Run FULL_REBUILD=1 first."</w:t>
      </w:r>
    </w:p>
    <w:p>
      <w:pPr>
        <w:pStyle w:val="BodyText"/>
      </w:pPr>
      <w:r>
        <w:t xml:space="preserve">"</w:t>
      </w:r>
      <w:r>
        <w:t xml:space="preserve">${PYTHON_BIN}" -m src.pipeline.clean_data
    "$</w:t>
      </w:r>
      <w:r>
        <w:t xml:space="preserve">PYTHON_BIN</w:t>
      </w:r>
      <w:r>
        <w:t xml:space="preserve">" -m src.scenarios.scenario_forecast</w:t>
      </w:r>
      <w:r>
        <w:t xml:space="preserve"> </w:t>
      </w:r>
      <w:r>
        <w:t xml:space="preserve">"</w:t>
      </w:r>
      <w:r>
        <w:t xml:space="preserve">${PYTHON_BIN}" -m src.analysis.sensitivity_analysis
    "$</w:t>
      </w:r>
      <w:r>
        <w:t xml:space="preserve">PYTHON_BIN</w:t>
      </w:r>
      <w:r>
        <w:t xml:space="preserve">" -m src.analysis.monte_carlo_scenario_tree</w:t>
      </w:r>
      <w:r>
        <w:t xml:space="preserve"> </w:t>
      </w:r>
      <w:r>
        <w:t xml:space="preserve">"</w:t>
      </w:r>
      <w:r>
        <w:t xml:space="preserve">${PYTHON_BIN}" -m src.analysis.statistical_audit
    "$</w:t>
      </w:r>
      <w:r>
        <w:t xml:space="preserve">PYTHON_BIN</w:t>
      </w:r>
      <w:r>
        <w:t xml:space="preserve">" -m src.visualization.final_paper_figures</w:t>
      </w:r>
    </w:p>
    <w:p>
      <w:pPr>
        <w:pStyle w:val="BodyText"/>
      </w:pPr>
      <w:r>
        <w:t xml:space="preserve">if command -v Rscript &gt;/dev/null 2&gt;&amp;1; then</w:t>
      </w:r>
      <w:r>
        <w:t xml:space="preserve"> </w:t>
      </w:r>
      <w:r>
        <w:t xml:space="preserve">Rscript scripts/audit/r_econometric_audit.R || true</w:t>
      </w:r>
      <w:r>
        <w:t xml:space="preserve"> </w:t>
      </w:r>
      <w:r>
        <w:t xml:space="preserve">fi</w:t>
      </w:r>
    </w:p>
    <w:p>
      <w:pPr>
        <w:pStyle w:val="BodyText"/>
      </w:pPr>
      <w:r>
        <w:t xml:space="preserve">xelatex -shell-escape -interaction=nonstopmode -halt-on-error -output-directory=output/build/latex </w:t>
      </w:r>
      <w:r>
        <w:rPr>
          <w:rFonts w:hint="eastAsia"/>
        </w:rPr>
        <w:t xml:space="preserve">paper/总论文.tex</w:t>
      </w:r>
      <w:r>
        <w:t xml:space="preserve"> </w:t>
      </w:r>
      <w:r>
        <w:t xml:space="preserve">pandoc –from=latex –to=docx –toc </w:t>
      </w:r>
      <w:r>
        <w:rPr>
          <w:rFonts w:hint="eastAsia"/>
        </w:rPr>
        <w:t xml:space="preserve">–output=output/final/论文.docx</w:t>
      </w:r>
      <w:r>
        <w:t xml:space="preserve"> </w:t>
      </w:r>
      <w:r>
        <w:rPr>
          <w:rFonts w:hint="eastAsia"/>
        </w:rPr>
        <w:t xml:space="preserve">paper/总论文.tex</w:t>
      </w:r>
    </w:p>
    <w:p>
      <w:pPr>
        <w:pStyle w:val="BodyText"/>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语言独立计量审计的核心逻辑。Python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侧用于复核主模型相对朴素基准的误差优势、残差相关性和稳健标准误结果，从而降低单一语言实现自证的风险。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展示敏感性分析的扰动设置。扰动对象覆盖题面物理层、政策缓冲层、需求层、行为层和长期机制透明层，用于说明本文的稳健性检验不是只改变单个便利参数，而是围绕主要不确定来源系统展开。</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219"/>
    <w:bookmarkStart w:id="220" w:name="j-程序材料说明"/>
    <w:p>
      <w:pPr>
        <w:pStyle w:val="Heading2"/>
      </w:pPr>
      <w:r>
        <w:t xml:space="preserve">J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复现路径、核心算法代码和关键结果核查。</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91" Target="media/rId191.png" /><Relationship Type="http://schemas.openxmlformats.org/officeDocument/2006/relationships/image" Id="rId95" Target="media/rId95.png" /><Relationship Type="http://schemas.openxmlformats.org/officeDocument/2006/relationships/image" Id="rId173" Target="media/rId173.png" /><Relationship Type="http://schemas.openxmlformats.org/officeDocument/2006/relationships/image" Id="rId39" Target="media/rId39.png" /><Relationship Type="http://schemas.openxmlformats.org/officeDocument/2006/relationships/image" Id="rId165" Target="media/rId165.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162" Target="media/rId162.png" /><Relationship Type="http://schemas.openxmlformats.org/officeDocument/2006/relationships/image" Id="rId188" Target="media/rId188.png" /><Relationship Type="http://schemas.openxmlformats.org/officeDocument/2006/relationships/image" Id="rId153" Target="media/rId153.png" /><Relationship Type="http://schemas.openxmlformats.org/officeDocument/2006/relationships/image" Id="rId177" Target="media/rId177.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47" Target="media/rId147.png" /><Relationship Type="http://schemas.openxmlformats.org/officeDocument/2006/relationships/image" Id="rId180" Target="media/rId180.png" /><Relationship Type="http://schemas.openxmlformats.org/officeDocument/2006/relationships/image" Id="rId101" Target="media/rId101.png" /><Relationship Type="http://schemas.openxmlformats.org/officeDocument/2006/relationships/image" Id="rId139" Target="media/rId139.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68" Target="media/rId68.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image" Id="rId88" Target="media/rId88.png" /><Relationship Type="http://schemas.openxmlformats.org/officeDocument/2006/relationships/image" Id="rId121" Target="media/rId121.png" /><Relationship Type="http://schemas.openxmlformats.org/officeDocument/2006/relationships/image" Id="rId60" Target="media/rId60.png" /><Relationship Type="http://schemas.openxmlformats.org/officeDocument/2006/relationships/image" Id="rId80" Target="media/rId80.png" /><Relationship Type="http://schemas.openxmlformats.org/officeDocument/2006/relationships/image" Id="rId71" Target="media/rId71.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76" Target="media/rId76.png" /><Relationship Type="http://schemas.openxmlformats.org/officeDocument/2006/relationships/image" Id="rId83" Target="media/rId83.png" /><Relationship Type="http://schemas.openxmlformats.org/officeDocument/2006/relationships/image" Id="rId44" Target="media/rId44.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10" Target="media/rId10.png" /><Relationship Type="http://schemas.openxmlformats.org/officeDocument/2006/relationships/image" Id="rId65" Target="media/rId65.png" /><Relationship Type="http://schemas.openxmlformats.org/officeDocument/2006/relationships/image" Id="rId157" Target="media/rId157.png" /><Relationship Type="http://schemas.openxmlformats.org/officeDocument/2006/relationships/image" Id="rId143" Target="media/rId143.png" /><Relationship Type="http://schemas.openxmlformats.org/officeDocument/2006/relationships/hyperlink" Id="rId208" Target="https://fred.stlouisfed.org/series/OVXCLS" TargetMode="External" /><Relationship Type="http://schemas.openxmlformats.org/officeDocument/2006/relationships/hyperlink" Id="rId206" Target="https://publications.opec.org/momr/chapter/147/2738" TargetMode="External" /><Relationship Type="http://schemas.openxmlformats.org/officeDocument/2006/relationships/hyperlink" Id="rId204" Target="https://www.eia.gov/dnav/pet/pet_sum_sndw_dcus_nus_w.htm" TargetMode="External" /><Relationship Type="http://schemas.openxmlformats.org/officeDocument/2006/relationships/hyperlink" Id="rId201" Target="https://www.eia.gov/international/analysis/special-topics/World_Oil_Transit_Chokepoints" TargetMode="External" /><Relationship Type="http://schemas.openxmlformats.org/officeDocument/2006/relationships/hyperlink" Id="rId209" Target="https://www.ice.com/report/83" TargetMode="External" /><Relationship Type="http://schemas.openxmlformats.org/officeDocument/2006/relationships/hyperlink" Id="rId202" Target="https://www.iea.org/about/oil-security-and-emergency-response/strait-of-hormuz" TargetMode="External" /><Relationship Type="http://schemas.openxmlformats.org/officeDocument/2006/relationships/hyperlink" Id="rId203" Target="https://www.iea.org/news/iea-governing-board-concludes-2022-collective-actions" TargetMode="External" /><Relationship Type="http://schemas.openxmlformats.org/officeDocument/2006/relationships/hyperlink" Id="rId205" Target="https://www.jodidata.org/oil/" TargetMode="External" /><Relationship Type="http://schemas.openxmlformats.org/officeDocument/2006/relationships/hyperlink" Id="rId207"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208" Target="https://fred.stlouisfed.org/series/OVXCLS" TargetMode="External" /><Relationship Type="http://schemas.openxmlformats.org/officeDocument/2006/relationships/hyperlink" Id="rId206" Target="https://publications.opec.org/momr/chapter/147/2738" TargetMode="External" /><Relationship Type="http://schemas.openxmlformats.org/officeDocument/2006/relationships/hyperlink" Id="rId204" Target="https://www.eia.gov/dnav/pet/pet_sum_sndw_dcus_nus_w.htm" TargetMode="External" /><Relationship Type="http://schemas.openxmlformats.org/officeDocument/2006/relationships/hyperlink" Id="rId201" Target="https://www.eia.gov/international/analysis/special-topics/World_Oil_Transit_Chokepoints" TargetMode="External" /><Relationship Type="http://schemas.openxmlformats.org/officeDocument/2006/relationships/hyperlink" Id="rId209" Target="https://www.ice.com/report/83" TargetMode="External" /><Relationship Type="http://schemas.openxmlformats.org/officeDocument/2006/relationships/hyperlink" Id="rId202" Target="https://www.iea.org/about/oil-security-and-emergency-response/strait-of-hormuz" TargetMode="External" /><Relationship Type="http://schemas.openxmlformats.org/officeDocument/2006/relationships/hyperlink" Id="rId203" Target="https://www.iea.org/news/iea-governing-board-concludes-2022-collective-actions" TargetMode="External" /><Relationship Type="http://schemas.openxmlformats.org/officeDocument/2006/relationships/hyperlink" Id="rId205" Target="https://www.jodidata.org/oil/" TargetMode="External" /><Relationship Type="http://schemas.openxmlformats.org/officeDocument/2006/relationships/hyperlink" Id="rId207"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2026-05-13T15:36:08Z</dcterms:created>
  <dcterms:modified xsi:type="dcterms:W3CDTF">2026-05-13T15:36:08Z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