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0.png" ContentType="image/png"/>
  <Override PartName="/word/media/rId177.png" ContentType="image/png"/>
  <Override PartName="/word/media/rId86.png" ContentType="image/png"/>
  <Override PartName="/word/media/rId159.png" ContentType="image/png"/>
  <Override PartName="/word/media/rId36.png" ContentType="image/png"/>
  <Override PartName="/word/media/rId151.png" ContentType="image/png"/>
  <Override PartName="/word/media/rId22.png" ContentType="image/png"/>
  <Override PartName="/word/media/rId148.png" ContentType="image/png"/>
  <Override PartName="/word/media/rId174.png" ContentType="image/png"/>
  <Override PartName="/word/media/rId139.png" ContentType="image/png"/>
  <Override PartName="/word/media/rId163.png" ContentType="image/png"/>
  <Override PartName="/word/media/rId19.png" ContentType="image/png"/>
  <Override PartName="/word/media/rId26.png" ContentType="image/png"/>
  <Override PartName="/word/media/rId133.png" ContentType="image/png"/>
  <Override PartName="/word/media/rId166.png" ContentType="image/png"/>
  <Override PartName="/word/media/rId123.png" ContentType="image/png"/>
  <Override PartName="/word/media/rId97.png" ContentType="image/png"/>
  <Override PartName="/word/media/rId101.png" ContentType="image/png"/>
  <Override PartName="/word/media/rId55.png" ContentType="image/png"/>
  <Override PartName="/word/media/rId93.png" ContentType="image/png"/>
  <Override PartName="/word/media/rId46.png" ContentType="image/png"/>
  <Override PartName="/word/media/rId79.png" ContentType="image/png"/>
  <Override PartName="/word/media/rId50.png" ContentType="image/png"/>
  <Override PartName="/word/media/rId67.png" ContentType="image/png"/>
  <Override PartName="/word/media/rId58.png" ContentType="image/png"/>
  <Override PartName="/word/media/rId105.png" ContentType="image/png"/>
  <Override PartName="/word/media/rId83.png" ContentType="image/png"/>
  <Override PartName="/word/media/rId74.png" ContentType="image/png"/>
  <Override PartName="/word/media/rId63.png" ContentType="image/png"/>
  <Override PartName="/word/media/rId70.png" ContentType="image/png"/>
  <Override PartName="/word/media/rId155.png" ContentType="image/png"/>
  <Override PartName="/word/media/rId119.png" ContentType="image/png"/>
  <Override PartName="/word/media/rId143.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“传统供需基准–短期冲击模型–中长期油价调节模型–敏感性分析”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为解释日度价格路径，本文构建短期冲击模型：物理供需层纳入供应中断、SPR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释放、商业库存、绕道运输、需求收缩和恐慌衰减，市场价格形成层纳入地缘风险溢价、冲击不确定性、持续封锁制度风险、缓冲确认折价和预期修复折价。其中，缓冲确认与预期修复由</w:t>
      </w:r>
      <w:r>
        <w:t xml:space="preserve"> </w:t>
      </w:r>
      <w:r>
        <w:rPr>
          <w:rFonts w:hint="eastAsia"/>
        </w:rPr>
        <w:t xml:space="preserve">SPR、库存和绕道对总短缺压力的覆盖率触发，而不是单纯按日历时间外生扣减。短期冲击模型在</w:t>
      </w:r>
      <w:r>
        <w:t xml:space="preserve"> 46 </w:t>
      </w:r>
      <w:r>
        <w:rPr>
          <w:rFonts w:hint="eastAsia"/>
        </w:rPr>
        <w:t xml:space="preserve">个交易日内取得</w:t>
      </w:r>
      <w:r>
        <w:t xml:space="preserve"> RMSE </w:t>
      </w:r>
      <w:r>
        <w:rPr>
          <w:rFonts w:hint="eastAsia"/>
        </w:rPr>
        <w:t xml:space="preserve">为</w:t>
      </w:r>
      <w:r>
        <w:t xml:space="preserve"> 3.38 </w:t>
      </w:r>
      <w:r>
        <w:rPr>
          <w:rFonts w:hint="eastAsia"/>
        </w:rPr>
        <w:t xml:space="preserve">美元/桶、MAE</w:t>
      </w:r>
      <w:r>
        <w:t xml:space="preserve"> </w:t>
      </w:r>
      <w:r>
        <w:rPr>
          <w:rFonts w:hint="eastAsia"/>
        </w:rPr>
        <w:t xml:space="preserve">为</w:t>
      </w:r>
      <w:r>
        <w:t xml:space="preserve"> 2.76 </w:t>
      </w:r>
      <w:r>
        <w:rPr>
          <w:rFonts w:hint="eastAsia"/>
        </w:rPr>
        <w:t xml:space="preserve">美元/桶、MAPE</w:t>
      </w:r>
      <w:r>
        <w:t xml:space="preserve"> </w:t>
      </w:r>
      <w:r>
        <w:rPr>
          <w:rFonts w:hint="eastAsia"/>
        </w:rPr>
        <w:t xml:space="preserve">为</w:t>
      </w:r>
      <w:r>
        <w:t xml:space="preserve"> 2.76% </w:t>
      </w:r>
      <w:r>
        <w:rPr>
          <w:rFonts w:hint="eastAsia"/>
        </w:rPr>
        <w:t xml:space="preserve">的拟合效果，并优于上一日价格朴素基准和滚动</w:t>
      </w:r>
      <w:r>
        <w:t xml:space="preserve"> ARIMA </w:t>
      </w:r>
      <w:r>
        <w:rPr>
          <w:rFonts w:hint="eastAsia"/>
        </w:rPr>
        <w:t xml:space="preserve">基准。加入仅使用历史滞后价格特征的阶段</w:t>
      </w:r>
      <w:r>
        <w:t xml:space="preserve"> Ridge </w:t>
      </w:r>
      <w:r>
        <w:rPr>
          <w:rFonts w:hint="eastAsia"/>
        </w:rPr>
        <w:t xml:space="preserve">收益率辅助层后，RMSE</w:t>
      </w:r>
      <w:r>
        <w:t xml:space="preserve"> </w:t>
      </w:r>
      <w:r>
        <w:rPr>
          <w:rFonts w:hint="eastAsia"/>
        </w:rPr>
        <w:t xml:space="preserve">进一步降至</w:t>
      </w:r>
      <w:r>
        <w:t xml:space="preserve"> 3.18 </w:t>
      </w:r>
      <w:r>
        <w:rPr>
          <w:rFonts w:hint="eastAsia"/>
        </w:rPr>
        <w:t xml:space="preserve">美元/桶、方向命中率为</w:t>
      </w:r>
      <w:r>
        <w:t xml:space="preserve"> </w:t>
      </w:r>
      <w:r>
        <w:rPr>
          <w:rFonts w:hint="eastAsia"/>
        </w:rPr>
        <w:t xml:space="preserve">68.9%。滞后平移、拐点、机制消融和结构稳定性检验表明，模型不是简单滞后复制，110–120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针对任务二，本文构建中长期油价调节模型，给出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市场隐含波动率推进到中长期参数约束层。中长期油价调节模型显示，中性情景第</w:t>
      </w:r>
      <w:r>
        <w:t xml:space="preserve"> 180 </w:t>
      </w:r>
      <w:r>
        <w:rPr>
          <w:rFonts w:hint="eastAsia"/>
        </w:rPr>
        <w:t xml:space="preserve">天价格约为</w:t>
      </w:r>
      <w:r>
        <w:t xml:space="preserve"> 91.37 </w:t>
      </w:r>
      <w:r>
        <w:rPr>
          <w:rFonts w:hint="eastAsia"/>
        </w:rPr>
        <w:t xml:space="preserve">美元/桶，悲观情景第</w:t>
      </w:r>
      <w:r>
        <w:t xml:space="preserve"> 180 </w:t>
      </w:r>
      <w:r>
        <w:rPr>
          <w:rFonts w:hint="eastAsia"/>
        </w:rPr>
        <w:t xml:space="preserve">天约为</w:t>
      </w:r>
      <w:r>
        <w:t xml:space="preserve"> 107.89 </w:t>
      </w:r>
      <w:r>
        <w:rPr>
          <w:rFonts w:hint="eastAsia"/>
        </w:rPr>
        <w:t xml:space="preserve">美元/桶，且仍保留二次跳涨风险。敏感性分析表明，封锁风险衰减速度、地缘风险权重、不确定性与制度风险强度是综合敏感度最高的三个因素。传统蒙特卡洛情景树用于刻画多参数扰动下的条件区间；进一步引入由</w:t>
      </w:r>
      <w:r>
        <w:t xml:space="preserve"> 2017–2025 </w:t>
      </w:r>
      <w:r>
        <w:rPr>
          <w:rFonts w:hint="eastAsia"/>
        </w:rPr>
        <w:t xml:space="preserve">历史价格状态转移校准、并受</w:t>
      </w:r>
      <w:r>
        <w:t xml:space="preserve"> GPR </w:t>
      </w:r>
      <w:r>
        <w:rPr>
          <w:rFonts w:hint="eastAsia"/>
        </w:rPr>
        <w:t xml:space="preserve">与</w:t>
      </w:r>
      <w:r>
        <w:t xml:space="preserve"> OVX </w:t>
      </w:r>
      <w:r>
        <w:rPr>
          <w:rFonts w:hint="eastAsia"/>
        </w:rPr>
        <w:t xml:space="preserve">约束的三状态转移扰动后，第</w:t>
      </w:r>
      <w:r>
        <w:t xml:space="preserve"> 180 </w:t>
      </w:r>
      <w:r>
        <w:rPr>
          <w:rFonts w:hint="eastAsia"/>
        </w:rPr>
        <w:t xml:space="preserve">天价格中位数为</w:t>
      </w:r>
      <w:r>
        <w:t xml:space="preserve"> 91.21 </w:t>
      </w:r>
      <w:r>
        <w:rPr>
          <w:rFonts w:hint="eastAsia"/>
        </w:rPr>
        <w:t xml:space="preserve">美元/桶，5%–95%</w:t>
      </w:r>
      <w:r>
        <w:t xml:space="preserve"> </w:t>
      </w:r>
      <w:r>
        <w:rPr>
          <w:rFonts w:hint="eastAsia"/>
        </w:rPr>
        <w:t xml:space="preserve">条件区间为</w:t>
      </w:r>
      <w:r>
        <w:t xml:space="preserve"> 87.17–98.29 </w:t>
      </w:r>
      <w:r>
        <w:rPr>
          <w:rFonts w:hint="eastAsia"/>
        </w:rPr>
        <w:t xml:space="preserve">美元/桶，外推期最高价</w:t>
      </w:r>
      <w:r>
        <w:t xml:space="preserve"> P95 </w:t>
      </w:r>
      <w:r>
        <w:rPr>
          <w:rFonts w:hint="eastAsia"/>
        </w:rPr>
        <w:t xml:space="preserve">为</w:t>
      </w:r>
      <w:r>
        <w:t xml:space="preserve"> 130.41 </w:t>
      </w:r>
      <w:r>
        <w:rPr>
          <w:rFonts w:hint="eastAsia"/>
        </w:rPr>
        <w:t xml:space="preserve">美元/桶，突破</w:t>
      </w:r>
      <w:r>
        <w:t xml:space="preserve"> 120 </w:t>
      </w:r>
      <w:r>
        <w:rPr>
          <w:rFonts w:hint="eastAsia"/>
        </w:rPr>
        <w:t xml:space="preserve">美元/桶的条件概率为</w:t>
      </w:r>
      <w:r>
        <w:t xml:space="preserve"> 49.4%。GPR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年历史同长度窗口检验说明，2026</w:t>
      </w:r>
      <w:r>
        <w:t xml:space="preserve"> </w:t>
      </w:r>
      <w:r>
        <w:rPr>
          <w:rFonts w:hint="eastAsia"/>
        </w:rPr>
        <w:t xml:space="preserve">冲突窗口具有罕见地缘风险和高波动特征；外部风险指标在本文中用于中长期约束和风险校验，不作为短期同步拟合因子。</w:t>
      </w:r>
    </w:p>
    <w:p>
      <w:pPr>
        <w:pStyle w:val="BodyText"/>
      </w:pPr>
      <w:r>
        <w:rPr>
          <w:rFonts w:hint="eastAsia"/>
          <w:b/>
          <w:bCs/>
        </w:rPr>
        <w:t xml:space="preserve">关键词：</w:t>
      </w:r>
      <w:r>
        <w:t xml:space="preserve"> </w:t>
      </w:r>
      <w:r>
        <w:rPr>
          <w:rFonts w:hint="eastAsia"/>
        </w:rPr>
        <w:t xml:space="preserve">霍尔木兹海峡；原油价格；短期冲击模型；中长期油价调节模型；战略石油储备；敏感性分析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短期冲击层：引入</w:t>
      </w:r>
      <w:r>
        <w:t xml:space="preserve"> </w:t>
      </w:r>
      <w:r>
        <w:rPr>
          <w:rFonts w:hint="eastAsia"/>
        </w:rPr>
        <w:t xml:space="preserve">SPR、库存、绕道、需求调整、恐慌衰减和预期修复，解释</w:t>
      </w:r>
      <w:r>
        <w:t xml:space="preserve"> 0–60 </w:t>
      </w:r>
      <w:r>
        <w:rPr>
          <w:rFonts w:hint="eastAsia"/>
        </w:rPr>
        <w:t xml:space="preserve">天现实价格路径。</w:t>
      </w:r>
    </w:p>
    <w:p>
      <w:pPr>
        <w:numPr>
          <w:ilvl w:val="0"/>
          <w:numId w:val="1001"/>
        </w:numPr>
      </w:pPr>
      <w:r>
        <w:rPr>
          <w:rFonts w:hint="eastAsia"/>
        </w:rPr>
        <w:t xml:space="preserve">中长期调节层：构建</w:t>
      </w:r>
      <w:r>
        <w:t xml:space="preserve"> 60–180 </w:t>
      </w:r>
      <w:r>
        <w:rPr>
          <w:rFonts w:hint="eastAsia"/>
        </w:rPr>
        <w:t xml:space="preserve">天中长期油价调节模型，并通过敏感性分析识别关键变量。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w:t>
            </w:r>
            <w:r>
              <w:rPr>
                <w:rFonts w:hint="eastAsia"/>
              </w:rPr>
              <w:t xml:space="preserve">1：短期冲击模型（0–60</w:t>
            </w:r>
            <w:r>
              <w:t xml:space="preserve"> </w:t>
            </w:r>
            <w:r>
              <w:rPr>
                <w:rFonts w:hint="eastAsia"/>
              </w:rPr>
              <w:t xml:space="preserve">天）</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完成附件数据清洗、传统供需基准、短期冲击模型、参数校准和鲁棒性检验，给出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w:t>
            </w:r>
            <w:r>
              <w:rPr>
                <w:rFonts w:hint="eastAsia"/>
              </w:rPr>
              <w:t xml:space="preserve">2：中长期油价调节模型（60–180</w:t>
            </w:r>
            <w:r>
              <w:t xml:space="preserve"> </w:t>
            </w:r>
            <w:r>
              <w:rPr>
                <w:rFonts w:hint="eastAsia"/>
              </w:rPr>
              <w:t xml:space="preserve">天）</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7"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再建立短期冲击模型，把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最后建立中长期油价调节模型，并通过三情景预测、敏感性分析、蒙特卡洛情景树、滞后地缘风险指数检验和历史样本稳健性检验识别影响长期价格平衡点和二次跳涨风险的关键变量。</w:t>
      </w:r>
    </w:p>
    <w:bookmarkStart w:id="10" w:name="fig:paper-roadmap"/>
    <w:tbl>
      <w:tblPr>
        <w:tblStyle w:val="FigureTable"/>
        <w:tblW w:type="auto" w:w="0"/>
        <w:jc w:val="center"/>
        <w:tblLook w:firstRow="0" w:lastRow="0" w:firstColumn="0" w:lastColumn="0"/>
      </w:tblPr>
      <w:tblGrid/>
    </w:tbl>
    <w:p>
      <w:pPr>
        <w:pStyle w:val="ImageCaption"/>
      </w:pPr>
      <w:r>
        <w:rPr>
          <w:rFonts w:hint="eastAsia"/>
        </w:rPr>
        <w:t xml:space="preserve">本文总体技术路线</w:t>
      </w:r>
    </w:p>
    <w:bookmarkEnd w:id="10"/>
    <w:p>
      <w:pPr>
        <w:pStyle w:val="BodyText"/>
      </w:pPr>
      <w:r>
        <w:rPr>
          <w:rFonts w:hint="eastAsia"/>
        </w:rPr>
        <w:t xml:space="preserve">这一技术路线的核心原则是：真实价格只来自附件数据；长期部分采用情景预测和区间表达；模型检验覆盖朴素基准、滞后复制、参数过拟合和结构稳定性等关键边界。</w:t>
      </w:r>
    </w:p>
    <w:p>
      <w:pPr>
        <w:pStyle w:val="BodyText"/>
      </w:pPr>
      <w:r>
        <w:rPr>
          <w:rFonts w:hint="eastAsia"/>
        </w:rPr>
        <w:t xml:space="preserve">最终论文使用赛题给定的两个模型名称组织主线：任务</w:t>
      </w:r>
      <w:r>
        <w:t xml:space="preserve"> 1 </w:t>
      </w:r>
      <w:r>
        <w:rPr>
          <w:rFonts w:hint="eastAsia"/>
        </w:rPr>
        <w:t xml:space="preserve">为短期冲击模型，任务</w:t>
      </w:r>
      <w:r>
        <w:t xml:space="preserve"> 2 </w:t>
      </w:r>
      <w:r>
        <w:rPr>
          <w:rFonts w:hint="eastAsia"/>
        </w:rPr>
        <w:t xml:space="preserve">为中长期油价调节模型。传统供需模型用于提供反事实基准；三情景、蒙特卡洛和状态转移情景树是中长期油价调节模型内部的条件外推方法；消融实验、敏感性分析和蒙特卡洛情景树用于证明因素是否值得保留，并刻画多因素同时恶化时的尾部风险。因素纳入原则见</w:t>
      </w:r>
      <w:hyperlink w:anchor="tab:factor-inclusion">
        <w:r>
          <w:rPr>
            <w:rStyle w:val="Hyperlink"/>
          </w:rPr>
          <w:t xml:space="preserve">1</w:t>
        </w:r>
      </w:hyperlink>
      <w:r>
        <w:t xml:space="preserve">。</w:t>
      </w:r>
    </w:p>
    <w:bookmarkStart w:id="11"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短期冲击模型物理层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进入短期冲击模型，参与</w:t>
            </w:r>
            <w:r>
              <w:t xml:space="preserve"> 0–60 </w:t>
            </w:r>
            <w:r>
              <w:rPr>
                <w:rFonts w:hint="eastAsia"/>
              </w:rPr>
              <w:t xml:space="preserve">天路径拟合与机制解释</w:t>
            </w:r>
          </w:p>
        </w:tc>
      </w:tr>
      <w:tr>
        <w:tc>
          <w:tcPr/>
          <w:p>
            <w:pPr>
              <w:pStyle w:val="Compact"/>
              <w:jc w:val="left"/>
            </w:pPr>
            <w:r>
              <w:rPr>
                <w:rFonts w:hint="eastAsia"/>
              </w:rPr>
              <w:t xml:space="preserve">短期冲击模型价格形成层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进入短期冲击模型，但必须通过基准对比、消融实验和稳健性检验证明必要性</w:t>
            </w:r>
          </w:p>
        </w:tc>
      </w:tr>
      <w:tr>
        <w:tc>
          <w:tcPr/>
          <w:p>
            <w:pPr>
              <w:pStyle w:val="Compact"/>
              <w:jc w:val="left"/>
            </w:pPr>
            <w:r>
              <w:rPr>
                <w:rFonts w:hint="eastAsia"/>
              </w:rPr>
              <w:t xml:space="preserve">中长期调节层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不强行用于短期拟合，进入中长期油价调节模型和尾部风险解释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1"/>
    <w:bookmarkStart w:id="13" w:name="可复现实现原则"/>
    <w:p>
      <w:pPr>
        <w:pStyle w:val="Heading2"/>
      </w:pPr>
      <w:r>
        <w:rPr>
          <w:rFonts w:hint="eastAsia"/>
        </w:rPr>
        <w:t xml:space="preserve">可复现实现原则</w:t>
      </w:r>
    </w:p>
    <w:p>
      <w:pPr>
        <w:pStyle w:val="FirstParagraph"/>
      </w:pPr>
      <w:r>
        <w:rPr>
          <w:rFonts w:hint="eastAsia"/>
        </w:rPr>
        <w:t xml:space="preserve">本文将工程实现转化为建模可信度的一部分：数据处理保证口径可追溯，仿真程序保证模型可复现，图表系统保证论证过程可检查。具体而言，本文所有清洗数据、外部校验数据、参数校准结果、蒙特卡洛样本、敏感性结果、论文图表和最终</w:t>
      </w:r>
      <w:r>
        <w:t xml:space="preserve"> PDF/DOCX </w:t>
      </w:r>
      <w:r>
        <w:rPr>
          <w:rFonts w:hint="eastAsia"/>
        </w:rPr>
        <w:t xml:space="preserve">均由统一项目脚本生成，使每一个结论都可以回溯到明确的数据文件、模型参数和图表来源。</w:t>
      </w:r>
    </w:p>
    <w:bookmarkStart w:id="12" w:name="tab:engineering-implementation"/>
    <w:p>
      <w:pPr>
        <w:pStyle w:val="TableCaption"/>
      </w:pPr>
      <w:r>
        <w:rPr>
          <w:rFonts w:hint="eastAsia"/>
        </w:rPr>
        <w:t xml:space="preserve">可复现实现对建模质量的作用</w:t>
      </w:r>
    </w:p>
    <w:tbl>
      <w:tblPr>
        <w:tblStyle w:val="Table"/>
        <w:tblW w:type="auto" w:w="0"/>
        <w:tblLook w:firstRow="1" w:lastRow="0" w:firstColumn="0" w:lastColumn="0" w:noHBand="0" w:noVBand="0" w:val="0020"/>
        <w:tblCaption w:val="可复现实现对建模质量的作用"/>
      </w:tblPr>
      <w:tblGrid>
        <w:gridCol w:w="2640"/>
        <w:gridCol w:w="2640"/>
        <w:gridCol w:w="2640"/>
      </w:tblGrid>
      <w:tr>
        <w:trPr>
          <w:tblHeader w:val="on"/>
        </w:trPr>
        <w:tc>
          <w:tcPr/>
          <w:p>
            <w:pPr>
              <w:pStyle w:val="Compact"/>
              <w:jc w:val="left"/>
            </w:pPr>
            <w:r>
              <w:rPr>
                <w:rFonts w:hint="eastAsia"/>
              </w:rPr>
              <w:t xml:space="preserve">实现维度</w:t>
            </w:r>
          </w:p>
        </w:tc>
        <w:tc>
          <w:tcPr/>
          <w:p>
            <w:pPr>
              <w:pStyle w:val="Compact"/>
              <w:jc w:val="left"/>
            </w:pPr>
            <w:r>
              <w:rPr>
                <w:rFonts w:hint="eastAsia"/>
              </w:rPr>
              <w:t xml:space="preserve">在本文中的落地方式</w:t>
            </w:r>
          </w:p>
        </w:tc>
        <w:tc>
          <w:tcPr/>
          <w:p>
            <w:pPr>
              <w:pStyle w:val="Compact"/>
              <w:jc w:val="left"/>
            </w:pPr>
            <w:r>
              <w:rPr>
                <w:rFonts w:hint="eastAsia"/>
              </w:rPr>
              <w:t xml:space="preserve">对建模质量的作用</w:t>
            </w:r>
          </w:p>
        </w:tc>
      </w:tr>
      <w:tr>
        <w:tc>
          <w:tcPr/>
          <w:p>
            <w:pPr>
              <w:pStyle w:val="Compact"/>
              <w:jc w:val="left"/>
            </w:pPr>
            <w:r>
              <w:rPr>
                <w:rFonts w:hint="eastAsia"/>
              </w:rPr>
              <w:t xml:space="preserve">数据处理</w:t>
            </w:r>
          </w:p>
        </w:tc>
        <w:tc>
          <w:tcPr/>
          <w:p>
            <w:pPr>
              <w:pStyle w:val="Compact"/>
              <w:jc w:val="left"/>
            </w:pPr>
            <w:r>
              <w:rPr>
                <w:rFonts w:hint="eastAsia"/>
              </w:rPr>
              <w:t xml:space="preserve">自动清洗附件价格序列，接入</w:t>
            </w:r>
            <w:r>
              <w:t xml:space="preserve"> EIA、JODI、OPEC、GPR、OVX </w:t>
            </w:r>
            <w:r>
              <w:rPr>
                <w:rFonts w:hint="eastAsia"/>
              </w:rPr>
              <w:t xml:space="preserve">等外部校验数据，并统一输出中文命名数据表。</w:t>
            </w:r>
          </w:p>
        </w:tc>
        <w:tc>
          <w:tcPr/>
          <w:p>
            <w:pPr>
              <w:pStyle w:val="Compact"/>
              <w:jc w:val="left"/>
            </w:pPr>
            <w:r>
              <w:rPr>
                <w:rFonts w:hint="eastAsia"/>
              </w:rPr>
              <w:t xml:space="preserve">减少手工处理误差，保证真实价格来自附件，外部数据只用于数量级校验与长期约束。</w:t>
            </w:r>
          </w:p>
        </w:tc>
      </w:tr>
      <w:tr>
        <w:tc>
          <w:tcPr/>
          <w:p>
            <w:pPr>
              <w:pStyle w:val="Compact"/>
              <w:jc w:val="left"/>
            </w:pPr>
            <w:r>
              <w:rPr>
                <w:rFonts w:hint="eastAsia"/>
              </w:rPr>
              <w:t xml:space="preserve">仿真与批量计算</w:t>
            </w:r>
          </w:p>
        </w:tc>
        <w:tc>
          <w:tcPr/>
          <w:p>
            <w:pPr>
              <w:pStyle w:val="Compact"/>
              <w:jc w:val="left"/>
            </w:pPr>
            <w:r>
              <w:rPr>
                <w:rFonts w:hint="eastAsia"/>
              </w:rPr>
              <w:t xml:space="preserve">使用程序完成多目标参数搜索、局部稳健性复核、机制消融、蒙特卡洛情景树和状态转移路径抽样。</w:t>
            </w:r>
          </w:p>
        </w:tc>
        <w:tc>
          <w:tcPr/>
          <w:p>
            <w:pPr>
              <w:pStyle w:val="Compact"/>
              <w:jc w:val="left"/>
            </w:pPr>
            <w:r>
              <w:rPr>
                <w:rFonts w:hint="eastAsia"/>
              </w:rPr>
              <w:t xml:space="preserve">将</w:t>
            </w:r>
            <w:r>
              <w:rPr>
                <w:rFonts w:hint="eastAsia"/>
              </w:rPr>
              <w:t xml:space="preserve">“参数是否偶然”</w:t>
            </w:r>
            <w:r>
              <w:rPr>
                <w:rFonts w:hint="eastAsia"/>
              </w:rPr>
              <w:t xml:space="preserve">“长期是否只是一条线”</w:t>
            </w:r>
            <w:r>
              <w:rPr>
                <w:rFonts w:hint="eastAsia"/>
              </w:rPr>
              <w:t xml:space="preserve">等问题转化为可重复的数值检验。</w:t>
            </w:r>
          </w:p>
        </w:tc>
      </w:tr>
      <w:tr>
        <w:tc>
          <w:tcPr/>
          <w:p>
            <w:pPr>
              <w:pStyle w:val="Compact"/>
              <w:jc w:val="left"/>
            </w:pPr>
            <w:r>
              <w:rPr>
                <w:rFonts w:hint="eastAsia"/>
              </w:rPr>
              <w:t xml:space="preserve">图表与论文生成</w:t>
            </w:r>
          </w:p>
        </w:tc>
        <w:tc>
          <w:tcPr/>
          <w:p>
            <w:pPr>
              <w:pStyle w:val="Compact"/>
              <w:jc w:val="left"/>
            </w:pPr>
            <w:r>
              <w:rPr>
                <w:rFonts w:hint="eastAsia"/>
              </w:rPr>
              <w:t xml:space="preserve">由脚本统一生成拟合图、机制图、敏感性图、蒙特卡洛图、气泡图、热力图和最终论文文件。</w:t>
            </w:r>
          </w:p>
        </w:tc>
        <w:tc>
          <w:tcPr/>
          <w:p>
            <w:pPr>
              <w:pStyle w:val="Compact"/>
              <w:jc w:val="left"/>
            </w:pPr>
            <w:r>
              <w:rPr>
                <w:rFonts w:hint="eastAsia"/>
              </w:rPr>
              <w:t xml:space="preserve">让图表承担论证功能，而不是只做装饰；每张主图都对应一个关键模型问题。</w:t>
            </w:r>
          </w:p>
        </w:tc>
      </w:tr>
    </w:tbl>
    <w:bookmarkEnd w:id="12"/>
    <w:p>
      <w:pPr>
        <w:pStyle w:val="BodyText"/>
      </w:pPr>
      <w:r>
        <w:rPr>
          <w:rFonts w:hint="eastAsia"/>
          <w:b/>
          <w:bCs/>
        </w:rPr>
        <w:t xml:space="preserve">结论</w:t>
      </w:r>
      <w:r>
        <w:rPr>
          <w:rFonts w:hint="eastAsia"/>
        </w:rPr>
        <w:t xml:space="preserve">本文的实现重点是把数据、仿真和图表组织成可追溯的证据链：每个模型结果都能从原始数据、参数文件和生成脚本中复现。</w:t>
      </w:r>
    </w:p>
    <w:bookmarkEnd w:id="13"/>
    <w:bookmarkStart w:id="15" w:name="本文贡献与边界"/>
    <w:p>
      <w:pPr>
        <w:pStyle w:val="Heading2"/>
      </w:pPr>
      <w:r>
        <w:rPr>
          <w:rFonts w:hint="eastAsia"/>
        </w:rPr>
        <w:t xml:space="preserve">本文贡献与边界</w:t>
      </w:r>
    </w:p>
    <w:p>
      <w:pPr>
        <w:pStyle w:val="FirstParagraph"/>
      </w:pPr>
      <w:r>
        <w:rPr>
          <w:rFonts w:hint="eastAsia"/>
        </w:rPr>
        <w:t xml:space="preserve">围绕赛题目标，本文重点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w:t>
      </w:r>
      <w:hyperlink w:anchor="tab:contribution-boundary">
        <w:r>
          <w:rPr>
            <w:rStyle w:val="Hyperlink"/>
          </w:rPr>
          <w:t xml:space="preserve">3</w:t>
        </w:r>
      </w:hyperlink>
      <w:r>
        <w:t xml:space="preserve">。</w:t>
      </w:r>
    </w:p>
    <w:bookmarkStart w:id="14" w:name="tab:contribution-boundary"/>
    <w:p>
      <w:pPr>
        <w:pStyle w:val="TableCaption"/>
      </w:pPr>
      <w:r>
        <w:rPr>
          <w:rFonts w:hint="eastAsia"/>
        </w:rPr>
        <w:t xml:space="preserve">本文贡献与边界</w:t>
      </w:r>
    </w:p>
    <w:tbl>
      <w:tblPr>
        <w:tblStyle w:val="Table"/>
        <w:tblW w:type="auto" w:w="0"/>
        <w:tblLook w:firstRow="1" w:lastRow="0" w:firstColumn="0" w:lastColumn="0" w:noHBand="0" w:noVBand="0" w:val="0020"/>
        <w:tblCaption w:val="本文贡献与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短期冲击模型</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适用范围限定于</w:t>
            </w:r>
            <w:r>
              <w:t xml:space="preserve"> 2026 </w:t>
            </w:r>
            <w:r>
              <w:rPr>
                <w:rFonts w:hint="eastAsia"/>
              </w:rPr>
              <w:t xml:space="preserve">冲突窗口下的机制解释，不外推为跨年份通用交易模型。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中长期油价调节模型</w:t>
            </w:r>
          </w:p>
        </w:tc>
        <w:tc>
          <w:tcPr/>
          <w:p>
            <w:pPr>
              <w:pStyle w:val="Compact"/>
              <w:jc w:val="left"/>
            </w:pPr>
            <w:r>
              <w:rPr>
                <w:rFonts w:hint="eastAsia"/>
              </w:rPr>
              <w:t xml:space="preserve">把短期冲击模型延伸到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中长期结果是条件情景预测，不把中性曲线写成未来每日油价的精确点预测。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4"/>
    <w:p>
      <w:pPr>
        <w:pStyle w:val="BodyText"/>
      </w:pPr>
      <w:r>
        <w:rPr>
          <w:rFonts w:hint="eastAsia"/>
          <w:b/>
          <w:bCs/>
        </w:rPr>
        <w:t xml:space="preserve">结论</w:t>
      </w:r>
      <w:r>
        <w:rPr>
          <w:rFonts w:hint="eastAsia"/>
        </w:rPr>
        <w:t xml:space="preserve">本文的论证链条是</w:t>
      </w:r>
      <w:r>
        <w:rPr>
          <w:rFonts w:hint="eastAsia"/>
        </w:rPr>
        <w:t xml:space="preserve">“反事实压力—机制缓冲—鲁棒性检验—条件外推”</w:t>
      </w:r>
      <w:r>
        <w:rPr>
          <w:rFonts w:hint="eastAsia"/>
        </w:rPr>
        <w:t xml:space="preserve">：先说明高价压力来源，再说明缓冲机制如何改变价格路径，并用基准、消融、敏感性和历史窗口检验支撑模型解释。</w:t>
      </w:r>
    </w:p>
    <w:bookmarkEnd w:id="15"/>
    <w:bookmarkStart w:id="16"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传统基准与短期冲击模型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中长期结果应报告情景、区间和尾部概率，不夸大单点预测</w:t>
            </w:r>
          </w:p>
        </w:tc>
        <w:tc>
          <w:tcPr/>
          <w:p>
            <w:pPr>
              <w:pStyle w:val="Compact"/>
              <w:jc w:val="left"/>
            </w:pPr>
            <w:r>
              <w:rPr>
                <w:rFonts w:hint="eastAsia"/>
              </w:rPr>
              <w:t xml:space="preserve">中长期油价调节模型、蒙特卡洛和状态转移情景树</w:t>
            </w:r>
          </w:p>
        </w:tc>
      </w:tr>
    </w:tbl>
    <w:bookmarkEnd w:id="16"/>
    <w:bookmarkEnd w:id="17"/>
    <w:bookmarkStart w:id="30" w:name="数据处理与描述性分析"/>
    <w:p>
      <w:pPr>
        <w:pStyle w:val="Heading1"/>
      </w:pPr>
      <w:r>
        <w:rPr>
          <w:rFonts w:hint="eastAsia"/>
        </w:rPr>
        <w:t xml:space="preserve">数据处理与描述性分析</w:t>
      </w:r>
    </w:p>
    <w:bookmarkStart w:id="25"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BodyText"/>
      </w:pPr>
      <w:r>
        <w:rPr>
          <w:rFonts w:hint="eastAsia"/>
        </w:rPr>
        <w:t xml:space="preserve">为统一数据口径，本文将数据分为</w:t>
      </w:r>
      <w:r>
        <w:rPr>
          <w:rFonts w:hint="eastAsia"/>
        </w:rPr>
        <w:t xml:space="preserve">“拟合目标”</w:t>
      </w:r>
      <w:r>
        <w:rPr>
          <w:rFonts w:hint="eastAsia"/>
        </w:rPr>
        <w:t xml:space="preserve">“长期约束”</w:t>
      </w:r>
      <w:r>
        <w:rPr>
          <w:rFonts w:hint="eastAsia"/>
        </w:rPr>
        <w:t xml:space="preserve">“风险校验”</w:t>
      </w:r>
      <w:r>
        <w:rPr>
          <w:rFonts w:hint="eastAsia"/>
        </w:rPr>
        <w:t xml:space="preserve">和</w:t>
      </w:r>
      <w:r>
        <w:rPr>
          <w:rFonts w:hint="eastAsia"/>
        </w:rPr>
        <w:t xml:space="preserve">“候选市场变量”</w:t>
      </w:r>
      <w:r>
        <w:rPr>
          <w:rFonts w:hint="eastAsia"/>
        </w:rPr>
        <w:t xml:space="preserve">四类。短期拟合的真实价格目标只来自赛题附件；EIA、JODI、OPEC、GPR、OVX</w:t>
      </w:r>
      <w:r>
        <w:t xml:space="preserve"> </w:t>
      </w:r>
      <w:r>
        <w:rPr>
          <w:rFonts w:hint="eastAsia"/>
        </w:rPr>
        <w:t xml:space="preserve">和期限结构资料用于数量级约束、风险校验或后续扩展，不构造新的真实油价。</w:t>
      </w:r>
      <w:hyperlink w:anchor="tab:external-data-role">
        <w:r>
          <w:rPr>
            <w:rStyle w:val="Hyperlink"/>
          </w:rPr>
          <w:t xml:space="preserve">4</w:t>
        </w:r>
      </w:hyperlink>
      <w:r>
        <w:t xml:space="preserve"> </w:t>
      </w:r>
      <w:r>
        <w:rPr>
          <w:rFonts w:hint="eastAsia"/>
        </w:rPr>
        <w:t xml:space="preserve">给出各类数据在模型中的位置。</w:t>
      </w:r>
    </w:p>
    <w:bookmarkStart w:id="18" w:name="tab:external-data-role"/>
    <w:p>
      <w:pPr>
        <w:pStyle w:val="TableCaption"/>
      </w:pPr>
      <w:r>
        <w:rPr>
          <w:rFonts w:hint="eastAsia"/>
        </w:rPr>
        <w:t xml:space="preserve">外部数据来源、模型作用与使用边界</w:t>
      </w:r>
    </w:p>
    <w:tbl>
      <w:tblPr>
        <w:tblStyle w:val="Table"/>
        <w:tblW w:type="auto" w:w="0"/>
        <w:tblLook w:firstRow="1" w:lastRow="0" w:firstColumn="0" w:lastColumn="0" w:noHBand="0" w:noVBand="0" w:val="0020"/>
        <w:tblCaption w:val="外部数据来源、模型作用与使用边界"/>
      </w:tblPr>
      <w:tblGrid>
        <w:gridCol w:w="1980"/>
        <w:gridCol w:w="1980"/>
        <w:gridCol w:w="1980"/>
        <w:gridCol w:w="1980"/>
      </w:tblGrid>
      <w:tr>
        <w:trPr>
          <w:tblHeader w:val="on"/>
        </w:trPr>
        <w:tc>
          <w:tcPr/>
          <w:p>
            <w:pPr>
              <w:pStyle w:val="Compact"/>
              <w:jc w:val="left"/>
            </w:pPr>
            <w:r>
              <w:rPr>
                <w:rFonts w:hint="eastAsia"/>
              </w:rPr>
              <w:t xml:space="preserve">来源</w:t>
            </w:r>
          </w:p>
        </w:tc>
        <w:tc>
          <w:tcPr/>
          <w:p>
            <w:pPr>
              <w:pStyle w:val="Compact"/>
              <w:jc w:val="left"/>
            </w:pPr>
            <w:r>
              <w:rPr>
                <w:rFonts w:hint="eastAsia"/>
              </w:rPr>
              <w:t xml:space="preserve">数据对象</w:t>
            </w:r>
          </w:p>
        </w:tc>
        <w:tc>
          <w:tcPr/>
          <w:p>
            <w:pPr>
              <w:pStyle w:val="Compact"/>
              <w:jc w:val="left"/>
            </w:pPr>
            <w:r>
              <w:rPr>
                <w:rFonts w:hint="eastAsia"/>
              </w:rPr>
              <w:t xml:space="preserve">在模型中的作用</w:t>
            </w:r>
          </w:p>
        </w:tc>
        <w:tc>
          <w:tcPr/>
          <w:p>
            <w:pPr>
              <w:pStyle w:val="Compact"/>
              <w:jc w:val="left"/>
            </w:pPr>
            <w:r>
              <w:rPr>
                <w:rFonts w:hint="eastAsia"/>
              </w:rPr>
              <w:t xml:space="preserve">使用边界</w:t>
            </w:r>
          </w:p>
        </w:tc>
      </w:tr>
      <w:tr>
        <w:tc>
          <w:tcPr/>
          <w:p>
            <w:pPr>
              <w:pStyle w:val="Compact"/>
              <w:jc w:val="left"/>
            </w:pPr>
            <w:r>
              <w:rPr>
                <w:rFonts w:hint="eastAsia"/>
              </w:rPr>
              <w:t xml:space="preserve">赛题附件</w:t>
            </w:r>
            <w:r>
              <w:t xml:space="preserve"> CSV</w:t>
            </w:r>
          </w:p>
        </w:tc>
        <w:tc>
          <w:tcPr/>
          <w:p>
            <w:pPr>
              <w:pStyle w:val="Compact"/>
              <w:jc w:val="left"/>
            </w:pPr>
            <w:r>
              <w:t xml:space="preserve">2017–2026 </w:t>
            </w:r>
            <w:r>
              <w:rPr>
                <w:rFonts w:hint="eastAsia"/>
              </w:rPr>
              <w:t xml:space="preserve">年布伦特原油期货主力合约价格</w:t>
            </w:r>
          </w:p>
        </w:tc>
        <w:tc>
          <w:tcPr/>
          <w:p>
            <w:pPr>
              <w:pStyle w:val="Compact"/>
              <w:jc w:val="left"/>
            </w:pPr>
            <w:r>
              <w:rPr>
                <w:rFonts w:hint="eastAsia"/>
              </w:rPr>
              <w:t xml:space="preserve">短期冲击模型拟合目标、基准模型对比、历史滚动窗口检验</w:t>
            </w:r>
          </w:p>
        </w:tc>
        <w:tc>
          <w:tcPr/>
          <w:p>
            <w:pPr>
              <w:pStyle w:val="Compact"/>
              <w:jc w:val="left"/>
            </w:pPr>
            <w:r>
              <w:rPr>
                <w:rFonts w:hint="eastAsia"/>
              </w:rPr>
              <w:t xml:space="preserve">唯一真实价格来源；短期</w:t>
            </w:r>
            <w:r>
              <w:t xml:space="preserve"> RMSE、MAE、MAPE </w:t>
            </w:r>
            <w:r>
              <w:rPr>
                <w:rFonts w:hint="eastAsia"/>
              </w:rPr>
              <w:t xml:space="preserve">均以附件收盘价计算</w:t>
            </w:r>
          </w:p>
        </w:tc>
      </w:tr>
      <w:tr>
        <w:tc>
          <w:tcPr/>
          <w:p>
            <w:pPr>
              <w:pStyle w:val="Compact"/>
              <w:jc w:val="left"/>
            </w:pPr>
            <w:r>
              <w:t xml:space="preserve">EIA </w:t>
            </w:r>
            <w:r>
              <w:rPr>
                <w:rFonts w:hint="eastAsia"/>
              </w:rPr>
              <w:t xml:space="preserve">周度石油数据</w:t>
            </w:r>
          </w:p>
        </w:tc>
        <w:tc>
          <w:tcPr/>
          <w:p>
            <w:pPr>
              <w:pStyle w:val="Compact"/>
              <w:jc w:val="left"/>
            </w:pPr>
            <w:r>
              <w:rPr>
                <w:rFonts w:hint="eastAsia"/>
              </w:rPr>
              <w:t xml:space="preserve">美国</w:t>
            </w:r>
            <w:r>
              <w:t xml:space="preserve"> SPR </w:t>
            </w:r>
            <w:r>
              <w:rPr>
                <w:rFonts w:hint="eastAsia"/>
              </w:rPr>
              <w:t xml:space="preserve">库存、商业库存、原油产量</w:t>
            </w:r>
          </w:p>
        </w:tc>
        <w:tc>
          <w:tcPr/>
          <w:p>
            <w:pPr>
              <w:pStyle w:val="Compact"/>
              <w:jc w:val="left"/>
            </w:pPr>
            <w:r>
              <w:rPr>
                <w:rFonts w:hint="eastAsia"/>
              </w:rPr>
              <w:t xml:space="preserve">中长期油价调节模型中的库存缓冲、SPR</w:t>
            </w:r>
            <w:r>
              <w:t xml:space="preserve"> </w:t>
            </w:r>
            <w:r>
              <w:rPr>
                <w:rFonts w:hint="eastAsia"/>
              </w:rPr>
              <w:t xml:space="preserve">释放强度和非海湾供给恢复数量级校验</w:t>
            </w:r>
          </w:p>
        </w:tc>
        <w:tc>
          <w:tcPr/>
          <w:p>
            <w:pPr>
              <w:pStyle w:val="Compact"/>
              <w:jc w:val="left"/>
            </w:pPr>
            <w:r>
              <w:rPr>
                <w:rFonts w:hint="eastAsia"/>
              </w:rPr>
              <w:t xml:space="preserve">美国口径，不等同全球总量；不参与短期模型拟合</w:t>
            </w:r>
          </w:p>
        </w:tc>
      </w:tr>
      <w:tr>
        <w:tc>
          <w:tcPr/>
          <w:p>
            <w:pPr>
              <w:pStyle w:val="Compact"/>
              <w:jc w:val="left"/>
            </w:pPr>
            <w:r>
              <w:t xml:space="preserve">JODI Oil World Database</w:t>
            </w:r>
          </w:p>
        </w:tc>
        <w:tc>
          <w:tcPr/>
          <w:p>
            <w:pPr>
              <w:pStyle w:val="Compact"/>
              <w:jc w:val="left"/>
            </w:pPr>
            <w:r>
              <w:rPr>
                <w:rFonts w:hint="eastAsia"/>
              </w:rPr>
              <w:t xml:space="preserve">多国月度产量、库存、进出口、需求、炼厂产出</w:t>
            </w:r>
          </w:p>
        </w:tc>
        <w:tc>
          <w:tcPr/>
          <w:p>
            <w:pPr>
              <w:pStyle w:val="Compact"/>
              <w:jc w:val="left"/>
            </w:pPr>
            <w:r>
              <w:rPr>
                <w:rFonts w:hint="eastAsia"/>
              </w:rPr>
              <w:t xml:space="preserve">多国上报口径下的供需与库存约束，辅助校验中长期参数方向</w:t>
            </w:r>
          </w:p>
        </w:tc>
        <w:tc>
          <w:tcPr/>
          <w:p>
            <w:pPr>
              <w:pStyle w:val="Compact"/>
              <w:jc w:val="left"/>
            </w:pPr>
            <w:r>
              <w:rPr>
                <w:rFonts w:hint="eastAsia"/>
              </w:rPr>
              <w:t xml:space="preserve">有国家覆盖差异和发布滞后，只作同口径数量级校验</w:t>
            </w:r>
          </w:p>
        </w:tc>
      </w:tr>
      <w:tr>
        <w:tc>
          <w:tcPr/>
          <w:p>
            <w:pPr>
              <w:pStyle w:val="Compact"/>
              <w:jc w:val="left"/>
            </w:pPr>
            <w:r>
              <w:t xml:space="preserve">OPEC MOMR</w:t>
            </w:r>
          </w:p>
        </w:tc>
        <w:tc>
          <w:tcPr/>
          <w:p>
            <w:pPr>
              <w:pStyle w:val="Compact"/>
              <w:jc w:val="left"/>
            </w:pPr>
            <w:r>
              <w:rPr>
                <w:rFonts w:hint="eastAsia"/>
              </w:rPr>
              <w:t xml:space="preserve">全球供需平衡表、需求增量、非</w:t>
            </w:r>
            <w:r>
              <w:t xml:space="preserve"> DoC </w:t>
            </w:r>
            <w:r>
              <w:rPr>
                <w:rFonts w:hint="eastAsia"/>
              </w:rPr>
              <w:t xml:space="preserve">供给增量、DoC</w:t>
            </w:r>
            <w:r>
              <w:t xml:space="preserve"> </w:t>
            </w:r>
            <w:r>
              <w:rPr>
                <w:rFonts w:hint="eastAsia"/>
              </w:rPr>
              <w:t xml:space="preserve">原油需求差额</w:t>
            </w:r>
          </w:p>
        </w:tc>
        <w:tc>
          <w:tcPr/>
          <w:p>
            <w:pPr>
              <w:pStyle w:val="Compact"/>
              <w:jc w:val="left"/>
            </w:pPr>
            <w:r>
              <w:rPr>
                <w:rFonts w:hint="eastAsia"/>
              </w:rPr>
              <w:t xml:space="preserve">约束中长期油价调节模型中的需求背景、供给恢复和尾部压力</w:t>
            </w:r>
          </w:p>
        </w:tc>
        <w:tc>
          <w:tcPr/>
          <w:p>
            <w:pPr>
              <w:pStyle w:val="Compact"/>
              <w:jc w:val="left"/>
            </w:pPr>
            <w:r>
              <w:rPr>
                <w:rFonts w:hint="eastAsia"/>
              </w:rPr>
              <w:t xml:space="preserve">正常基线预测，不替代霍尔木兹封锁冲击参数</w:t>
            </w:r>
          </w:p>
        </w:tc>
      </w:tr>
      <w:tr>
        <w:tc>
          <w:tcPr/>
          <w:p>
            <w:pPr>
              <w:pStyle w:val="Compact"/>
              <w:jc w:val="left"/>
            </w:pPr>
            <w:r>
              <w:t xml:space="preserve">Caldara-Iacoviello GPR</w:t>
            </w:r>
          </w:p>
        </w:tc>
        <w:tc>
          <w:tcPr/>
          <w:p>
            <w:pPr>
              <w:pStyle w:val="Compact"/>
              <w:jc w:val="left"/>
            </w:pPr>
            <w:r>
              <w:rPr>
                <w:rFonts w:hint="eastAsia"/>
              </w:rPr>
              <w:t xml:space="preserve">月度地缘政治风险指数</w:t>
            </w:r>
          </w:p>
        </w:tc>
        <w:tc>
          <w:tcPr/>
          <w:p>
            <w:pPr>
              <w:pStyle w:val="Compact"/>
              <w:jc w:val="left"/>
            </w:pPr>
            <w:r>
              <w:rPr>
                <w:rFonts w:hint="eastAsia"/>
              </w:rPr>
              <w:t xml:space="preserve">外部校验地缘风险溢价，并进行滞后相关检验</w:t>
            </w:r>
          </w:p>
        </w:tc>
        <w:tc>
          <w:tcPr/>
          <w:p>
            <w:pPr>
              <w:pStyle w:val="Compact"/>
              <w:jc w:val="left"/>
            </w:pPr>
            <w:r>
              <w:rPr>
                <w:rFonts w:hint="eastAsia"/>
              </w:rPr>
              <w:t xml:space="preserve">指数由新闻构造，避免同月解释同月价格；不作为短期同步拟合输入</w:t>
            </w:r>
          </w:p>
        </w:tc>
      </w:tr>
      <w:tr>
        <w:tc>
          <w:tcPr/>
          <w:p>
            <w:pPr>
              <w:pStyle w:val="Compact"/>
              <w:jc w:val="left"/>
            </w:pPr>
            <w:r>
              <w:t xml:space="preserve">FRED/Cboe OVX</w:t>
            </w:r>
          </w:p>
        </w:tc>
        <w:tc>
          <w:tcPr/>
          <w:p>
            <w:pPr>
              <w:pStyle w:val="Compact"/>
              <w:jc w:val="left"/>
            </w:pPr>
            <w:r>
              <w:rPr>
                <w:rFonts w:hint="eastAsia"/>
              </w:rPr>
              <w:t xml:space="preserve">原油</w:t>
            </w:r>
            <w:r>
              <w:t xml:space="preserve"> ETF </w:t>
            </w:r>
            <w:r>
              <w:rPr>
                <w:rFonts w:hint="eastAsia"/>
              </w:rPr>
              <w:t xml:space="preserve">隐含波动率</w:t>
            </w:r>
          </w:p>
        </w:tc>
        <w:tc>
          <w:tcPr/>
          <w:p>
            <w:pPr>
              <w:pStyle w:val="Compact"/>
              <w:jc w:val="left"/>
            </w:pPr>
            <w:r>
              <w:rPr>
                <w:rFonts w:hint="eastAsia"/>
              </w:rPr>
              <w:t xml:space="preserve">约束长期状态转移压力、不确定性强度和尾部风险</w:t>
            </w:r>
          </w:p>
        </w:tc>
        <w:tc>
          <w:tcPr/>
          <w:p>
            <w:pPr>
              <w:pStyle w:val="Compact"/>
              <w:jc w:val="left"/>
            </w:pPr>
            <w:r>
              <w:rPr>
                <w:rFonts w:hint="eastAsia"/>
              </w:rPr>
              <w:t xml:space="preserve">反映期权市场波动预期，不直接预测日度价格方向</w:t>
            </w:r>
          </w:p>
        </w:tc>
      </w:tr>
      <w:tr>
        <w:tc>
          <w:tcPr/>
          <w:p>
            <w:pPr>
              <w:pStyle w:val="Compact"/>
              <w:jc w:val="left"/>
            </w:pPr>
            <w:r>
              <w:t xml:space="preserve">ICE / EIA </w:t>
            </w:r>
            <w:r>
              <w:rPr>
                <w:rFonts w:hint="eastAsia"/>
              </w:rPr>
              <w:t xml:space="preserve">报道</w:t>
            </w:r>
          </w:p>
        </w:tc>
        <w:tc>
          <w:tcPr/>
          <w:p>
            <w:pPr>
              <w:pStyle w:val="Compact"/>
              <w:jc w:val="left"/>
            </w:pPr>
            <w:r>
              <w:t xml:space="preserve">Brent </w:t>
            </w:r>
            <w:r>
              <w:rPr>
                <w:rFonts w:hint="eastAsia"/>
              </w:rPr>
              <w:t xml:space="preserve">多期限官方结算价候选来源、现货-近月期货价差公开证据</w:t>
            </w:r>
          </w:p>
        </w:tc>
        <w:tc>
          <w:tcPr/>
          <w:p>
            <w:pPr>
              <w:pStyle w:val="Compact"/>
              <w:jc w:val="left"/>
            </w:pPr>
            <w:r>
              <w:rPr>
                <w:rFonts w:hint="eastAsia"/>
              </w:rPr>
              <w:t xml:space="preserve">候选期限结构变量，用于未来约束近端短缺和库存压力</w:t>
            </w:r>
          </w:p>
        </w:tc>
        <w:tc>
          <w:tcPr/>
          <w:p>
            <w:pPr>
              <w:pStyle w:val="Compact"/>
              <w:jc w:val="left"/>
            </w:pPr>
            <w:r>
              <w:rPr>
                <w:rFonts w:hint="eastAsia"/>
              </w:rPr>
              <w:t xml:space="preserve">当前未获得完整可复现多期限曲线，暂不写入数值模型；后续只采用</w:t>
            </w:r>
            <w:r>
              <w:t xml:space="preserve"> ICE </w:t>
            </w:r>
            <w:r>
              <w:rPr>
                <w:rFonts w:hint="eastAsia"/>
              </w:rPr>
              <w:t xml:space="preserve">官方多期限结算价口径</w:t>
            </w:r>
          </w:p>
        </w:tc>
      </w:tr>
    </w:tbl>
    <w:bookmarkEnd w:id="18"/>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为增强中长期油价调节模型的外部约束，本文进一步补充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原油库存、美国商业原油库存和美国原油产量。由于</w:t>
      </w:r>
      <w:r>
        <w:t xml:space="preserve"> EIA </w:t>
      </w:r>
      <w:r>
        <w:rPr>
          <w:rFonts w:hint="eastAsia"/>
        </w:rPr>
        <w:t xml:space="preserve">数据为美国口径，本文只将其用于校验</w:t>
      </w:r>
      <w:r>
        <w:t xml:space="preserve"> </w:t>
      </w:r>
      <w:r>
        <w:rPr>
          <w:rFonts w:hint="eastAsia"/>
        </w:rPr>
        <w:t xml:space="preserve">SPR、商业库存和非海湾供给恢复的数量级。</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数据由国际能源论坛协调，汇集多国官方上报的月度石油数据。本文抽取一次石油和二次石油中的产量、库存、进出口、油品需求与炼厂产出，并采用</w:t>
      </w:r>
      <w:r>
        <w:t xml:space="preserve"> 2026 </w:t>
      </w:r>
      <w:r>
        <w:rPr>
          <w:rFonts w:hint="eastAsia"/>
        </w:rPr>
        <w:t xml:space="preserve">年</w:t>
      </w:r>
      <w:r>
        <w:t xml:space="preserve"> 2 </w:t>
      </w:r>
      <w:r>
        <w:rPr>
          <w:rFonts w:hint="eastAsia"/>
        </w:rPr>
        <w:t xml:space="preserve">月已上报国家/地区作为同口径样本。由于</w:t>
      </w:r>
      <w:r>
        <w:t xml:space="preserve"> JODI </w:t>
      </w:r>
      <w:r>
        <w:rPr>
          <w:rFonts w:hint="eastAsia"/>
        </w:rPr>
        <w:t xml:space="preserve">存在国家覆盖差异和发布滞后，本文将其表述为</w:t>
      </w:r>
      <w:r>
        <w:rPr>
          <w:rFonts w:hint="eastAsia"/>
        </w:rPr>
        <w:t xml:space="preserve">“多国上报口径”</w:t>
      </w:r>
      <w:r>
        <w:rPr>
          <w:rFonts w:hint="eastAsia"/>
        </w:rPr>
        <w:t xml:space="preserve">，用于中长期参数方向和数量级校验。</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数据对中长期油价调节模型提供了三点约束：非海湾供给恢复和需求调整是多国系统的缓慢响应；库存缓冲应同时区分原油库存和成品油库存；2026</w:t>
      </w:r>
      <w:r>
        <w:t xml:space="preserve"> </w:t>
      </w:r>
      <w:r>
        <w:rPr>
          <w:rFonts w:hint="eastAsia"/>
        </w:rPr>
        <w:t xml:space="preserve">年</w:t>
      </w:r>
      <w:r>
        <w:t xml:space="preserve"> 2 </w:t>
      </w:r>
      <w:r>
        <w:rPr>
          <w:rFonts w:hint="eastAsia"/>
        </w:rPr>
        <w:t xml:space="preserve">月可得数据处于冲突发生前，更适合作为中长期外推的先验约束。</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表给出的是全球正常情景下的年度和季度供需基线，适合约束中长期油价调节模型中的需求背景、非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下半年需求差额更高，中长期油价调节模型需保留季节性压力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原油需求差额更高。因此，中长期油价调节模型中的价格回落应解释为政策缓冲、供给恢复、需求弹性和风险溢价衰减共同作用后的条件路径，而非全球需求自然塌陷。</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BodyText"/>
      </w:pPr>
      <w:r>
        <w:rPr>
          <w:rFonts w:hint="eastAsia"/>
          <w:b/>
          <w:bCs/>
        </w:rPr>
        <w:t xml:space="preserve">结论</w:t>
      </w:r>
      <w:r>
        <w:rPr>
          <w:rFonts w:hint="eastAsia"/>
        </w:rPr>
        <w:t xml:space="preserve">数据使用遵循</w:t>
      </w:r>
      <w:r>
        <w:rPr>
          <w:rFonts w:hint="eastAsia"/>
        </w:rPr>
        <w:t xml:space="preserve">“附件真实价格为主、外部数据服务长期约束与风险校验”</w:t>
      </w:r>
      <w:r>
        <w:rPr>
          <w:rFonts w:hint="eastAsia"/>
        </w:rPr>
        <w:t xml:space="preserve">的原则。EIA、JODI、OPEC</w:t>
      </w:r>
      <w:r>
        <w:t xml:space="preserve"> </w:t>
      </w:r>
      <w:r>
        <w:rPr>
          <w:rFonts w:hint="eastAsia"/>
        </w:rPr>
        <w:t xml:space="preserve">约束供需和库存数量级，GPR</w:t>
      </w:r>
      <w:r>
        <w:t xml:space="preserve"> </w:t>
      </w:r>
      <w:r>
        <w:rPr>
          <w:rFonts w:hint="eastAsia"/>
        </w:rPr>
        <w:t xml:space="preserve">校验地缘风险环境，OVX</w:t>
      </w:r>
      <w:r>
        <w:t xml:space="preserve"> </w:t>
      </w:r>
      <w:r>
        <w:rPr>
          <w:rFonts w:hint="eastAsia"/>
        </w:rPr>
        <w:t xml:space="preserve">约束市场隐含波动率。</w:t>
      </w:r>
    </w:p>
    <w:p>
      <w:pPr>
        <w:pStyle w:val="CaptionedFigure"/>
      </w:pPr>
      <w:r>
        <w:drawing>
          <wp:inline>
            <wp:extent cx="4907280" cy="2453640"/>
            <wp:effectExtent b="0" l="0" r="0" t="0"/>
            <wp:docPr descr="" title="" id="20" name="Picture"/>
            <a:graphic>
              <a:graphicData uri="http://schemas.openxmlformats.org/drawingml/2006/picture">
                <pic:pic>
                  <pic:nvPicPr>
                    <pic:cNvPr descr="布伦特原油长期价格走势.png" id="21" name="Picture"/>
                    <pic:cNvPicPr>
                      <a:picLocks noChangeArrowheads="1" noChangeAspect="1"/>
                    </pic:cNvPicPr>
                  </pic:nvPicPr>
                  <pic:blipFill>
                    <a:blip r:embed="rId19"/>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23" name="Picture"/>
            <a:graphic>
              <a:graphicData uri="http://schemas.openxmlformats.org/drawingml/2006/picture">
                <pic:pic>
                  <pic:nvPicPr>
                    <pic:cNvPr descr="冲突窗口价格走势.png" id="24" name="Picture"/>
                    <pic:cNvPicPr>
                      <a:picLocks noChangeArrowheads="1" noChangeAspect="1"/>
                    </pic:cNvPicPr>
                  </pic:nvPicPr>
                  <pic:blipFill>
                    <a:blip r:embed="rId22"/>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5"/>
    <w:bookmarkStart w:id="29"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7" name="Picture"/>
            <a:graphic>
              <a:graphicData uri="http://schemas.openxmlformats.org/drawingml/2006/picture">
                <pic:pic>
                  <pic:nvPicPr>
                    <pic:cNvPr descr="布伦特收益率与波动率.png" id="28" name="Picture"/>
                    <pic:cNvPicPr>
                      <a:picLocks noChangeArrowheads="1" noChangeAspect="1"/>
                    </pic:cNvPicPr>
                  </pic:nvPicPr>
                  <pic:blipFill>
                    <a:blip r:embed="rId26"/>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w:t>
      </w:r>
    </w:p>
    <w:bookmarkEnd w:id="29"/>
    <w:bookmarkEnd w:id="30"/>
    <w:bookmarkStart w:id="34" w:name="模型假设与符号说明"/>
    <w:p>
      <w:pPr>
        <w:pStyle w:val="Heading1"/>
      </w:pPr>
      <w:r>
        <w:rPr>
          <w:rFonts w:hint="eastAsia"/>
        </w:rPr>
        <w:t xml:space="preserve">模型假设与符号说明</w:t>
      </w:r>
    </w:p>
    <w:bookmarkStart w:id="31"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rPr>
          <w:rFonts w:hint="eastAsia"/>
        </w:rPr>
        <w:t xml:space="preserve">中长期油价调节模型的</w:t>
      </w:r>
      <w:r>
        <w:t xml:space="preserve"> 60–180 </w:t>
      </w:r>
      <w:r>
        <w:rPr>
          <w:rFonts w:hint="eastAsia"/>
        </w:rPr>
        <w:t xml:space="preserve">天预测为条件情景外推，不代表真实未来观测，也不编造任何未来真实价格。</w:t>
      </w:r>
    </w:p>
    <w:bookmarkEnd w:id="31"/>
    <w:bookmarkStart w:id="32"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η</m:t>
                  </m:r>
                </m:e>
                <m:sub>
                  <m:r>
                    <m:t>t</m:t>
                  </m:r>
                </m:sub>
              </m:sSub>
            </m:oMath>
          </w:p>
        </w:tc>
        <w:tc>
          <w:tcPr/>
          <w:p>
            <w:pPr>
              <w:pStyle w:val="Compact"/>
              <w:jc w:val="left"/>
            </w:pPr>
            <w:r>
              <w:rPr>
                <w:rFonts w:hint="eastAsia"/>
              </w:rPr>
              <w:t xml:space="preserve">SPR、库存和绕道对总短缺压力的缓冲覆盖率</w:t>
            </w:r>
          </w:p>
        </w:tc>
        <w:tc>
          <w:tcPr/>
          <w:p>
            <w:pPr>
              <w:pStyle w:val="Compact"/>
              <w:jc w:val="left"/>
            </w:pPr>
            <w:r>
              <w:rPr>
                <w:rFonts w:hint="eastAsia"/>
              </w:rPr>
              <w:t xml:space="preserve">无量纲</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2"/>
    <w:bookmarkStart w:id="33"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中长期情景参数只用于</w:t>
      </w:r>
      <w:r>
        <w:t xml:space="preserve"> 60–180 </w:t>
      </w:r>
      <w:r>
        <w:rPr>
          <w:rFonts w:hint="eastAsia"/>
        </w:rPr>
        <w:t xml:space="preserve">天条件外推，不参与短期窗口的误差拟合；中长期机制强度参数则必须显式命名，并进入敏感性分析。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中长期情景参数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中长期外推中的若干机制系数也需要单独说明。例如冲击不确定性占比、制度风险占比、过剩供给回归强度和封锁风险衰减速度并非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中长期判断主要来自机制组合，而不是某一个隐藏常数。</w:t>
      </w:r>
    </w:p>
    <w:bookmarkEnd w:id="33"/>
    <w:bookmarkEnd w:id="34"/>
    <w:bookmarkStart w:id="40" w:name="传统供需基准模型"/>
    <w:p>
      <w:pPr>
        <w:pStyle w:val="Heading1"/>
      </w:pPr>
      <w:r>
        <w:rPr>
          <w:rFonts w:hint="eastAsia"/>
        </w:rPr>
        <w:t xml:space="preserve">传统供需基准模型</w:t>
      </w:r>
    </w:p>
    <w:bookmarkStart w:id="35"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标定斜率。由点弹性定义</w:t>
      </w:r>
    </w:p>
    <w:p>
      <w:pPr>
        <w:pStyle w:val="BodyText"/>
      </w:pPr>
      <m:oMathPara>
        <m:oMathParaPr>
          <m:jc m:val="center"/>
        </m:oMathParaPr>
        <m:oMath>
          <m:r>
            <m:t>ε</m:t>
          </m:r>
          <m:r>
            <m:rPr>
              <m:sty m:val="p"/>
            </m:rPr>
            <m:t>=</m:t>
          </m:r>
          <m:f>
            <m:fPr>
              <m:type m:val="bar"/>
            </m:fPr>
            <m:num>
              <m:r>
                <m:rPr>
                  <m:sty m:val="p"/>
                </m:rPr>
                <m:t>d</m:t>
              </m:r>
              <m:r>
                <m:t>Q</m:t>
              </m:r>
            </m:num>
            <m:den>
              <m:r>
                <m:rPr>
                  <m:sty m:val="p"/>
                </m:rPr>
                <m:t>d</m:t>
              </m:r>
              <m:r>
                <m:t>P</m:t>
              </m:r>
            </m:den>
          </m:f>
          <m:f>
            <m:fPr>
              <m:type m:val="bar"/>
            </m:fPr>
            <m:num>
              <m:sSub>
                <m:e>
                  <m:r>
                    <m:t>P</m:t>
                  </m:r>
                </m:e>
                <m:sub>
                  <m:r>
                    <m:t>0</m:t>
                  </m:r>
                </m:sub>
              </m:sSub>
            </m:num>
            <m:den>
              <m:sSub>
                <m:e>
                  <m:r>
                    <m:t>D</m:t>
                  </m:r>
                </m:e>
                <m:sub>
                  <m:r>
                    <m:t>0</m:t>
                  </m:r>
                </m:sub>
              </m:sSub>
            </m:den>
          </m:f>
          <m:r>
            <m:rPr>
              <m:sty m:val="p"/>
            </m:rPr>
            <m:t>=</m:t>
          </m:r>
          <m:r>
            <m:rPr>
              <m:sty m:val="p"/>
            </m:rPr>
            <m:t>−</m:t>
          </m:r>
          <m:f>
            <m:fPr>
              <m:type m:val="bar"/>
            </m:fPr>
            <m:num>
              <m:r>
                <m:t>1</m:t>
              </m:r>
            </m:num>
            <m:den>
              <m:r>
                <m:t>b</m:t>
              </m:r>
            </m:den>
          </m:f>
          <m:f>
            <m:fPr>
              <m:type m:val="bar"/>
            </m:fPr>
            <m:num>
              <m:sSub>
                <m:e>
                  <m:r>
                    <m:t>P</m:t>
                  </m:r>
                </m:e>
                <m:sub>
                  <m:r>
                    <m:t>0</m:t>
                  </m:r>
                </m:sub>
              </m:sSub>
            </m:num>
            <m:den>
              <m:sSub>
                <m:e>
                  <m:r>
                    <m:t>D</m:t>
                  </m:r>
                </m:e>
                <m:sub>
                  <m:r>
                    <m:t>0</m:t>
                  </m:r>
                </m:sub>
              </m:sSub>
            </m:den>
          </m:f>
          <m:r>
            <m:rPr>
              <m:sty m:val="p"/>
            </m:rPr>
            <m:t>,</m:t>
          </m:r>
        </m:oMath>
      </m:oMathPara>
    </w:p>
    <w:p>
      <w:pPr>
        <w:pStyle w:val="FirstParagraph"/>
      </w:pPr>
      <w:r>
        <w:rPr>
          <w:rFonts w:hint="eastAsia"/>
        </w:rPr>
        <w:t xml:space="preserve">可得</w:t>
      </w:r>
      <w:r>
        <w:t xml:space="preserve"> </w:t>
      </w:r>
      <m:oMath>
        <m:r>
          <m:t>b</m:t>
        </m:r>
        <m:r>
          <m:rPr>
            <m:sty m:val="p"/>
          </m:rPr>
          <m:t>=</m:t>
        </m:r>
        <m:sSub>
          <m:e>
            <m:r>
              <m:t>P</m:t>
            </m:r>
          </m:e>
          <m:sub>
            <m:r>
              <m:t>0</m:t>
            </m:r>
          </m:sub>
        </m:sSub>
        <m:r>
          <m:rPr>
            <m:sty m:val="p"/>
          </m:rPr>
          <m:t>/</m:t>
        </m:r>
        <m:r>
          <m:rPr>
            <m:sty m:val="p"/>
          </m:rPr>
          <m:t>(</m:t>
        </m:r>
        <m:r>
          <m:rPr>
            <m:sty m:val="p"/>
          </m:rPr>
          <m:t>|</m:t>
        </m:r>
        <m:r>
          <m:t>ε</m:t>
        </m:r>
        <m:r>
          <m:rPr>
            <m:sty m:val="p"/>
          </m:rPr>
          <m:t>|</m:t>
        </m:r>
        <m:sSub>
          <m:e>
            <m:r>
              <m:t>D</m:t>
            </m:r>
          </m:e>
          <m:sub>
            <m:r>
              <m:t>0</m:t>
            </m:r>
          </m:sub>
        </m:sSub>
        <m:r>
          <m:rPr>
            <m:sty m:val="p"/>
          </m:rPr>
          <m:t>)</m:t>
        </m:r>
      </m:oMath>
      <w:r>
        <w:rPr>
          <w:rFonts w:hint="eastAsia"/>
        </w:rPr>
        <w:t xml:space="preserve">。当供应中断量为</w:t>
      </w:r>
      <w:r>
        <w:t xml:space="preserve"> </w:t>
      </w:r>
      <m:oMath>
        <m:r>
          <m:t>I</m:t>
        </m:r>
      </m:oMath>
      <w:r>
        <w:t xml:space="preserve"> </w:t>
      </w:r>
      <w:r>
        <w:rPr>
          <w:rFonts w:hint="eastAsia"/>
        </w:rPr>
        <w:t xml:space="preserve">时，静态均衡消费量由</w:t>
      </w:r>
      <w:r>
        <w:t xml:space="preserve"> </w:t>
      </w:r>
      <m:oMath>
        <m:sSub>
          <m:e>
            <m:r>
              <m:t>D</m:t>
            </m:r>
          </m:e>
          <m:sub>
            <m:r>
              <m:t>0</m:t>
            </m:r>
          </m:sub>
        </m:sSub>
      </m:oMath>
      <w:r>
        <w:t xml:space="preserve"> </w:t>
      </w:r>
      <w:r>
        <w:rPr>
          <w:rFonts w:hint="eastAsia"/>
        </w:rPr>
        <w:t xml:space="preserve">下降至</w:t>
      </w:r>
      <w:r>
        <w:t xml:space="preserve"> </w:t>
      </w:r>
      <m:oMath>
        <m:sSub>
          <m:e>
            <m:r>
              <m:t>D</m:t>
            </m:r>
          </m:e>
          <m:sub>
            <m:r>
              <m:t>0</m:t>
            </m:r>
          </m:sub>
        </m:sSub>
        <m:r>
          <m:rPr>
            <m:sty m:val="p"/>
          </m:rPr>
          <m:t>−</m:t>
        </m:r>
        <m:r>
          <m:t>I</m:t>
        </m:r>
      </m:oMath>
      <w:r>
        <w:rPr>
          <w:rFonts w:hint="eastAsia"/>
        </w:rPr>
        <w:t xml:space="preserve">，线性反需求给出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r>
            <m:rPr>
              <m:sty m:val="p"/>
            </m:rPr>
            <m:t>=</m:t>
          </m:r>
          <m:r>
            <m:t>b</m:t>
          </m:r>
          <m:r>
            <m:t>I</m:t>
          </m:r>
          <m:r>
            <m:rPr>
              <m:sty m:val="p"/>
            </m:rPr>
            <m:t>=</m:t>
          </m:r>
          <m:sSub>
            <m:e>
              <m:r>
                <m:t>P</m:t>
              </m:r>
            </m:e>
            <m:sub>
              <m:r>
                <m:t>0</m:t>
              </m:r>
            </m:sub>
          </m:sSub>
          <m:f>
            <m:fPr>
              <m:type m:val="bar"/>
            </m:fPr>
            <m:num>
              <m:r>
                <m:t>I</m:t>
              </m:r>
              <m:r>
                <m:rPr>
                  <m:sty m:val="p"/>
                </m:rPr>
                <m:t>/</m:t>
              </m:r>
              <m:sSub>
                <m:e>
                  <m:r>
                    <m:t>D</m:t>
                  </m:r>
                </m:e>
                <m:sub>
                  <m:r>
                    <m:t>0</m:t>
                  </m:r>
                </m:sub>
              </m:sSub>
            </m:num>
            <m:den>
              <m:r>
                <m:rPr>
                  <m:sty m:val="p"/>
                </m:rPr>
                <m:t>|</m:t>
              </m:r>
              <m:r>
                <m:t>ε</m:t>
              </m:r>
              <m:r>
                <m:rPr>
                  <m:sty m:val="p"/>
                </m:rPr>
                <m:t>|</m:t>
              </m:r>
            </m:den>
          </m:f>
          <m:r>
            <m:rPr>
              <m:sty m:val="p"/>
            </m:rPr>
            <m:t>.</m:t>
          </m:r>
        </m:oMath>
      </m:oMathPara>
    </w:p>
    <w:p>
      <w:pPr>
        <w:pStyle w:val="FirstParagraph"/>
      </w:pPr>
      <w:r>
        <w:rPr>
          <w:rFonts w:hint="eastAsia"/>
        </w:rPr>
        <w:t xml:space="preserve">因此，线性需求反事实价格为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5"/>
    <w:bookmarkStart w:id="39"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7" name="Picture"/>
            <a:graphic>
              <a:graphicData uri="http://schemas.openxmlformats.org/drawingml/2006/picture">
                <pic:pic>
                  <pic:nvPicPr>
                    <pic:cNvPr descr="传统供需基准与真实价格对比.png" id="38" name="Picture"/>
                    <pic:cNvPicPr>
                      <a:picLocks noChangeArrowheads="1" noChangeAspect="1"/>
                    </pic:cNvPicPr>
                  </pic:nvPicPr>
                  <pic:blipFill>
                    <a:blip r:embed="rId36"/>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短期冲击模型正是在这一边界上引入动态缓冲与价格形成机制。</w:t>
      </w:r>
    </w:p>
    <w:bookmarkEnd w:id="39"/>
    <w:bookmarkEnd w:id="40"/>
    <w:bookmarkStart w:id="44" w:name="短期冲击模型060-天"/>
    <w:p>
      <w:pPr>
        <w:pStyle w:val="Heading1"/>
      </w:pPr>
      <w:r>
        <w:rPr>
          <w:rFonts w:hint="eastAsia"/>
        </w:rPr>
        <w:t xml:space="preserve">短期冲击模型（0–60</w:t>
      </w:r>
      <w:r>
        <w:t xml:space="preserve"> </w:t>
      </w:r>
      <w:r>
        <w:rPr>
          <w:rFonts w:hint="eastAsia"/>
        </w:rPr>
        <w:t xml:space="preserve">天）</w:t>
      </w:r>
    </w:p>
    <w:p>
      <w:pPr>
        <w:pStyle w:val="FirstParagraph"/>
      </w:pPr>
      <w:r>
        <w:rPr>
          <w:rFonts w:hint="eastAsia"/>
        </w:rPr>
        <w:t xml:space="preserve">短期冲击模型对应赛题任务</w:t>
      </w:r>
      <w:r>
        <w:t xml:space="preserve"> </w:t>
      </w:r>
      <w:r>
        <w:rPr>
          <w:rFonts w:hint="eastAsia"/>
        </w:rPr>
        <w:t xml:space="preserve">1。模型以赛题给定的供应中断、SPR、商业库存、绕道运输和恐慌情绪为基础，并纳入能够通过消融实验和敏感性分析检验的价格形成因素。其目标是在附件冲突窗口内解释</w:t>
      </w:r>
      <w:r>
        <w:t xml:space="preserve"> 0–60 </w:t>
      </w:r>
      <w:r>
        <w:rPr>
          <w:rFonts w:hint="eastAsia"/>
        </w:rPr>
        <w:t xml:space="preserve">天真实价格路径，并为后续中长期油价调节模型提供统一机制基础。</w:t>
      </w:r>
    </w:p>
    <w:tbl>
      <w:tblPr>
        <w:tblStyle w:val="FigureTable"/>
        <w:tblW w:type="auto" w:w="0"/>
        <w:jc w:val="center"/>
        <w:tblLook w:firstRow="0" w:lastRow="0" w:firstColumn="0" w:lastColumn="0"/>
      </w:tblPr>
      <w:tblGrid/>
    </w:tbl>
    <w:p>
      <w:pPr>
        <w:pStyle w:val="ImageCaption"/>
      </w:pPr>
      <w:r>
        <w:rPr>
          <w:rFonts w:hint="eastAsia"/>
        </w:rPr>
        <w:t xml:space="preserve">短期冲击模型结构</w:t>
      </w:r>
    </w:p>
    <w:p>
      <w:pPr>
        <w:pStyle w:val="BodyText"/>
      </w:pPr>
      <w:r>
        <w:rPr>
          <w:rFonts w:hint="eastAsia"/>
          <w:b/>
          <w:bCs/>
        </w:rPr>
        <w:t xml:space="preserve">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41"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w:t>
      </w:r>
    </w:p>
    <w:bookmarkEnd w:id="41"/>
    <w:bookmarkStart w:id="42"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p>
      <w:pPr>
        <w:pStyle w:val="FirstParagraph"/>
      </w:pPr>
      <w:r>
        <w:rPr>
          <w:rFonts w:hint="eastAsia"/>
        </w:rPr>
        <w:t xml:space="preserve">为避免将政策与物流缓冲写成纯时间函数，本文进一步定义缓冲覆盖率</w:t>
      </w:r>
    </w:p>
    <w:p>
      <w:pPr>
        <w:pStyle w:val="BodyText"/>
      </w:pPr>
      <m:oMathPara>
        <m:oMathParaPr>
          <m:jc m:val="center"/>
        </m:oMathParaPr>
        <m:oMath>
          <m:sSub>
            <m:e>
              <m:r>
                <m:t>η</m:t>
              </m:r>
            </m:e>
            <m:sub>
              <m:r>
                <m:t>t</m:t>
              </m:r>
            </m:sub>
          </m:sSub>
          <m:r>
            <m:rPr>
              <m:sty m:val="p"/>
            </m:rPr>
            <m:t>=</m:t>
          </m:r>
          <m:f>
            <m:fPr>
              <m:type m:val="bar"/>
            </m:fPr>
            <m:num>
              <m:sSub>
                <m:e>
                  <m:r>
                    <m:t>R</m:t>
                  </m:r>
                </m:e>
                <m:sub>
                  <m:r>
                    <m:t>t</m:t>
                  </m:r>
                </m:sub>
              </m:sSub>
              <m:r>
                <m:rPr>
                  <m:sty m:val="p"/>
                </m:rPr>
                <m:t>+</m:t>
              </m:r>
              <m:sSub>
                <m:e>
                  <m:r>
                    <m:t>Q</m:t>
                  </m:r>
                </m:e>
                <m:sub>
                  <m:r>
                    <m:t>t</m:t>
                  </m:r>
                </m:sub>
              </m:sSub>
              <m:r>
                <m:rPr>
                  <m:sty m:val="p"/>
                </m:rPr>
                <m:t>+</m:t>
              </m:r>
              <m:sSub>
                <m:e>
                  <m:r>
                    <m:t>B</m:t>
                  </m:r>
                </m:e>
                <m:sub>
                  <m:r>
                    <m:t>t</m:t>
                  </m:r>
                </m:sub>
              </m:sSub>
            </m:num>
            <m:den>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 </m:t>
              </m:r>
              <m:r>
                <m:t>1</m:t>
              </m:r>
              <m:r>
                <m:rPr>
                  <m:sty m:val="p"/>
                </m:rPr>
                <m:t>}</m:t>
              </m:r>
            </m:den>
          </m:f>
          <m:r>
            <m:rPr>
              <m:sty m:val="p"/>
            </m:rPr>
            <m:t>,</m:t>
          </m:r>
        </m:oMath>
      </m:oMathPara>
    </w:p>
    <w:p>
      <w:pPr>
        <w:pStyle w:val="FirstParagraph"/>
      </w:pPr>
      <w:r>
        <w:rPr>
          <w:rFonts w:hint="eastAsia"/>
        </w:rPr>
        <w:t xml:space="preserve">其中分子表示</w:t>
      </w:r>
      <w:r>
        <w:t xml:space="preserve"> </w:t>
      </w:r>
      <w:r>
        <w:rPr>
          <w:rFonts w:hint="eastAsia"/>
        </w:rPr>
        <w:t xml:space="preserve">SPR、绕道运输和商业库存共同形成的当日缓冲供给，分母表示不考虑缓冲时的总短缺压力。</w:t>
      </w:r>
      <m:oMath>
        <m:sSub>
          <m:e>
            <m:r>
              <m:t>η</m:t>
            </m:r>
          </m:e>
          <m:sub>
            <m:r>
              <m:t>t</m:t>
            </m:r>
          </m:sub>
        </m:sSub>
      </m:oMath>
      <w:r>
        <w:t xml:space="preserve"> </w:t>
      </w:r>
      <w:r>
        <w:rPr>
          <w:rFonts w:hint="eastAsia"/>
        </w:rPr>
        <w:t xml:space="preserve">越高，说明市场越容易观察到缺口被覆盖，缓冲确认和预期修复越容易形成。实际计算中将</w:t>
      </w:r>
      <w:r>
        <w:t xml:space="preserve"> </w:t>
      </w:r>
      <m:oMath>
        <m:sSub>
          <m:e>
            <m:r>
              <m:t>η</m:t>
            </m:r>
          </m:e>
          <m:sub>
            <m:r>
              <m:t>t</m:t>
            </m:r>
          </m:sub>
        </m:sSub>
      </m:oMath>
      <w:r>
        <w:t xml:space="preserve"> </w:t>
      </w:r>
      <w:r>
        <w:rPr>
          <w:rFonts w:hint="eastAsia"/>
        </w:rPr>
        <w:t xml:space="preserve">限制在合理区间内，避免极小分母造成异常放大。</w:t>
      </w:r>
    </w:p>
    <w:bookmarkEnd w:id="42"/>
    <w:bookmarkStart w:id="43"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新版短期冲击模型不再让两类折价只由日历时间决定，而是令其受到缓冲覆盖率</w:t>
      </w:r>
      <w:r>
        <w:t xml:space="preserve"> </w:t>
      </w:r>
      <m:oMath>
        <m:sSub>
          <m:e>
            <m:r>
              <m:t>η</m:t>
            </m:r>
          </m:e>
          <m:sub>
            <m:r>
              <m:t>t</m:t>
            </m:r>
          </m:sub>
        </m:sSub>
      </m:oMath>
      <w:r>
        <w:t xml:space="preserve"> </w:t>
      </w:r>
      <w:r>
        <w:rPr>
          <w:rFonts w:hint="eastAsia"/>
        </w:rPr>
        <w:t xml:space="preserve">的平滑激活：当</w:t>
      </w:r>
      <w:r>
        <w:t xml:space="preserve"> </w:t>
      </w:r>
      <w:r>
        <w:rPr>
          <w:rFonts w:hint="eastAsia"/>
        </w:rPr>
        <w:t xml:space="preserve">SPR、库存和绕道对总短缺的覆盖率提高时，折价项才逐步生效。由此得到的指数项对应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r>
          <m:rPr>
            <m:sty m:val="p"/>
          </m:rPr>
          <m:t>=</m:t>
        </m:r>
        <m:r>
          <m:t>H</m:t>
        </m:r>
        <m:r>
          <m:rPr>
            <m:sty m:val="p"/>
          </m:rPr>
          <m:t>(</m:t>
        </m:r>
        <m:sSub>
          <m:e>
            <m:r>
              <m:t>η</m:t>
            </m:r>
          </m:e>
          <m:sub>
            <m:r>
              <m:t>t</m:t>
            </m:r>
          </m:sub>
        </m:sSub>
        <m:r>
          <m:rPr>
            <m:sty m:val="p"/>
          </m:rPr>
          <m:t>)</m:t>
        </m:r>
      </m:oMath>
      <w:r>
        <w:t xml:space="preserve"> </w:t>
      </w:r>
      <w:r>
        <w:rPr>
          <w:rFonts w:hint="eastAsia"/>
        </w:rPr>
        <w:t xml:space="preserve">为缓冲确认折价，</w:t>
      </w:r>
      <m:oMath>
        <m:sSub>
          <m:e>
            <m:r>
              <m:t>L</m:t>
            </m:r>
          </m:e>
          <m:sub>
            <m:r>
              <m:t>t</m:t>
            </m:r>
          </m:sub>
        </m:sSub>
        <m:r>
          <m:rPr>
            <m:sty m:val="p"/>
          </m:rPr>
          <m:t>=</m:t>
        </m:r>
        <m:r>
          <m:t>L</m:t>
        </m:r>
        <m:r>
          <m:rPr>
            <m:sty m:val="p"/>
          </m:rPr>
          <m:t>(</m:t>
        </m:r>
        <m:sSub>
          <m:e>
            <m:r>
              <m:t>η</m:t>
            </m:r>
          </m:e>
          <m:sub>
            <m:r>
              <m:t>t</m:t>
            </m:r>
          </m:sub>
        </m:sSub>
        <m:r>
          <m:rPr>
            <m:sty m:val="p"/>
          </m:rPr>
          <m:t>,</m:t>
        </m:r>
        <m:r>
          <m:rPr>
            <m:sty m:val="p"/>
          </m:rPr>
          <m:t>Δ</m:t>
        </m:r>
        <m:sSub>
          <m:e>
            <m:r>
              <m:t>η</m:t>
            </m:r>
          </m:e>
          <m:sub>
            <m:r>
              <m:t>t</m:t>
            </m:r>
          </m:sub>
        </m:sSub>
        <m:r>
          <m:rPr>
            <m:sty m:val="p"/>
          </m:rPr>
          <m:t>)</m:t>
        </m:r>
      </m:oMath>
      <w:r>
        <w:t xml:space="preserve"> </w:t>
      </w:r>
      <w:r>
        <w:rPr>
          <w:rFonts w:hint="eastAsia"/>
        </w:rPr>
        <w:t xml:space="preserve">为预期修复折价。也就是说，折价项不再是外生削减价格的自由项，而是由可观测的</w:t>
      </w:r>
      <w:r>
        <w:t xml:space="preserve"> </w:t>
      </w:r>
      <w:r>
        <w:rPr>
          <w:rFonts w:hint="eastAsia"/>
        </w:rPr>
        <w:t xml:space="preserve">SPR、库存和绕道覆盖率驱动。这里的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1短期冲击模型的日度更新流程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计算缓冲覆盖率</w:t>
      </w:r>
      <w:r>
        <w:t xml:space="preserve"> </w:t>
      </w:r>
      <m:oMath>
        <m:sSub>
          <m:e>
            <m:r>
              <m:t>η</m:t>
            </m:r>
          </m:e>
          <m:sub>
            <m:r>
              <m:t>t</m:t>
            </m:r>
          </m:sub>
        </m:sSub>
        <m:r>
          <m:rPr>
            <m:sty m:val="p"/>
          </m:rPr>
          <m:t>=</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r>
          <m:rPr>
            <m:sty m:val="p"/>
          </m:rPr>
          <m:t>/</m:t>
        </m:r>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1</m:t>
        </m:r>
        <m:r>
          <m:rPr>
            <m:sty m:val="p"/>
          </m:rPr>
          <m:t>}</m:t>
        </m:r>
      </m:oMath>
      <w:r>
        <w:rPr>
          <w:rFonts w:hint="eastAsia"/>
        </w:rPr>
        <w:t xml:space="preserve">，并由</w:t>
      </w:r>
      <w:r>
        <w:t xml:space="preserve"> </w:t>
      </w:r>
      <m:oMath>
        <m:sSub>
          <m:e>
            <m:r>
              <m:t>η</m:t>
            </m:r>
          </m:e>
          <m:sub>
            <m:r>
              <m:t>t</m:t>
            </m:r>
          </m:sub>
        </m:sSub>
      </m:oMath>
      <w:r>
        <w:t xml:space="preserve"> </w:t>
      </w:r>
      <w:r>
        <w:rPr>
          <w:rFonts w:hint="eastAsia"/>
        </w:rPr>
        <w:t xml:space="preserve">激活缓冲确认和预期修复折价。</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、风险溢价、制度不确定性、恐慌强度、覆盖率驱动的缓冲确认和预期修复计算目标价格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43"/>
    <w:bookmarkEnd w:id="44"/>
    <w:bookmarkStart w:id="114" w:name="参数校准与模型检验"/>
    <w:p>
      <w:pPr>
        <w:pStyle w:val="Heading1"/>
      </w:pPr>
      <w:r>
        <w:rPr>
          <w:rFonts w:hint="eastAsia"/>
        </w:rPr>
        <w:t xml:space="preserve">参数校准与模型检验</w:t>
      </w:r>
    </w:p>
    <w:bookmarkStart w:id="54" w:name="模型校准与拟合表现"/>
    <w:p>
      <w:pPr>
        <w:pStyle w:val="Heading2"/>
      </w:pPr>
      <w:r>
        <w:rPr>
          <w:rFonts w:hint="eastAsia"/>
        </w:rPr>
        <w:t xml:space="preserve">模型校准与拟合表现</w:t>
      </w:r>
    </w:p>
    <w:bookmarkStart w:id="45" w:name="多目标校准"/>
    <w:p>
      <w:pPr>
        <w:pStyle w:val="Heading3"/>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RMSE、峰值、末日价格和局部阶段解释能力。设</w:t>
      </w:r>
      <w:r>
        <w:t xml:space="preserve"> </w:t>
      </w:r>
      <m:oMath>
        <m:r>
          <m:t>θ</m:t>
        </m:r>
      </m:oMath>
      <w:r>
        <w:t xml:space="preserve"> </w:t>
      </w:r>
      <w:r>
        <w:rPr>
          <w:rFonts w:hint="eastAsia"/>
        </w:rPr>
        <w:t xml:space="preserve">表示需要校准的参数向量，</w:t>
      </w:r>
      <m:oMath>
        <m:r>
          <m:rPr>
            <m:sty m:val="p"/>
          </m:rPr>
          <m:t>Θ</m:t>
        </m:r>
      </m:oMath>
      <w:r>
        <w:t xml:space="preserve"> </w:t>
      </w:r>
      <w:r>
        <w:rPr>
          <w:rFonts w:hint="eastAsia"/>
        </w:rPr>
        <w:t xml:space="preserve">为由赛题范围、物理上限和行为参数边界共同构成的可行域，则参数估计写为</w:t>
      </w:r>
    </w:p>
    <w:p>
      <w:pPr>
        <w:pStyle w:val="BodyText"/>
      </w:pPr>
      <m:oMathPara>
        <m:oMathParaPr>
          <m:jc m:val="center"/>
        </m:oMathParaPr>
        <m:oMath>
          <m:acc>
            <m:accPr>
              <m:chr m:val="̂"/>
            </m:accPr>
            <m:e>
              <m:r>
                <m:t>θ</m:t>
              </m:r>
            </m:e>
          </m:acc>
          <m:r>
            <m:rPr>
              <m:sty m:val="p"/>
            </m:rPr>
            <m:t>=</m:t>
          </m:r>
          <m:r>
            <m:rPr>
              <m:sty m:val="p"/>
            </m:rPr>
            <m:t>arg</m:t>
          </m:r>
          <m:limLow>
            <m:e>
              <m:r>
                <m:rPr>
                  <m:sty m:val="p"/>
                </m:rPr>
                <m:t>min</m:t>
              </m:r>
            </m:e>
            <m:lim>
              <m:r>
                <m:t>θ</m:t>
              </m:r>
              <m:r>
                <m:rPr>
                  <m:sty m:val="p"/>
                </m:rPr>
                <m:t>∈</m:t>
              </m:r>
              <m:r>
                <m:rPr>
                  <m:sty m:val="p"/>
                </m:rPr>
                <m:t>Θ</m:t>
              </m:r>
            </m:lim>
          </m:limLow>
          <m:r>
            <m:rPr>
              <m:scr m:val="script"/>
              <m:sty m:val="p"/>
            </m:rPr>
            <m:t>L</m:t>
          </m:r>
          <m:r>
            <m:rPr>
              <m:sty m:val="p"/>
            </m:rPr>
            <m:t>(</m:t>
          </m:r>
          <m:r>
            <m:t>θ</m:t>
          </m:r>
          <m:r>
            <m:rPr>
              <m:sty m:val="p"/>
            </m:rPr>
            <m:t>)</m:t>
          </m:r>
          <m:r>
            <m:rPr>
              <m:sty m:val="p"/>
            </m:rPr>
            <m:t>.</m:t>
          </m:r>
        </m:oMath>
      </m:oMathPara>
    </w:p>
    <w:p>
      <w:pPr>
        <w:pStyle w:val="FirstParagraph"/>
      </w:pPr>
      <w:r>
        <w:rPr>
          <w:rFonts w:hint="eastAsia"/>
        </w:rPr>
        <w:t xml:space="preserve">其中</w:t>
      </w:r>
      <w:r>
        <w:t xml:space="preserve"> </w:t>
      </w:r>
      <m:oMath>
        <m:r>
          <m:rPr>
            <m:sty m:val="p"/>
          </m:rPr>
          <m:t>Θ</m:t>
        </m:r>
      </m:oMath>
      <w:r>
        <w:t xml:space="preserve"> </w:t>
      </w:r>
      <w:r>
        <w:rPr>
          <w:rFonts w:hint="eastAsia"/>
        </w:rPr>
        <w:t xml:space="preserve">对</w:t>
      </w:r>
      <w:r>
        <w:t xml:space="preserve"> SPR </w:t>
      </w:r>
      <w:r>
        <w:rPr>
          <w:rFonts w:hint="eastAsia"/>
        </w:rPr>
        <w:t xml:space="preserve">上限、绕道能力、库存日释放、供应中断范围和弹性区间施加硬约束；行为参数只允许在经济含义一致的范围内搜索。目标函数为</w:t>
      </w:r>
    </w:p>
    <w:p>
      <w:pPr>
        <w:pStyle w:val="BodyText"/>
      </w:pPr>
      <m:oMathPara>
        <m:oMathParaPr>
          <m:jc m:val="center"/>
        </m:oMathParaPr>
        <m:oMath>
          <m:eqArr>
            <m:e>
              <m:r>
                <m:rPr>
                  <m:scr m:val="script"/>
                  <m:sty m:val="p"/>
                </m:rPr>
                <m:t>L</m:t>
              </m:r>
              <m:r>
                <m:rPr>
                  <m:sty m:val="p"/>
                </m:rPr>
                <m:t>(</m:t>
              </m:r>
              <m:r>
                <m:t>θ</m:t>
              </m:r>
              <m:r>
                <m:rPr>
                  <m:sty m:val="p"/>
                </m:rPr>
                <m:t>)</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这里</w:t>
      </w:r>
      <w:r>
        <w:t xml:space="preserve"> </w:t>
      </w:r>
      <m:oMath>
        <m:r>
          <m:rPr>
            <m:sty m:val="p"/>
          </m:rPr>
          <m:t>Δ</m:t>
        </m:r>
        <m:sSub>
          <m:e>
            <m:r>
              <m:t>P</m:t>
            </m:r>
          </m:e>
          <m:sub>
            <m:r>
              <m:rPr>
                <m:sty m:val="p"/>
              </m:rPr>
              <m:t>p</m:t>
            </m:r>
            <m:r>
              <m:rPr>
                <m:sty m:val="p"/>
              </m:rPr>
              <m:t>e</m:t>
            </m:r>
            <m:r>
              <m:rPr>
                <m:sty m:val="p"/>
              </m:rPr>
              <m:t>a</m:t>
            </m:r>
            <m:r>
              <m:rPr>
                <m:sty m:val="p"/>
              </m:rPr>
              <m:t>k</m:t>
            </m:r>
          </m:sub>
        </m:sSub>
      </m:oMath>
      <w:r>
        <w:t xml:space="preserve"> </w:t>
      </w:r>
      <w:r>
        <w:rPr>
          <w:rFonts w:hint="eastAsia"/>
        </w:rPr>
        <w:t xml:space="preserve">与</w:t>
      </w:r>
      <w:r>
        <w:t xml:space="preserve"> </w:t>
      </w:r>
      <m:oMath>
        <m:r>
          <m:rPr>
            <m:sty m:val="p"/>
          </m:rPr>
          <m:t>Δ</m:t>
        </m:r>
        <m:sSub>
          <m:e>
            <m:r>
              <m:t>P</m:t>
            </m:r>
          </m:e>
          <m:sub>
            <m:r>
              <m:rPr>
                <m:sty m:val="p"/>
              </m:rPr>
              <m:t>f</m:t>
            </m:r>
            <m:r>
              <m:rPr>
                <m:sty m:val="p"/>
              </m:rPr>
              <m:t>i</m:t>
            </m:r>
            <m:r>
              <m:rPr>
                <m:sty m:val="p"/>
              </m:rPr>
              <m:t>n</m:t>
            </m:r>
            <m:r>
              <m:rPr>
                <m:sty m:val="p"/>
              </m:rPr>
              <m:t>a</m:t>
            </m:r>
            <m:r>
              <m:rPr>
                <m:sty m:val="p"/>
              </m:rPr>
              <m:t>l</m:t>
            </m:r>
          </m:sub>
        </m:sSub>
      </m:oMath>
      <w:r>
        <w:t xml:space="preserve"> </w:t>
      </w:r>
      <w:r>
        <w:rPr>
          <w:rFonts w:hint="eastAsia"/>
        </w:rPr>
        <w:t xml:space="preserve">分别表示模拟峰值和期末价格相对附件真实价格的偏差；分段</w:t>
      </w:r>
      <w:r>
        <w:t xml:space="preserve"> RMSE </w:t>
      </w:r>
      <w:r>
        <w:rPr>
          <w:rFonts w:hint="eastAsia"/>
        </w:rPr>
        <w:t xml:space="preserve">用于避免仅降低全窗口误差而牺牲前期冲击、高位平台或后期再定价解释能力。</w:t>
      </w:r>
    </w:p>
    <w:p>
      <w:pPr>
        <w:pStyle w:val="BodyText"/>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组拟合质量精修。所有精修均在既有模型结构内完成，不新增额外机制项。多组候选参数仅用于筛选稳定解，正文不展开逐一比较。</w:t>
      </w:r>
    </w:p>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45"/>
    <w:bookmarkStart w:id="53" w:name="拟合结果"/>
    <w:p>
      <w:pPr>
        <w:pStyle w:val="Heading3"/>
      </w:pPr>
      <w:r>
        <w:rPr>
          <w:rFonts w:hint="eastAsia"/>
        </w:rPr>
        <w:t xml:space="preserve">拟合结果</w:t>
      </w:r>
    </w:p>
    <w:p>
      <w:pPr>
        <w:pStyle w:val="FirstParagraph"/>
      </w:pPr>
      <w:r>
        <w:rPr>
          <w:rFonts w:hint="eastAsia"/>
        </w:rPr>
        <w:t xml:space="preserve">短期冲击模型在冲突窗口内取得</w:t>
      </w:r>
      <w:r>
        <w:t xml:space="preserve"> RMSE </w:t>
      </w:r>
      <w:r>
        <w:rPr>
          <w:rFonts w:hint="eastAsia"/>
        </w:rPr>
        <w:t xml:space="preserve">为</w:t>
      </w:r>
      <w:r>
        <w:t xml:space="preserve"> 3.38 </w:t>
      </w:r>
      <w:r>
        <w:rPr>
          <w:rFonts w:hint="eastAsia"/>
        </w:rPr>
        <w:t xml:space="preserve">美元/桶、MAE</w:t>
      </w:r>
      <w:r>
        <w:t xml:space="preserve"> </w:t>
      </w:r>
      <w:r>
        <w:rPr>
          <w:rFonts w:hint="eastAsia"/>
        </w:rPr>
        <w:t xml:space="preserve">为</w:t>
      </w:r>
      <w:r>
        <w:t xml:space="preserve"> 2.76 </w:t>
      </w:r>
      <w:r>
        <w:rPr>
          <w:rFonts w:hint="eastAsia"/>
        </w:rPr>
        <w:t xml:space="preserve">美元/桶。模拟峰值为</w:t>
      </w:r>
      <w:r>
        <w:t xml:space="preserve"> 110.32 </w:t>
      </w:r>
      <w:r>
        <w:rPr>
          <w:rFonts w:hint="eastAsia"/>
        </w:rPr>
        <w:t xml:space="preserve">美元/桶，实际最高收盘价为</w:t>
      </w:r>
      <w:r>
        <w:t xml:space="preserve"> 114.06 </w:t>
      </w:r>
      <w:r>
        <w:rPr>
          <w:rFonts w:hint="eastAsia"/>
        </w:rPr>
        <w:t xml:space="preserve">美元/桶，峰值低估</w:t>
      </w:r>
      <w:r>
        <w:t xml:space="preserve"> 3.74 </w:t>
      </w:r>
      <w:r>
        <w:rPr>
          <w:rFonts w:hint="eastAsia"/>
        </w:rPr>
        <w:t xml:space="preserve">美元/桶；末日模拟价格为</w:t>
      </w:r>
      <w:r>
        <w:t xml:space="preserve"> 110.32 </w:t>
      </w:r>
      <w:r>
        <w:rPr>
          <w:rFonts w:hint="eastAsia"/>
        </w:rPr>
        <w:t xml:space="preserve">美元/桶，实际末日价格为</w:t>
      </w:r>
      <w:r>
        <w:t xml:space="preserve"> 110.31 </w:t>
      </w:r>
      <w:r>
        <w:rPr>
          <w:rFonts w:hint="eastAsia"/>
        </w:rPr>
        <w:t xml:space="preserve">美元/桶，末日误差仅为</w:t>
      </w:r>
      <w:r>
        <w:t xml:space="preserve"> 0.01 </w:t>
      </w:r>
      <w:r>
        <w:rPr>
          <w:rFonts w:hint="eastAsia"/>
        </w:rPr>
        <w:t xml:space="preserve">美元/桶。在此基础上，本文只在高位平台形成和中期再定价回落两个薄弱窗口启用低自由度</w:t>
      </w:r>
      <w:r>
        <w:t xml:space="preserve"> Ridge </w:t>
      </w:r>
      <w:r>
        <w:rPr>
          <w:rFonts w:hint="eastAsia"/>
        </w:rPr>
        <w:t xml:space="preserve">收益率修正，得到短期冲击模型增强路径，RMSE</w:t>
      </w:r>
      <w:r>
        <w:t xml:space="preserve"> </w:t>
      </w:r>
      <w:r>
        <w:rPr>
          <w:rFonts w:hint="eastAsia"/>
        </w:rPr>
        <w:t xml:space="preserve">降至</w:t>
      </w:r>
      <w:r>
        <w:t xml:space="preserve"> 3.18 </w:t>
      </w:r>
      <w:r>
        <w:rPr>
          <w:rFonts w:hint="eastAsia"/>
        </w:rPr>
        <w:t xml:space="preserve">美元/桶、MAE</w:t>
      </w:r>
      <w:r>
        <w:t xml:space="preserve"> </w:t>
      </w:r>
      <w:r>
        <w:rPr>
          <w:rFonts w:hint="eastAsia"/>
        </w:rPr>
        <w:t xml:space="preserve">降至</w:t>
      </w:r>
      <w:r>
        <w:t xml:space="preserve"> 2.69 </w:t>
      </w:r>
      <w:r>
        <w:rPr>
          <w:rFonts w:hint="eastAsia"/>
        </w:rPr>
        <w:t xml:space="preserve">美元/桶、MAPE</w:t>
      </w:r>
      <w:r>
        <w:t xml:space="preserve"> </w:t>
      </w:r>
      <w:r>
        <w:rPr>
          <w:rFonts w:hint="eastAsia"/>
        </w:rPr>
        <w:t xml:space="preserve">为</w:t>
      </w:r>
      <w:r>
        <w:t xml:space="preserve"> </w:t>
      </w:r>
      <w:r>
        <w:rPr>
          <w:rFonts w:hint="eastAsia"/>
        </w:rPr>
        <w:t xml:space="preserve">2.69%，方向命中率为</w:t>
      </w:r>
      <w:r>
        <w:t xml:space="preserve"> 68.9%。</w:t>
      </w:r>
    </w:p>
    <w:p>
      <w:pPr>
        <w:pStyle w:val="BodyText"/>
      </w:pPr>
      <w:r>
        <w:rPr>
          <w:rFonts w:hint="eastAsia"/>
          <w:b/>
          <w:bCs/>
        </w:rPr>
        <w:t xml:space="preserve">结论</w:t>
      </w:r>
      <w:r>
        <w:rPr>
          <w:rFonts w:hint="eastAsia"/>
        </w:rPr>
        <w:t xml:space="preserve">短期模型的核心价值在于解释极端冲突窗口中的前期冲击、中期平台和后期再定价；最终采用的阶段</w:t>
      </w:r>
      <w:r>
        <w:t xml:space="preserve"> Ridge </w:t>
      </w:r>
      <w:r>
        <w:rPr>
          <w:rFonts w:hint="eastAsia"/>
        </w:rPr>
        <w:t xml:space="preserve">增强路径进一步修正平台期日度震荡。</w:t>
      </w:r>
    </w:p>
    <w:bookmarkStart w:id="49" w:name="fig:short-term-fit"/>
    <w:p>
      <w:pPr>
        <w:pStyle w:val="CaptionedFigure"/>
      </w:pPr>
      <w:r>
        <w:drawing>
          <wp:inline>
            <wp:extent cx="4907280" cy="2587474"/>
            <wp:effectExtent b="0" l="0" r="0" t="0"/>
            <wp:docPr descr="" title="" id="47" name="Picture"/>
            <a:graphic>
              <a:graphicData uri="http://schemas.openxmlformats.org/drawingml/2006/picture">
                <pic:pic>
                  <pic:nvPicPr>
                    <pic:cNvPr descr="短期模型拟合效果.png" id="48" name="Picture"/>
                    <pic:cNvPicPr>
                      <a:picLocks noChangeArrowheads="1" noChangeAspect="1"/>
                    </pic:cNvPicPr>
                  </pic:nvPicPr>
                  <pic:blipFill>
                    <a:blip r:embed="rId46"/>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短期冲击模型拟合效果</w:t>
      </w:r>
    </w:p>
    <w:bookmarkEnd w:id="49"/>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3.38 &amp; 2.76 &amp; 7.24</w:t>
      </w:r>
      <w:r>
        <w:br/>
      </w:r>
      <w:r>
        <w:rPr>
          <w:rFonts w:hint="eastAsia"/>
        </w:rPr>
        <w:t xml:space="preserve">前期冲击</w:t>
      </w:r>
      <w:r>
        <w:t xml:space="preserve"> &amp; 11 &amp; 3.17 &amp; 2.73 &amp; 5.79</w:t>
      </w:r>
      <w:r>
        <w:br/>
      </w:r>
      <w:r>
        <w:rPr>
          <w:rFonts w:hint="eastAsia"/>
        </w:rPr>
        <w:t xml:space="preserve">中期平台</w:t>
      </w:r>
      <w:r>
        <w:t xml:space="preserve"> &amp; 14 &amp; 4.21 &amp; 3.52 &amp; 7.24</w:t>
      </w:r>
      <w:r>
        <w:br/>
      </w:r>
      <w:r>
        <w:rPr>
          <w:rFonts w:hint="eastAsia"/>
        </w:rPr>
        <w:t xml:space="preserve">后期再定价</w:t>
      </w:r>
      <w:r>
        <w:t xml:space="preserve"> &amp; 21 &amp; 2.82 &amp; 2.27 &amp; 5.37</w:t>
      </w:r>
      <w:r>
        <w:br/>
      </w:r>
      <w:r>
        <w:rPr>
          <w:rFonts w:hint="eastAsia"/>
        </w:rPr>
        <w:t xml:space="preserve">高价平台</w:t>
      </w:r>
      <w:r>
        <w:t xml:space="preserve"> &amp; 4 &amp; 2.70 &amp; 2.19 &amp; 3.93</w:t>
      </w:r>
      <w:r>
        <w:br/>
      </w:r>
      <w:r>
        <w:rPr>
          <w:rFonts w:hint="eastAsia"/>
        </w:rPr>
        <w:t xml:space="preserve">低价回落</w:t>
      </w:r>
      <w:r>
        <w:t xml:space="preserve"> &amp; 21 &amp; 3.20 &amp; 2.76 &amp; 5.79</w:t>
      </w:r>
      <w:r>
        <w:br/>
      </w:r>
    </w:p>
    <w:p>
      <w:pPr>
        <w:pStyle w:val="CaptionedFigure"/>
      </w:pPr>
      <w:r>
        <w:drawing>
          <wp:inline>
            <wp:extent cx="4907280" cy="2765921"/>
            <wp:effectExtent b="0" l="0" r="0" t="0"/>
            <wp:docPr descr="" title="" id="51" name="Picture"/>
            <a:graphic>
              <a:graphicData uri="http://schemas.openxmlformats.org/drawingml/2006/picture">
                <pic:pic>
                  <pic:nvPicPr>
                    <pic:cNvPr descr="短期模型机制贡献.png" id="52" name="Picture"/>
                    <pic:cNvPicPr>
                      <a:picLocks noChangeArrowheads="1" noChangeAspect="1"/>
                    </pic:cNvPicPr>
                  </pic:nvPicPr>
                  <pic:blipFill>
                    <a:blip r:embed="rId50"/>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w:t>
      </w:r>
    </w:p>
    <w:bookmarkEnd w:id="53"/>
    <w:bookmarkEnd w:id="54"/>
    <w:bookmarkStart w:id="62" w:name="基准对比与统计检验"/>
    <w:p>
      <w:pPr>
        <w:pStyle w:val="Heading2"/>
      </w:pPr>
      <w:r>
        <w:rPr>
          <w:rFonts w:hint="eastAsia"/>
        </w:rPr>
        <w:t xml:space="preserve">基准对比与统计检验</w:t>
      </w:r>
    </w:p>
    <w:bookmarkStart w:id="61" w:name="基准对比与滞后检验"/>
    <w:p>
      <w:pPr>
        <w:pStyle w:val="Heading3"/>
      </w:pPr>
      <w:r>
        <w:rPr>
          <w:rFonts w:hint="eastAsia"/>
        </w:rPr>
        <w:t xml:space="preserve">基准对比与滞后检验</w:t>
      </w:r>
    </w:p>
    <w:p>
      <w:pPr>
        <w:pStyle w:val="FirstParagraph"/>
      </w:pPr>
      <w:r>
        <w:rPr>
          <w:rFonts w:hint="eastAsia"/>
        </w:rPr>
        <w:t xml:space="preserve">金融时间序列中，上一日价格朴素基准是最重要参照。本文同时使用滚动</w:t>
      </w:r>
      <w:r>
        <w:t xml:space="preserve"> ARIMA(1,1,0) </w:t>
      </w:r>
      <w:r>
        <w:rPr>
          <w:rFonts w:hint="eastAsia"/>
        </w:rPr>
        <w:t xml:space="preserve">作基础时间序列对照，所有基准在预测第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日及以前信息。三日均值和漂移随机游走也在程序中复核，结论与朴素基准一致，正文不再展开。</w:t>
      </w:r>
    </w:p>
    <w:tbl>
      <w:tblPr>
        <w:tblStyle w:val="FigureTable"/>
        <w:tblW w:type="auto" w:w="0"/>
        <w:jc w:val="center"/>
        <w:tblLook w:firstRow="0" w:lastRow="0" w:firstColumn="0" w:lastColumn="0"/>
      </w:tblPr>
      <w:tblGrid/>
    </w:tbl>
    <w:p>
      <w:pPr>
        <w:pStyle w:val="ImageCaption"/>
      </w:pPr>
      <w:r>
        <w:rPr>
          <w:rFonts w:hint="eastAsia"/>
        </w:rPr>
        <w:t xml:space="preserve">模型鲁棒性检验框架</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短期冲击模型</w:t>
      </w:r>
      <w:r>
        <w:t xml:space="preserve"> &amp; 3.38 &amp; 2.76 &amp; 2.76 &amp; 66.7</w:t>
      </w:r>
      <w:r>
        <w:br/>
      </w:r>
      <w:r>
        <w:rPr>
          <w:rFonts w:hint="eastAsia"/>
          <w:b/>
          <w:bCs/>
        </w:rPr>
        <w:t xml:space="preserve">短期冲击模型增强路径</w:t>
      </w:r>
      <w:r>
        <w:t xml:space="preserve"> </w:t>
      </w:r>
      <w:r>
        <w:t xml:space="preserve">&amp;</w:t>
      </w:r>
      <w:r>
        <w:t xml:space="preserve"> </w:t>
      </w:r>
      <w:r>
        <w:rPr>
          <w:b/>
          <w:bCs/>
        </w:rPr>
        <w:t xml:space="preserve">3.18</w:t>
      </w:r>
      <w:r>
        <w:t xml:space="preserve"> </w:t>
      </w:r>
      <w:r>
        <w:t xml:space="preserve">&amp;</w:t>
      </w:r>
      <w:r>
        <w:t xml:space="preserve"> </w:t>
      </w:r>
      <w:r>
        <w:rPr>
          <w:b/>
          <w:bCs/>
        </w:rPr>
        <w:t xml:space="preserve">2.69</w:t>
      </w:r>
      <w:r>
        <w:t xml:space="preserve"> </w:t>
      </w:r>
      <w:r>
        <w:t xml:space="preserve">&amp;</w:t>
      </w:r>
      <w:r>
        <w:t xml:space="preserve"> </w:t>
      </w:r>
      <w:r>
        <w:rPr>
          <w:b/>
          <w:bCs/>
        </w:rPr>
        <w:t xml:space="preserve">2.69</w:t>
      </w:r>
      <w:r>
        <w:t xml:space="preserve"> </w:t>
      </w:r>
      <w:r>
        <w:t xml:space="preserve">&amp;</w:t>
      </w:r>
      <w:r>
        <w:t xml:space="preserve"> </w:t>
      </w:r>
      <w:r>
        <w:rPr>
          <w:b/>
          <w:bCs/>
        </w:rPr>
        <w:t xml:space="preserve">68.9</w:t>
      </w:r>
      <w:r>
        <w:br/>
      </w:r>
      <w:r>
        <w:rPr>
          <w:rFonts w:hint="eastAsia"/>
        </w:rPr>
        <w:t xml:space="preserve">朴素上一日基准</w:t>
      </w:r>
      <w:r>
        <w:t xml:space="preserve"> &amp; 4.47 &amp; 3.57 &amp; 3.54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与方向命中率以百分比计。短期冲击模型增强路径指</w:t>
      </w:r>
      <w:r>
        <w:rPr>
          <w:rFonts w:hint="eastAsia"/>
        </w:rPr>
        <w:t xml:space="preserve">“短期冲击模型</w:t>
      </w:r>
      <w:r>
        <w:t xml:space="preserve"> + </w:t>
      </w:r>
      <w:r>
        <w:rPr>
          <w:rFonts w:hint="eastAsia"/>
        </w:rPr>
        <w:t xml:space="preserve">阶段</w:t>
      </w:r>
      <w:r>
        <w:t xml:space="preserve"> Ridge </w:t>
      </w:r>
      <w:r>
        <w:rPr>
          <w:rFonts w:hint="eastAsia"/>
        </w:rPr>
        <w:t xml:space="preserve">修正”</w:t>
      </w:r>
      <w:r>
        <w:rPr>
          <w:rFonts w:hint="eastAsia"/>
        </w:rPr>
        <w:t xml:space="preserve">，只在高位平台形成和中期再定价回落两个残差薄弱段启用收益率修正，其他事件段保持机制路径不变。</w:t>
      </w:r>
    </w:p>
    <w:p>
      <w:pPr>
        <w:pStyle w:val="CaptionedFigure"/>
      </w:pPr>
      <w:r>
        <w:drawing>
          <wp:inline>
            <wp:extent cx="4587240" cy="2533904"/>
            <wp:effectExtent b="0" l="0" r="0" t="0"/>
            <wp:docPr descr="" title="" id="56" name="Picture"/>
            <a:graphic>
              <a:graphicData uri="http://schemas.openxmlformats.org/drawingml/2006/picture">
                <pic:pic>
                  <pic:nvPicPr>
                    <pic:cNvPr descr="短期模型基准对比.png" id="57" name="Picture"/>
                    <pic:cNvPicPr>
                      <a:picLocks noChangeArrowheads="1" noChangeAspect="1"/>
                    </pic:cNvPicPr>
                  </pic:nvPicPr>
                  <pic:blipFill>
                    <a:blip r:embed="rId55"/>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短期冲击模型与关键基准</w:t>
      </w:r>
      <w:r>
        <w:t xml:space="preserve"> RMSE </w:t>
      </w:r>
      <w:r>
        <w:rPr>
          <w:rFonts w:hint="eastAsia"/>
        </w:rPr>
        <w:t xml:space="preserve">对比</w:t>
      </w:r>
    </w:p>
    <w:p>
      <w:pPr>
        <w:pStyle w:val="BodyText"/>
      </w:pPr>
      <w:hyperlink w:anchor="fig:short-term-fit">
        <w:r>
          <w:rPr>
            <w:rStyle w:val="Hyperlink"/>
          </w:rPr>
          <w:t xml:space="preserve">3</w:t>
        </w:r>
      </w:hyperlink>
      <w:r>
        <w:t xml:space="preserve"> </w:t>
      </w:r>
      <w:r>
        <w:rPr>
          <w:rFonts w:hint="eastAsia"/>
        </w:rPr>
        <w:t xml:space="preserve">展示了短期主模型的路径拟合结果。本文进一步将模型曲线整体向左、向右平移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3.38；向左平移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3.90，向左平移</w:t>
      </w:r>
      <w:r>
        <w:t xml:space="preserve"> 2 </w:t>
      </w:r>
      <w:r>
        <w:rPr>
          <w:rFonts w:hint="eastAsia"/>
        </w:rPr>
        <w:t xml:space="preserve">天后升至</w:t>
      </w:r>
      <w:r>
        <w:t xml:space="preserve"> </w:t>
      </w:r>
      <w:r>
        <w:rPr>
          <w:rFonts w:hint="eastAsia"/>
        </w:rPr>
        <w:t xml:space="preserve">4.71，说明模型拟合位置与真实冲击窗口基本同步。</w:t>
      </w:r>
    </w:p>
    <w:p>
      <w:pPr>
        <w:pStyle w:val="CaptionedFigure"/>
      </w:pPr>
      <w:r>
        <w:drawing>
          <wp:inline>
            <wp:extent cx="4480560" cy="2594008"/>
            <wp:effectExtent b="0" l="0" r="0" t="0"/>
            <wp:docPr descr="" title="" id="59" name="Picture"/>
            <a:graphic>
              <a:graphicData uri="http://schemas.openxmlformats.org/drawingml/2006/picture">
                <pic:pic>
                  <pic:nvPicPr>
                    <pic:cNvPr descr="短期模型滞后平移检验.png" id="60" name="Picture"/>
                    <pic:cNvPicPr>
                      <a:picLocks noChangeArrowheads="1" noChangeAspect="1"/>
                    </pic:cNvPicPr>
                  </pic:nvPicPr>
                  <pic:blipFill>
                    <a:blip r:embed="rId58"/>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w:t>
      </w:r>
    </w:p>
    <w:bookmarkEnd w:id="61"/>
    <w:bookmarkEnd w:id="62"/>
    <w:bookmarkStart w:id="90" w:name="模型鲁棒性与稳定性评估"/>
    <w:p>
      <w:pPr>
        <w:pStyle w:val="Heading2"/>
      </w:pPr>
      <w:r>
        <w:rPr>
          <w:rFonts w:hint="eastAsia"/>
        </w:rPr>
        <w:t xml:space="preserve">模型鲁棒性与稳定性评估</w:t>
      </w:r>
    </w:p>
    <w:bookmarkStart w:id="66" w:name="结构稳定性检验"/>
    <w:p>
      <w:pPr>
        <w:pStyle w:val="Heading3"/>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个交易日，而校准参数较多，本文进一步进行参数扰动与结构稳定性检验。结果显示，在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美元/桶区间。本文因此将模型定位为</w:t>
      </w:r>
      <w:r>
        <w:rPr>
          <w:rFonts w:hint="eastAsia"/>
        </w:rPr>
        <w:t xml:space="preserve">“事件机制递推模型”</w:t>
      </w:r>
      <w:r>
        <w:rPr>
          <w:rFonts w:hint="eastAsia"/>
        </w:rPr>
        <w:t xml:space="preserve">，重点解释霍尔木兹封锁情境下的条件价格路径。</w:t>
      </w:r>
    </w:p>
    <w:p>
      <w:pPr>
        <w:pStyle w:val="CaptionedFigure"/>
      </w:pPr>
      <w:r>
        <w:drawing>
          <wp:inline>
            <wp:extent cx="4693920" cy="2048256"/>
            <wp:effectExtent b="0" l="0" r="0" t="0"/>
            <wp:docPr descr="" title="" id="64" name="Picture"/>
            <a:graphic>
              <a:graphicData uri="http://schemas.openxmlformats.org/drawingml/2006/picture">
                <pic:pic>
                  <pic:nvPicPr>
                    <pic:cNvPr descr="短期模型过拟合压力测试.png" id="65" name="Picture"/>
                    <pic:cNvPicPr>
                      <a:picLocks noChangeArrowheads="1" noChangeAspect="1"/>
                    </pic:cNvPicPr>
                  </pic:nvPicPr>
                  <pic:blipFill>
                    <a:blip r:embed="rId63"/>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w:t>
      </w:r>
    </w:p>
    <w:bookmarkEnd w:id="66"/>
    <w:bookmarkStart w:id="78" w:name="分段误差与残差诊断"/>
    <w:p>
      <w:pPr>
        <w:pStyle w:val="Heading3"/>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8" name="Picture"/>
            <a:graphic>
              <a:graphicData uri="http://schemas.openxmlformats.org/drawingml/2006/picture">
                <pic:pic>
                  <pic:nvPicPr>
                    <pic:cNvPr descr="短期模型残差诊断增强.png" id="69" name="Picture"/>
                    <pic:cNvPicPr>
                      <a:picLocks noChangeArrowheads="1" noChangeAspect="1"/>
                    </pic:cNvPicPr>
                  </pic:nvPicPr>
                  <pic:blipFill>
                    <a:blip r:embed="rId67"/>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Start w:id="73" w:name="fig:segmented-residual-distribution"/>
    <w:p>
      <w:pPr>
        <w:pStyle w:val="CaptionedFigure"/>
      </w:pPr>
      <w:r>
        <w:drawing>
          <wp:inline>
            <wp:extent cx="4800600" cy="2937084"/>
            <wp:effectExtent b="0" l="0" r="0" t="0"/>
            <wp:docPr descr="" title="" id="71" name="Picture"/>
            <a:graphic>
              <a:graphicData uri="http://schemas.openxmlformats.org/drawingml/2006/picture">
                <pic:pic>
                  <pic:nvPicPr>
                    <pic:cNvPr descr="短期残差分段分布图.png" id="72" name="Picture"/>
                    <pic:cNvPicPr>
                      <a:picLocks noChangeArrowheads="1" noChangeAspect="1"/>
                    </pic:cNvPicPr>
                  </pic:nvPicPr>
                  <pic:blipFill>
                    <a:blip r:embed="rId70"/>
                    <a:stretch>
                      <a:fillRect/>
                    </a:stretch>
                  </pic:blipFill>
                  <pic:spPr bwMode="auto">
                    <a:xfrm>
                      <a:off x="0" y="0"/>
                      <a:ext cx="4800600" cy="2937084"/>
                    </a:xfrm>
                    <a:prstGeom prst="rect">
                      <a:avLst/>
                    </a:prstGeom>
                    <a:noFill/>
                    <a:ln w="9525">
                      <a:noFill/>
                      <a:headEnd/>
                      <a:tailEnd/>
                    </a:ln>
                  </pic:spPr>
                </pic:pic>
              </a:graphicData>
            </a:graphic>
          </wp:inline>
        </w:drawing>
      </w:r>
    </w:p>
    <w:p>
      <w:pPr>
        <w:pStyle w:val="ImageCaption"/>
      </w:pPr>
      <w:r>
        <w:rPr>
          <w:rFonts w:hint="eastAsia"/>
        </w:rPr>
        <w:t xml:space="preserve">短期模型残差的分段分布</w:t>
      </w:r>
    </w:p>
    <w:bookmarkEnd w:id="73"/>
    <w:p>
      <w:pPr>
        <w:pStyle w:val="BodyText"/>
      </w:pPr>
      <w:r>
        <w:rPr>
          <w:rFonts w:hint="eastAsia"/>
        </w:rPr>
        <w:t xml:space="preserve">进一步将逐日误差、事件段误差和机制项放在同一口径下复核，结果见</w:t>
      </w:r>
      <w:hyperlink w:anchor="fig:short-error-attribution">
        <w:r>
          <w:rPr>
            <w:rStyle w:val="Hyperlink"/>
          </w:rPr>
          <w:t xml:space="preserve">5</w:t>
        </w:r>
      </w:hyperlink>
      <w:r>
        <w:rPr>
          <w:rFonts w:hint="eastAsia"/>
        </w:rPr>
        <w:t xml:space="preserve">。最大单日误差出现在</w:t>
      </w:r>
      <w:r>
        <w:t xml:space="preserve"> 2026 </w:t>
      </w:r>
      <w:r>
        <w:rPr>
          <w:rFonts w:hint="eastAsia"/>
        </w:rPr>
        <w:t xml:space="preserve">年</w:t>
      </w:r>
      <w:r>
        <w:t xml:space="preserve"> 4 </w:t>
      </w:r>
      <w:r>
        <w:rPr>
          <w:rFonts w:hint="eastAsia"/>
        </w:rPr>
        <w:t xml:space="preserve">月</w:t>
      </w:r>
      <w:r>
        <w:t xml:space="preserve"> 6 </w:t>
      </w:r>
      <w:r>
        <w:rPr>
          <w:rFonts w:hint="eastAsia"/>
        </w:rPr>
        <w:t xml:space="preserve">日，短期冲击模型低估</w:t>
      </w:r>
      <w:r>
        <w:t xml:space="preserve"> 7.24 </w:t>
      </w:r>
      <w:r>
        <w:rPr>
          <w:rFonts w:hint="eastAsia"/>
        </w:rPr>
        <w:t xml:space="preserve">美元/桶；事件段层面，高位平台形成和中期再定价回落仍是主要难点，RMSE</w:t>
      </w:r>
      <w:r>
        <w:t xml:space="preserve"> </w:t>
      </w:r>
      <w:r>
        <w:rPr>
          <w:rFonts w:hint="eastAsia"/>
        </w:rPr>
        <w:t xml:space="preserve">分别约为</w:t>
      </w:r>
      <w:r>
        <w:t xml:space="preserve"> 3.73 </w:t>
      </w:r>
      <w:r>
        <w:rPr>
          <w:rFonts w:hint="eastAsia"/>
        </w:rPr>
        <w:t xml:space="preserve">和</w:t>
      </w:r>
      <w:r>
        <w:t xml:space="preserve"> 3.78 </w:t>
      </w:r>
      <w:r>
        <w:rPr>
          <w:rFonts w:hint="eastAsia"/>
        </w:rPr>
        <w:t xml:space="preserve">美元/桶。增强路径只针对这两个薄弱窗口加入低自由度</w:t>
      </w:r>
      <w:r>
        <w:t xml:space="preserve"> Ridge </w:t>
      </w:r>
      <w:r>
        <w:rPr>
          <w:rFonts w:hint="eastAsia"/>
        </w:rPr>
        <w:t xml:space="preserve">收益率修正，使全窗口</w:t>
      </w:r>
      <w:r>
        <w:t xml:space="preserve"> RMSE </w:t>
      </w:r>
      <w:r>
        <w:rPr>
          <w:rFonts w:hint="eastAsia"/>
        </w:rPr>
        <w:t xml:space="preserve">从</w:t>
      </w:r>
      <w:r>
        <w:t xml:space="preserve"> 3.38 </w:t>
      </w:r>
      <w:r>
        <w:rPr>
          <w:rFonts w:hint="eastAsia"/>
        </w:rPr>
        <w:t xml:space="preserve">降至</w:t>
      </w:r>
      <w:r>
        <w:t xml:space="preserve"> </w:t>
      </w:r>
      <w:r>
        <w:rPr>
          <w:rFonts w:hint="eastAsia"/>
        </w:rPr>
        <w:t xml:space="preserve">3.18，方向命中率从</w:t>
      </w:r>
      <w:r>
        <w:t xml:space="preserve"> 66.7% </w:t>
      </w:r>
      <w:r>
        <w:rPr>
          <w:rFonts w:hint="eastAsia"/>
        </w:rPr>
        <w:t xml:space="preserve">提高至</w:t>
      </w:r>
      <w:r>
        <w:t xml:space="preserve"> </w:t>
      </w:r>
      <w:r>
        <w:rPr>
          <w:rFonts w:hint="eastAsia"/>
        </w:rPr>
        <w:t xml:space="preserve">68.9%。因此，本文报告的短期最优拟合效果来自</w:t>
      </w:r>
      <w:r>
        <w:rPr>
          <w:rFonts w:hint="eastAsia"/>
        </w:rPr>
        <w:t xml:space="preserve">“机制解释</w:t>
      </w:r>
      <w:r>
        <w:t xml:space="preserve"> + </w:t>
      </w:r>
      <w:r>
        <w:rPr>
          <w:rFonts w:hint="eastAsia"/>
        </w:rPr>
        <w:t xml:space="preserve">局部收益惯性修正”</w:t>
      </w:r>
      <w:r>
        <w:rPr>
          <w:rFonts w:hint="eastAsia"/>
        </w:rPr>
        <w:t xml:space="preserve">，而不是多个候选模型的简单堆叠。</w:t>
      </w:r>
    </w:p>
    <w:bookmarkStart w:id="77" w:name="fig:short-error-attribution"/>
    <w:p>
      <w:pPr>
        <w:pStyle w:val="CaptionedFigure"/>
      </w:pPr>
      <w:r>
        <w:drawing>
          <wp:inline>
            <wp:extent cx="5013960" cy="3068244"/>
            <wp:effectExtent b="0" l="0" r="0" t="0"/>
            <wp:docPr descr="" title="" id="75" name="Picture"/>
            <a:graphic>
              <a:graphicData uri="http://schemas.openxmlformats.org/drawingml/2006/picture">
                <pic:pic>
                  <pic:nvPicPr>
                    <pic:cNvPr descr="短期模型误差归因.png" id="76" name="Picture"/>
                    <pic:cNvPicPr>
                      <a:picLocks noChangeArrowheads="1" noChangeAspect="1"/>
                    </pic:cNvPicPr>
                  </pic:nvPicPr>
                  <pic:blipFill>
                    <a:blip r:embed="rId74"/>
                    <a:stretch>
                      <a:fillRect/>
                    </a:stretch>
                  </pic:blipFill>
                  <pic:spPr bwMode="auto">
                    <a:xfrm>
                      <a:off x="0" y="0"/>
                      <a:ext cx="5013960" cy="3068244"/>
                    </a:xfrm>
                    <a:prstGeom prst="rect">
                      <a:avLst/>
                    </a:prstGeom>
                    <a:noFill/>
                    <a:ln w="9525">
                      <a:noFill/>
                      <a:headEnd/>
                      <a:tailEnd/>
                    </a:ln>
                  </pic:spPr>
                </pic:pic>
              </a:graphicData>
            </a:graphic>
          </wp:inline>
        </w:drawing>
      </w:r>
    </w:p>
    <w:p>
      <w:pPr>
        <w:pStyle w:val="ImageCaption"/>
      </w:pPr>
      <w:r>
        <w:rPr>
          <w:rFonts w:hint="eastAsia"/>
        </w:rPr>
        <w:t xml:space="preserve">短期模型误差归因复核</w:t>
      </w:r>
    </w:p>
    <w:bookmarkEnd w:id="77"/>
    <w:bookmarkEnd w:id="78"/>
    <w:bookmarkStart w:id="82" w:name="时间轴语义与删块稳健性复核"/>
    <w:p>
      <w:pPr>
        <w:pStyle w:val="Heading3"/>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校准损失</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3.380</w:t>
            </w:r>
          </w:p>
        </w:tc>
        <w:tc>
          <w:tcPr/>
          <w:p>
            <w:pPr>
              <w:pStyle w:val="Compact"/>
              <w:jc w:val="right"/>
            </w:pPr>
            <w:r>
              <w:t xml:space="preserve">2.756</w:t>
            </w:r>
          </w:p>
        </w:tc>
        <w:tc>
          <w:tcPr/>
          <w:p>
            <w:pPr>
              <w:pStyle w:val="Compact"/>
              <w:jc w:val="right"/>
            </w:pPr>
            <w:r>
              <w:t xml:space="preserve">6.505</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7.407</w:t>
            </w:r>
          </w:p>
        </w:tc>
        <w:tc>
          <w:tcPr/>
          <w:p>
            <w:pPr>
              <w:pStyle w:val="Compact"/>
              <w:jc w:val="right"/>
            </w:pPr>
            <w:r>
              <w:t xml:space="preserve">5.984</w:t>
            </w:r>
          </w:p>
        </w:tc>
        <w:tc>
          <w:tcPr/>
          <w:p>
            <w:pPr>
              <w:pStyle w:val="Compact"/>
              <w:jc w:val="right"/>
            </w:pPr>
            <w:r>
              <w:t xml:space="preserve">20.178</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0" name="Picture"/>
            <a:graphic>
              <a:graphicData uri="http://schemas.openxmlformats.org/drawingml/2006/picture">
                <pic:pic>
                  <pic:nvPicPr>
                    <pic:cNvPr descr="短期模型时间轴与删块稳健性.png" id="81" name="Picture"/>
                    <pic:cNvPicPr>
                      <a:picLocks noChangeArrowheads="1" noChangeAspect="1"/>
                    </pic:cNvPicPr>
                  </pic:nvPicPr>
                  <pic:blipFill>
                    <a:blip r:embed="rId79"/>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w:t>
      </w:r>
    </w:p>
    <w:bookmarkEnd w:id="82"/>
    <w:bookmarkStart w:id="89" w:name="统计检验与-r-语言辅助定位"/>
    <w:p>
      <w:pPr>
        <w:pStyle w:val="Heading3"/>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本文还在剔除首日后构造可比较样本，将短期冲击模型与朴素上一日基准进行误差和统计比较。剔除首日是因为朴素上一日基准需要上一交易日真实价格作为输入，因此本节统计检验中的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3.42</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24.4%</w:t>
            </w:r>
          </w:p>
        </w:tc>
      </w:tr>
      <w:tr>
        <w:tc>
          <w:tcPr/>
          <w:p>
            <w:pPr>
              <w:pStyle w:val="Compact"/>
              <w:jc w:val="left"/>
            </w:pPr>
            <w:r>
              <w:t xml:space="preserve">MAE</w:t>
            </w:r>
          </w:p>
        </w:tc>
        <w:tc>
          <w:tcPr/>
          <w:p>
            <w:pPr>
              <w:pStyle w:val="Compact"/>
              <w:jc w:val="right"/>
            </w:pPr>
            <w:r>
              <w:t xml:space="preserve">2.80</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2.79%</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-2.12</w:t>
            </w:r>
          </w:p>
        </w:tc>
        <w:tc>
          <w:tcPr/>
          <w:p>
            <w:pPr>
              <w:pStyle w:val="Compact"/>
              <w:jc w:val="right"/>
            </w:pPr>
            <w:r>
              <w:t xml:space="preserve">0.020</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-1.82</w:t>
            </w:r>
          </w:p>
        </w:tc>
        <w:tc>
          <w:tcPr/>
          <w:p>
            <w:pPr>
              <w:pStyle w:val="Compact"/>
              <w:jc w:val="right"/>
            </w:pPr>
            <w:r>
              <w:t xml:space="preserve">0.038</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65.9%</w:t>
            </w:r>
          </w:p>
        </w:tc>
        <w:tc>
          <w:tcPr/>
          <w:p>
            <w:pPr>
              <w:pStyle w:val="Compact"/>
              <w:jc w:val="right"/>
            </w:pPr>
            <w:r>
              <w:t xml:space="preserve">0.024</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1.061</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4" name="Picture"/>
            <a:graphic>
              <a:graphicData uri="http://schemas.openxmlformats.org/drawingml/2006/picture">
                <pic:pic>
                  <pic:nvPicPr>
                    <pic:cNvPr descr="短期模型统计审计.png" id="85" name="Picture"/>
                    <pic:cNvPicPr>
                      <a:picLocks noChangeArrowheads="1" noChangeAspect="1"/>
                    </pic:cNvPicPr>
                  </pic:nvPicPr>
                  <pic:blipFill>
                    <a:blip r:embed="rId83"/>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w:t>
      </w:r>
    </w:p>
    <w:p>
      <w:pPr>
        <w:pStyle w:val="BodyText"/>
      </w:pPr>
      <w:r>
        <w:rPr>
          <w:rFonts w:hint="eastAsia"/>
        </w:rPr>
        <w:t xml:space="preserve">分段统计给出更细的判断：前段冲击吸收和后段预期修复阶段，本文模型相对朴素基准的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3.9%，说明平台震荡期仍是模型的主要难点。总体看，DM</w:t>
      </w:r>
      <w:r>
        <w:t xml:space="preserve"> </w:t>
      </w:r>
      <w:r>
        <w:rPr>
          <w:rFonts w:hint="eastAsia"/>
        </w:rPr>
        <w:t xml:space="preserve">检验和方向命中检验提供了支持性统计证据；样本只有</w:t>
      </w:r>
      <w:r>
        <w:t xml:space="preserve"> 45 </w:t>
      </w:r>
      <w:r>
        <w:rPr>
          <w:rFonts w:hint="eastAsia"/>
        </w:rPr>
        <w:t xml:space="preserve">个可比较交易日，绝对损失</w:t>
      </w:r>
      <w:r>
        <w:t xml:space="preserve"> DM </w:t>
      </w:r>
      <w:r>
        <w:rPr>
          <w:rFonts w:hint="eastAsia"/>
        </w:rPr>
        <w:t xml:space="preserve">检验也接近显著性边界，因此这些统计结果作为基准对比、滞后检验和机制消融之外的补充验证。Newey–West</w:t>
      </w:r>
      <w:r>
        <w:t xml:space="preserve"> </w:t>
      </w:r>
      <w:r>
        <w:rPr>
          <w:rFonts w:hint="eastAsia"/>
        </w:rPr>
        <w:t xml:space="preserve">回归仅用于刻画拟合路径与真实价格的线性一致性。</w:t>
      </w:r>
    </w:p>
    <w:p>
      <w:pPr>
        <w:pStyle w:val="BodyText"/>
      </w:pPr>
      <w:r>
        <w:t xml:space="preserve">R </w:t>
      </w:r>
      <w:r>
        <w:rPr>
          <w:rFonts w:hint="eastAsia"/>
        </w:rPr>
        <w:t xml:space="preserve">语言在本文中承担独立计量复核功能，用于检验</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7" name="Picture"/>
            <a:graphic>
              <a:graphicData uri="http://schemas.openxmlformats.org/drawingml/2006/picture">
                <pic:pic>
                  <pic:nvPicPr>
                    <pic:cNvPr descr="R短期误差学术诊断.png" id="88" name="Picture"/>
                    <pic:cNvPicPr>
                      <a:picLocks noChangeArrowheads="1" noChangeAspect="1"/>
                    </pic:cNvPicPr>
                  </pic:nvPicPr>
                  <pic:blipFill>
                    <a:blip r:embed="rId86"/>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w:t>
      </w:r>
    </w:p>
    <w:bookmarkEnd w:id="89"/>
    <w:bookmarkEnd w:id="90"/>
    <w:bookmarkStart w:id="113" w:name="机制消融事件边界与机器学习辅助"/>
    <w:p>
      <w:pPr>
        <w:pStyle w:val="Heading2"/>
      </w:pPr>
      <w:r>
        <w:rPr>
          <w:rFonts w:hint="eastAsia"/>
        </w:rPr>
        <w:t xml:space="preserve">机制消融、事件边界与机器学习辅助</w:t>
      </w:r>
    </w:p>
    <w:bookmarkStart w:id="91" w:name="机制消融的定量证据"/>
    <w:p>
      <w:pPr>
        <w:pStyle w:val="Heading3"/>
      </w:pPr>
      <w:r>
        <w:rPr>
          <w:rFonts w:hint="eastAsia"/>
        </w:rPr>
        <w:t xml:space="preserve">机制消融的定量证据</w:t>
      </w:r>
    </w:p>
    <w:p>
      <w:pPr>
        <w:pStyle w:val="FirstParagraph"/>
      </w:pPr>
      <w:r>
        <w:rPr>
          <w:rFonts w:hint="eastAsia"/>
        </w:rPr>
        <w:t xml:space="preserve">本文对完整模型进行逐项消融：关闭某一机制时，其他参数保持不变，不重新校准。该设计用于检验单个机制在同一参数体系下的边际贡献，而不是重新给每个缺失机制模型寻找最优参数。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3.38</w:t>
            </w:r>
          </w:p>
        </w:tc>
        <w:tc>
          <w:tcPr/>
          <w:p>
            <w:pPr>
              <w:pStyle w:val="Compact"/>
              <w:jc w:val="right"/>
            </w:pPr>
            <w:r>
              <w:t xml:space="preserve">0.00</w:t>
            </w:r>
          </w:p>
        </w:tc>
        <w:tc>
          <w:tcPr/>
          <w:p>
            <w:pPr>
              <w:pStyle w:val="Compact"/>
              <w:jc w:val="right"/>
            </w:pPr>
            <w:r>
              <w:t xml:space="preserve">2.82</w:t>
            </w:r>
          </w:p>
        </w:tc>
        <w:tc>
          <w:tcPr/>
          <w:p>
            <w:pPr>
              <w:pStyle w:val="Compact"/>
              <w:jc w:val="right"/>
            </w:pPr>
            <w:r>
              <w:t xml:space="preserve">3.20</w:t>
            </w:r>
          </w:p>
        </w:tc>
      </w:tr>
      <w:tr>
        <w:tc>
          <w:tcPr/>
          <w:p>
            <w:pPr>
              <w:pStyle w:val="Compact"/>
              <w:jc w:val="left"/>
            </w:pPr>
            <w:r>
              <w:rPr>
                <w:rFonts w:hint="eastAsia"/>
              </w:rPr>
              <w:t xml:space="preserve">无</w:t>
            </w:r>
            <w:r>
              <w:t xml:space="preserve"> SPR</w:t>
            </w:r>
          </w:p>
        </w:tc>
        <w:tc>
          <w:tcPr/>
          <w:p>
            <w:pPr>
              <w:pStyle w:val="Compact"/>
              <w:jc w:val="right"/>
            </w:pPr>
            <w:r>
              <w:t xml:space="preserve">5.19</w:t>
            </w:r>
          </w:p>
        </w:tc>
        <w:tc>
          <w:tcPr/>
          <w:p>
            <w:pPr>
              <w:pStyle w:val="Compact"/>
              <w:jc w:val="right"/>
            </w:pPr>
            <w:r>
              <w:t xml:space="preserve">+1.81</w:t>
            </w:r>
          </w:p>
        </w:tc>
        <w:tc>
          <w:tcPr/>
          <w:p>
            <w:pPr>
              <w:pStyle w:val="Compact"/>
              <w:jc w:val="right"/>
            </w:pPr>
            <w:r>
              <w:t xml:space="preserve">5.08</w:t>
            </w:r>
          </w:p>
        </w:tc>
        <w:tc>
          <w:tcPr/>
          <w:p>
            <w:pPr>
              <w:pStyle w:val="Compact"/>
              <w:jc w:val="right"/>
            </w:pPr>
            <w:r>
              <w:t xml:space="preserve">5.90</w:t>
            </w:r>
          </w:p>
        </w:tc>
      </w:tr>
      <w:tr>
        <w:tc>
          <w:tcPr/>
          <w:p>
            <w:pPr>
              <w:pStyle w:val="Compact"/>
              <w:jc w:val="left"/>
            </w:pPr>
            <w:r>
              <w:rPr>
                <w:rFonts w:hint="eastAsia"/>
              </w:rPr>
              <w:t xml:space="preserve">无库存</w:t>
            </w:r>
          </w:p>
        </w:tc>
        <w:tc>
          <w:tcPr/>
          <w:p>
            <w:pPr>
              <w:pStyle w:val="Compact"/>
              <w:jc w:val="right"/>
            </w:pPr>
            <w:r>
              <w:t xml:space="preserve">4.08</w:t>
            </w:r>
          </w:p>
        </w:tc>
        <w:tc>
          <w:tcPr/>
          <w:p>
            <w:pPr>
              <w:pStyle w:val="Compact"/>
              <w:jc w:val="right"/>
            </w:pPr>
            <w:r>
              <w:t xml:space="preserve">+0.70</w:t>
            </w:r>
          </w:p>
        </w:tc>
        <w:tc>
          <w:tcPr/>
          <w:p>
            <w:pPr>
              <w:pStyle w:val="Compact"/>
              <w:jc w:val="right"/>
            </w:pPr>
            <w:r>
              <w:t xml:space="preserve">2.63</w:t>
            </w:r>
          </w:p>
        </w:tc>
        <w:tc>
          <w:tcPr/>
          <w:p>
            <w:pPr>
              <w:pStyle w:val="Compact"/>
              <w:jc w:val="right"/>
            </w:pPr>
            <w:r>
              <w:t xml:space="preserve">4.39</w:t>
            </w:r>
          </w:p>
        </w:tc>
      </w:tr>
      <w:tr>
        <w:tc>
          <w:tcPr/>
          <w:p>
            <w:pPr>
              <w:pStyle w:val="Compact"/>
              <w:jc w:val="left"/>
            </w:pPr>
            <w:r>
              <w:rPr>
                <w:rFonts w:hint="eastAsia"/>
              </w:rPr>
              <w:t xml:space="preserve">无绕道</w:t>
            </w:r>
          </w:p>
        </w:tc>
        <w:tc>
          <w:tcPr/>
          <w:p>
            <w:pPr>
              <w:pStyle w:val="Compact"/>
              <w:jc w:val="right"/>
            </w:pPr>
            <w:r>
              <w:t xml:space="preserve">3.38</w:t>
            </w:r>
          </w:p>
        </w:tc>
        <w:tc>
          <w:tcPr/>
          <w:p>
            <w:pPr>
              <w:pStyle w:val="Compact"/>
              <w:jc w:val="right"/>
            </w:pPr>
            <w:r>
              <w:t xml:space="preserve">-0.00</w:t>
            </w:r>
          </w:p>
        </w:tc>
        <w:tc>
          <w:tcPr/>
          <w:p>
            <w:pPr>
              <w:pStyle w:val="Compact"/>
              <w:jc w:val="right"/>
            </w:pPr>
            <w:r>
              <w:t xml:space="preserve">2.83</w:t>
            </w:r>
          </w:p>
        </w:tc>
        <w:tc>
          <w:tcPr/>
          <w:p>
            <w:pPr>
              <w:pStyle w:val="Compact"/>
              <w:jc w:val="right"/>
            </w:pPr>
            <w:r>
              <w:t xml:space="preserve">3.22</w:t>
            </w:r>
          </w:p>
        </w:tc>
      </w:tr>
      <w:tr>
        <w:tc>
          <w:tcPr/>
          <w:p>
            <w:pPr>
              <w:pStyle w:val="Compact"/>
              <w:jc w:val="left"/>
            </w:pPr>
            <w:r>
              <w:rPr>
                <w:rFonts w:hint="eastAsia"/>
              </w:rPr>
              <w:t xml:space="preserve">无需求收缩</w:t>
            </w:r>
          </w:p>
        </w:tc>
        <w:tc>
          <w:tcPr/>
          <w:p>
            <w:pPr>
              <w:pStyle w:val="Compact"/>
              <w:jc w:val="right"/>
            </w:pPr>
            <w:r>
              <w:t xml:space="preserve">4.51</w:t>
            </w:r>
          </w:p>
        </w:tc>
        <w:tc>
          <w:tcPr/>
          <w:p>
            <w:pPr>
              <w:pStyle w:val="Compact"/>
              <w:jc w:val="right"/>
            </w:pPr>
            <w:r>
              <w:t xml:space="preserve">+1.13</w:t>
            </w:r>
          </w:p>
        </w:tc>
        <w:tc>
          <w:tcPr/>
          <w:p>
            <w:pPr>
              <w:pStyle w:val="Compact"/>
              <w:jc w:val="right"/>
            </w:pPr>
            <w:r>
              <w:t xml:space="preserve">3.54</w:t>
            </w:r>
          </w:p>
        </w:tc>
        <w:tc>
          <w:tcPr/>
          <w:p>
            <w:pPr>
              <w:pStyle w:val="Compact"/>
              <w:jc w:val="right"/>
            </w:pPr>
            <w:r>
              <w:t xml:space="preserve">5.17</w:t>
            </w:r>
          </w:p>
        </w:tc>
      </w:tr>
      <w:tr>
        <w:tc>
          <w:tcPr/>
          <w:p>
            <w:pPr>
              <w:pStyle w:val="Compact"/>
              <w:jc w:val="left"/>
            </w:pPr>
            <w:r>
              <w:rPr>
                <w:rFonts w:hint="eastAsia"/>
              </w:rPr>
              <w:t xml:space="preserve">无恐慌溢价</w:t>
            </w:r>
          </w:p>
        </w:tc>
        <w:tc>
          <w:tcPr/>
          <w:p>
            <w:pPr>
              <w:pStyle w:val="Compact"/>
              <w:jc w:val="right"/>
            </w:pPr>
            <w:r>
              <w:t xml:space="preserve">3.67</w:t>
            </w:r>
          </w:p>
        </w:tc>
        <w:tc>
          <w:tcPr/>
          <w:p>
            <w:pPr>
              <w:pStyle w:val="Compact"/>
              <w:jc w:val="right"/>
            </w:pPr>
            <w:r>
              <w:t xml:space="preserve">+0.29</w:t>
            </w:r>
          </w:p>
        </w:tc>
        <w:tc>
          <w:tcPr/>
          <w:p>
            <w:pPr>
              <w:pStyle w:val="Compact"/>
              <w:jc w:val="right"/>
            </w:pPr>
            <w:r>
              <w:t xml:space="preserve">2.80</w:t>
            </w:r>
          </w:p>
        </w:tc>
        <w:tc>
          <w:tcPr/>
          <w:p>
            <w:pPr>
              <w:pStyle w:val="Compact"/>
              <w:jc w:val="right"/>
            </w:pPr>
            <w:r>
              <w:t xml:space="preserve">3.39</w:t>
            </w:r>
          </w:p>
        </w:tc>
      </w:tr>
      <w:tr>
        <w:tc>
          <w:tcPr/>
          <w:p>
            <w:pPr>
              <w:pStyle w:val="Compact"/>
              <w:jc w:val="left"/>
            </w:pPr>
            <w:r>
              <w:rPr>
                <w:rFonts w:hint="eastAsia"/>
              </w:rPr>
              <w:t xml:space="preserve">无风险溢价</w:t>
            </w:r>
          </w:p>
        </w:tc>
        <w:tc>
          <w:tcPr/>
          <w:p>
            <w:pPr>
              <w:pStyle w:val="Compact"/>
              <w:jc w:val="right"/>
            </w:pPr>
            <w:r>
              <w:t xml:space="preserve">30.34</w:t>
            </w:r>
          </w:p>
        </w:tc>
        <w:tc>
          <w:tcPr/>
          <w:p>
            <w:pPr>
              <w:pStyle w:val="Compact"/>
              <w:jc w:val="right"/>
            </w:pPr>
            <w:r>
              <w:t xml:space="preserve">+26.96</w:t>
            </w:r>
          </w:p>
        </w:tc>
        <w:tc>
          <w:tcPr/>
          <w:p>
            <w:pPr>
              <w:pStyle w:val="Compact"/>
              <w:jc w:val="right"/>
            </w:pPr>
            <w:r>
              <w:t xml:space="preserve">35.50</w:t>
            </w:r>
          </w:p>
        </w:tc>
        <w:tc>
          <w:tcPr/>
          <w:p>
            <w:pPr>
              <w:pStyle w:val="Compact"/>
              <w:jc w:val="right"/>
            </w:pPr>
            <w:r>
              <w:t xml:space="preserve">25.57</w:t>
            </w:r>
          </w:p>
        </w:tc>
      </w:tr>
      <w:tr>
        <w:tc>
          <w:tcPr/>
          <w:p>
            <w:pPr>
              <w:pStyle w:val="Compact"/>
              <w:jc w:val="left"/>
            </w:pPr>
            <w:r>
              <w:rPr>
                <w:rFonts w:hint="eastAsia"/>
              </w:rPr>
              <w:t xml:space="preserve">无缓冲折价</w:t>
            </w:r>
          </w:p>
        </w:tc>
        <w:tc>
          <w:tcPr/>
          <w:p>
            <w:pPr>
              <w:pStyle w:val="Compact"/>
              <w:jc w:val="right"/>
            </w:pPr>
            <w:r>
              <w:t xml:space="preserve">4.55</w:t>
            </w:r>
          </w:p>
        </w:tc>
        <w:tc>
          <w:tcPr/>
          <w:p>
            <w:pPr>
              <w:pStyle w:val="Compact"/>
              <w:jc w:val="right"/>
            </w:pPr>
            <w:r>
              <w:t xml:space="preserve">+1.17</w:t>
            </w:r>
          </w:p>
        </w:tc>
        <w:tc>
          <w:tcPr/>
          <w:p>
            <w:pPr>
              <w:pStyle w:val="Compact"/>
              <w:jc w:val="right"/>
            </w:pPr>
            <w:r>
              <w:t xml:space="preserve">3.77</w:t>
            </w:r>
          </w:p>
        </w:tc>
        <w:tc>
          <w:tcPr/>
          <w:p>
            <w:pPr>
              <w:pStyle w:val="Compact"/>
              <w:jc w:val="right"/>
            </w:pPr>
            <w:r>
              <w:t xml:space="preserve">5.38</w:t>
            </w:r>
          </w:p>
        </w:tc>
      </w:tr>
      <w:tr>
        <w:tc>
          <w:tcPr/>
          <w:p>
            <w:pPr>
              <w:pStyle w:val="Compact"/>
              <w:jc w:val="left"/>
            </w:pPr>
            <w:r>
              <w:rPr>
                <w:rFonts w:hint="eastAsia"/>
              </w:rPr>
              <w:t xml:space="preserve">无修复折价</w:t>
            </w:r>
          </w:p>
        </w:tc>
        <w:tc>
          <w:tcPr/>
          <w:p>
            <w:pPr>
              <w:pStyle w:val="Compact"/>
              <w:jc w:val="right"/>
            </w:pPr>
            <w:r>
              <w:t xml:space="preserve">7.13</w:t>
            </w:r>
          </w:p>
        </w:tc>
        <w:tc>
          <w:tcPr/>
          <w:p>
            <w:pPr>
              <w:pStyle w:val="Compact"/>
              <w:jc w:val="right"/>
            </w:pPr>
            <w:r>
              <w:t xml:space="preserve">+3.75</w:t>
            </w:r>
          </w:p>
        </w:tc>
        <w:tc>
          <w:tcPr/>
          <w:p>
            <w:pPr>
              <w:pStyle w:val="Compact"/>
              <w:jc w:val="right"/>
            </w:pPr>
            <w:r>
              <w:t xml:space="preserve">9.83</w:t>
            </w:r>
          </w:p>
        </w:tc>
        <w:tc>
          <w:tcPr/>
          <w:p>
            <w:pPr>
              <w:pStyle w:val="Compact"/>
              <w:jc w:val="right"/>
            </w:pPr>
            <w:r>
              <w:t xml:space="preserve">9.51</w:t>
            </w:r>
          </w:p>
        </w:tc>
      </w:tr>
      <w:tr>
        <w:tc>
          <w:tcPr/>
          <w:p>
            <w:pPr>
              <w:pStyle w:val="Compact"/>
              <w:jc w:val="left"/>
            </w:pPr>
            <w:r>
              <w:rPr>
                <w:rFonts w:hint="eastAsia"/>
              </w:rPr>
              <w:t xml:space="preserve">无市场修正</w:t>
            </w:r>
          </w:p>
        </w:tc>
        <w:tc>
          <w:tcPr/>
          <w:p>
            <w:pPr>
              <w:pStyle w:val="Compact"/>
              <w:jc w:val="right"/>
            </w:pPr>
            <w:r>
              <w:t xml:space="preserve">27.02</w:t>
            </w:r>
          </w:p>
        </w:tc>
        <w:tc>
          <w:tcPr/>
          <w:p>
            <w:pPr>
              <w:pStyle w:val="Compact"/>
              <w:jc w:val="right"/>
            </w:pPr>
            <w:r>
              <w:t xml:space="preserve">+23.64</w:t>
            </w:r>
          </w:p>
        </w:tc>
        <w:tc>
          <w:tcPr/>
          <w:p>
            <w:pPr>
              <w:pStyle w:val="Compact"/>
              <w:jc w:val="right"/>
            </w:pPr>
            <w:r>
              <w:t xml:space="preserve">29.32</w:t>
            </w:r>
          </w:p>
        </w:tc>
        <w:tc>
          <w:tcPr/>
          <w:p>
            <w:pPr>
              <w:pStyle w:val="Compact"/>
              <w:jc w:val="right"/>
            </w:pPr>
            <w:r>
              <w:t xml:space="preserve">18.92</w:t>
            </w:r>
          </w:p>
        </w:tc>
      </w:tr>
    </w:tbl>
    <w:p>
      <w:pPr>
        <w:pStyle w:val="BodyText"/>
      </w:pPr>
      <w:r>
        <w:rPr>
          <w:rFonts w:hint="eastAsia"/>
        </w:rPr>
        <w:t xml:space="preserve">消融结果可以分成两层理解。第一层是题面物理层：SPR</w:t>
      </w:r>
      <w:r>
        <w:t xml:space="preserve"> </w:t>
      </w:r>
      <w:r>
        <w:rPr>
          <w:rFonts w:hint="eastAsia"/>
        </w:rPr>
        <w:t xml:space="preserve">释放、商业库存和需求收缩的影响最清楚，去除</w:t>
      </w:r>
      <w:r>
        <w:t xml:space="preserve"> SPR </w:t>
      </w:r>
      <w:r>
        <w:rPr>
          <w:rFonts w:hint="eastAsia"/>
        </w:rPr>
        <w:t xml:space="preserve">后</w:t>
      </w:r>
      <w:r>
        <w:t xml:space="preserve"> RMSE </w:t>
      </w:r>
      <w:r>
        <w:rPr>
          <w:rFonts w:hint="eastAsia"/>
        </w:rPr>
        <w:t xml:space="preserve">从</w:t>
      </w:r>
      <w:r>
        <w:t xml:space="preserve"> 3.38 </w:t>
      </w:r>
      <w:r>
        <w:rPr>
          <w:rFonts w:hint="eastAsia"/>
        </w:rPr>
        <w:t xml:space="preserve">升至</w:t>
      </w:r>
      <w:r>
        <w:t xml:space="preserve"> </w:t>
      </w:r>
      <w:r>
        <w:rPr>
          <w:rFonts w:hint="eastAsia"/>
        </w:rPr>
        <w:t xml:space="preserve">5.19，去除商业库存后</w:t>
      </w:r>
      <w:r>
        <w:t xml:space="preserve"> RMSE </w:t>
      </w:r>
      <w:r>
        <w:rPr>
          <w:rFonts w:hint="eastAsia"/>
        </w:rPr>
        <w:t xml:space="preserve">升至</w:t>
      </w:r>
      <w:r>
        <w:t xml:space="preserve"> </w:t>
      </w:r>
      <w:r>
        <w:rPr>
          <w:rFonts w:hint="eastAsia"/>
        </w:rPr>
        <w:t xml:space="preserve">4.08，去除需求收缩后低价回落</w:t>
      </w:r>
      <w:r>
        <w:t xml:space="preserve"> RMSE </w:t>
      </w:r>
      <w:r>
        <w:rPr>
          <w:rFonts w:hint="eastAsia"/>
        </w:rPr>
        <w:t xml:space="preserve">升至</w:t>
      </w:r>
      <w:r>
        <w:t xml:space="preserve"> </w:t>
      </w:r>
      <w:r>
        <w:rPr>
          <w:rFonts w:hint="eastAsia"/>
        </w:rPr>
        <w:t xml:space="preserve">5.17，说明政策缓冲、库存吸收和需求侧调整不是装饰项。绕道运输在</w:t>
      </w:r>
      <w:r>
        <w:t xml:space="preserve"> 46 </w:t>
      </w:r>
      <w:r>
        <w:rPr>
          <w:rFonts w:hint="eastAsia"/>
        </w:rPr>
        <w:t xml:space="preserve">个交易日短窗口内边际影响较小，但它在中长期油价调节模型中会影响剩余缺口和二次跳涨风险，因此不应因为短窗口贡献小就删除。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2.82 </w:t>
      </w:r>
      <w:r>
        <w:rPr>
          <w:rFonts w:hint="eastAsia"/>
        </w:rPr>
        <w:t xml:space="preserve">升至</w:t>
      </w:r>
      <w:r>
        <w:t xml:space="preserve"> </w:t>
      </w:r>
      <w:r>
        <w:rPr>
          <w:rFonts w:hint="eastAsia"/>
        </w:rPr>
        <w:t xml:space="preserve">9.83，说明市场对政策缓冲和运输恢复的预期并不是可有可无的修饰，而是解释后期回落的关键机制。</w:t>
      </w:r>
    </w:p>
    <w:bookmarkEnd w:id="91"/>
    <w:bookmarkStart w:id="92" w:name="阶段-ridge-辅助边界"/>
    <w:p>
      <w:pPr>
        <w:pStyle w:val="Heading3"/>
      </w:pPr>
      <w:r>
        <w:rPr>
          <w:rFonts w:hint="eastAsia"/>
        </w:rPr>
        <w:t xml:space="preserve">阶段</w:t>
      </w:r>
      <w:r>
        <w:t xml:space="preserve"> Ridge </w:t>
      </w:r>
      <w:r>
        <w:rPr>
          <w:rFonts w:hint="eastAsia"/>
        </w:rPr>
        <w:t xml:space="preserve">辅助边界</w:t>
      </w:r>
    </w:p>
    <w:p>
      <w:pPr>
        <w:pStyle w:val="FirstParagraph"/>
      </w:pPr>
      <w:r>
        <w:rPr>
          <w:rFonts w:hint="eastAsia"/>
        </w:rPr>
        <w:t xml:space="preserve">历史价格特征并不能单独解释霍尔木兹封锁冲突窗口。本文使用冲突前历史滞后价格特征训练低自由度</w:t>
      </w:r>
      <w:r>
        <w:t xml:space="preserve"> Ridge </w:t>
      </w:r>
      <w:r>
        <w:rPr>
          <w:rFonts w:hint="eastAsia"/>
        </w:rPr>
        <w:t xml:space="preserve">收益率模型，目的只是刻画价格自身的短期惯性，并将其限制在两个残差薄弱窗口内使用。程序中还比较了纯</w:t>
      </w:r>
      <w:r>
        <w:t xml:space="preserve"> </w:t>
      </w:r>
      <w:r>
        <w:rPr>
          <w:rFonts w:hint="eastAsia"/>
        </w:rPr>
        <w:t xml:space="preserve">Ridge、全窗口</w:t>
      </w:r>
      <w:r>
        <w:t xml:space="preserve"> Ridge </w:t>
      </w:r>
      <w:r>
        <w:rPr>
          <w:rFonts w:hint="eastAsia"/>
        </w:rPr>
        <w:t xml:space="preserve">和在线残差校正等方案；这些方案或解释性不足，或会损害初始冲击与后期二次抬升阶段，因此不作为正文主线展开。最终采用的阶段</w:t>
      </w:r>
      <w:r>
        <w:t xml:space="preserve"> Ridge </w:t>
      </w:r>
      <w:r>
        <w:rPr>
          <w:rFonts w:hint="eastAsia"/>
        </w:rPr>
        <w:t xml:space="preserve">辅助层只修正高位平台和中期再定价中的日度收益惯性，主解释仍由供应缺口、SPR、库存、绕道运输、恐慌溢价和预期修复机制承担。</w:t>
      </w:r>
    </w:p>
    <w:bookmarkEnd w:id="92"/>
    <w:bookmarkStart w:id="100" w:name="拐点预测步长与事件边界"/>
    <w:p>
      <w:pPr>
        <w:pStyle w:val="Heading3"/>
      </w:pPr>
      <w:r>
        <w:rPr>
          <w:rFonts w:hint="eastAsia"/>
        </w:rPr>
        <w:t xml:space="preserve">拐点、预测步长与事件边界</w:t>
      </w:r>
    </w:p>
    <w:p>
      <w:pPr>
        <w:pStyle w:val="FirstParagraph"/>
      </w:pPr>
      <w:r>
        <w:rPr>
          <w:rFonts w:hint="eastAsia"/>
        </w:rPr>
        <w:t xml:space="preserve">本文模型是条件机制递推模型。模型给定冲突开始、题面参数和校准参数后，从初始价格开始逐日递推；真实价格用于参数校准和事后评价，不在每日递推时作为当日输入。因此，RMSE</w:t>
      </w:r>
      <w:r>
        <w:t xml:space="preserve"> </w:t>
      </w:r>
      <w:r>
        <w:rPr>
          <w:rFonts w:hint="eastAsia"/>
        </w:rPr>
        <w:t xml:space="preserve">为</w:t>
      </w:r>
      <w:r>
        <w:t xml:space="preserve"> 3.38 </w:t>
      </w:r>
      <w:r>
        <w:rPr>
          <w:rFonts w:hint="eastAsia"/>
        </w:rPr>
        <w:t xml:space="preserve">的含义是模型对整段冲突路径的条件解释误差。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94" name="Picture"/>
            <a:graphic>
              <a:graphicData uri="http://schemas.openxmlformats.org/drawingml/2006/picture">
                <pic:pic>
                  <pic:nvPicPr>
                    <pic:cNvPr descr="短期模型拐点局部检验.png" id="95" name="Picture"/>
                    <pic:cNvPicPr>
                      <a:picLocks noChangeArrowheads="1" noChangeAspect="1"/>
                    </pic:cNvPicPr>
                  </pic:nvPicPr>
                  <pic:blipFill>
                    <a:blip r:embed="rId93"/>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w:t>
      </w:r>
    </w:p>
    <w:p>
      <w:pPr>
        <w:pStyle w:val="BodyText"/>
      </w:pPr>
      <w:r>
        <w:rPr>
          <w:rFonts w:hint="eastAsia"/>
        </w:rPr>
        <w:t xml:space="preserve">进一步地，本文将短期冲突窗口拆成四个事件段，分别检验初始冲击吸收、高位平台形成、中期再定价回落和后期二次抬升。</w:t>
      </w:r>
      <w:hyperlink w:anchor="tab:short-event-window-audit">
        <w:r>
          <w:rPr>
            <w:rStyle w:val="Hyperlink"/>
          </w:rPr>
          <w:t xml:space="preserve">5</w:t>
        </w:r>
      </w:hyperlink>
      <w:r>
        <w:t xml:space="preserve"> </w:t>
      </w:r>
      <w:r>
        <w:rPr>
          <w:rFonts w:hint="eastAsia"/>
        </w:rPr>
        <w:t xml:space="preserve">显示，四个事件窗口下模型</w:t>
      </w:r>
      <w:r>
        <w:t xml:space="preserve"> RMSE </w:t>
      </w:r>
      <w:r>
        <w:rPr>
          <w:rFonts w:hint="eastAsia"/>
        </w:rPr>
        <w:t xml:space="preserve">均低于朴素上一日基准，其中初始冲击吸收和后期二次抬升窗口的相对改善率超过</w:t>
      </w:r>
      <w:r>
        <w:t xml:space="preserve"> </w:t>
      </w:r>
      <w:r>
        <w:rPr>
          <w:rFonts w:hint="eastAsia"/>
        </w:rPr>
        <w:t xml:space="preserve">30%。高位平台形成和中期再定价回落窗口误差相对更高，说明模型最难处理的不是方向判断，而是平台期真实价格的短期反复震荡。</w:t>
      </w:r>
    </w:p>
    <w:bookmarkStart w:id="96" w:name="tab:short-event-window-audit"/>
    <w:p>
      <w:pPr>
        <w:pStyle w:val="TableCaption"/>
      </w:pPr>
      <w:r>
        <w:rPr>
          <w:rFonts w:hint="eastAsia"/>
        </w:rPr>
        <w:t xml:space="preserve">短期模型事件窗口检验表</w:t>
      </w:r>
    </w:p>
    <w:tbl>
      <w:tblPr>
        <w:tblStyle w:val="Table"/>
        <w:tblW w:type="auto" w:w="0"/>
        <w:tblLook w:firstRow="1" w:lastRow="0" w:firstColumn="0" w:lastColumn="0" w:noHBand="0" w:noVBand="0" w:val="0020"/>
        <w:tblCaption w:val="短期模型事件窗口检验表"/>
      </w:tblPr>
      <w:tblGrid>
        <w:gridCol w:w="1584"/>
        <w:gridCol w:w="1584"/>
        <w:gridCol w:w="1584"/>
        <w:gridCol w:w="1584"/>
        <w:gridCol w:w="1584"/>
      </w:tblGrid>
      <w:tr>
        <w:trPr>
          <w:tblHeader w:val="on"/>
        </w:trPr>
        <w:tc>
          <w:tcPr/>
          <w:p>
            <w:pPr>
              <w:pStyle w:val="Compact"/>
              <w:jc w:val="left"/>
            </w:pPr>
            <w:r>
              <w:rPr>
                <w:rFonts w:hint="eastAsia"/>
              </w:rPr>
              <w:t xml:space="preserve">事件窗口</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方向命中率</w:t>
            </w:r>
          </w:p>
        </w:tc>
        <w:tc>
          <w:tcPr/>
          <w:p>
            <w:pPr>
              <w:pStyle w:val="Compact"/>
              <w:jc w:val="right"/>
            </w:pPr>
            <w:r>
              <w:rPr>
                <w:rFonts w:hint="eastAsia"/>
              </w:rPr>
              <w:t xml:space="preserve">相对朴素改善率</w:t>
            </w:r>
          </w:p>
        </w:tc>
      </w:tr>
      <w:tr>
        <w:tc>
          <w:tcPr/>
          <w:p>
            <w:pPr>
              <w:pStyle w:val="Compact"/>
              <w:jc w:val="left"/>
            </w:pPr>
            <w:r>
              <w:rPr>
                <w:rFonts w:hint="eastAsia"/>
              </w:rPr>
              <w:t xml:space="preserve">初始冲击吸收</w:t>
            </w:r>
          </w:p>
        </w:tc>
        <w:tc>
          <w:tcPr/>
          <w:p>
            <w:pPr>
              <w:pStyle w:val="Compact"/>
              <w:jc w:val="right"/>
            </w:pPr>
            <w:r>
              <w:t xml:space="preserve">3.27</w:t>
            </w:r>
          </w:p>
        </w:tc>
        <w:tc>
          <w:tcPr/>
          <w:p>
            <w:pPr>
              <w:pStyle w:val="Compact"/>
              <w:jc w:val="right"/>
            </w:pPr>
            <w:r>
              <w:t xml:space="preserve">2.88</w:t>
            </w:r>
          </w:p>
        </w:tc>
        <w:tc>
          <w:tcPr/>
          <w:p>
            <w:pPr>
              <w:pStyle w:val="Compact"/>
              <w:jc w:val="right"/>
            </w:pPr>
            <w:r>
              <w:t xml:space="preserve">77.8%</w:t>
            </w:r>
          </w:p>
        </w:tc>
        <w:tc>
          <w:tcPr/>
          <w:p>
            <w:pPr>
              <w:pStyle w:val="Compact"/>
              <w:jc w:val="right"/>
            </w:pPr>
            <w:r>
              <w:t xml:space="preserve">32.7%</w:t>
            </w:r>
          </w:p>
        </w:tc>
      </w:tr>
      <w:tr>
        <w:tc>
          <w:tcPr/>
          <w:p>
            <w:pPr>
              <w:pStyle w:val="Compact"/>
              <w:jc w:val="left"/>
            </w:pPr>
            <w:r>
              <w:rPr>
                <w:rFonts w:hint="eastAsia"/>
              </w:rPr>
              <w:t xml:space="preserve">高位平台形成</w:t>
            </w:r>
          </w:p>
        </w:tc>
        <w:tc>
          <w:tcPr/>
          <w:p>
            <w:pPr>
              <w:pStyle w:val="Compact"/>
              <w:jc w:val="right"/>
            </w:pPr>
            <w:r>
              <w:t xml:space="preserve">3.91</w:t>
            </w:r>
          </w:p>
        </w:tc>
        <w:tc>
          <w:tcPr/>
          <w:p>
            <w:pPr>
              <w:pStyle w:val="Compact"/>
              <w:jc w:val="right"/>
            </w:pPr>
            <w:r>
              <w:t xml:space="preserve">3.23</w:t>
            </w:r>
          </w:p>
        </w:tc>
        <w:tc>
          <w:tcPr/>
          <w:p>
            <w:pPr>
              <w:pStyle w:val="Compact"/>
              <w:jc w:val="right"/>
            </w:pPr>
            <w:r>
              <w:t xml:space="preserve">70.0%</w:t>
            </w:r>
          </w:p>
        </w:tc>
        <w:tc>
          <w:tcPr/>
          <w:p>
            <w:pPr>
              <w:pStyle w:val="Compact"/>
              <w:jc w:val="right"/>
            </w:pPr>
            <w:r>
              <w:t xml:space="preserve">16.5%</w:t>
            </w:r>
          </w:p>
        </w:tc>
      </w:tr>
      <w:tr>
        <w:tc>
          <w:tcPr/>
          <w:p>
            <w:pPr>
              <w:pStyle w:val="Compact"/>
              <w:jc w:val="left"/>
            </w:pPr>
            <w:r>
              <w:rPr>
                <w:rFonts w:hint="eastAsia"/>
              </w:rPr>
              <w:t xml:space="preserve">中期再定价回落</w:t>
            </w:r>
          </w:p>
        </w:tc>
        <w:tc>
          <w:tcPr/>
          <w:p>
            <w:pPr>
              <w:pStyle w:val="Compact"/>
              <w:jc w:val="right"/>
            </w:pPr>
            <w:r>
              <w:t xml:space="preserve">3.90</w:t>
            </w:r>
          </w:p>
        </w:tc>
        <w:tc>
          <w:tcPr/>
          <w:p>
            <w:pPr>
              <w:pStyle w:val="Compact"/>
              <w:jc w:val="right"/>
            </w:pPr>
            <w:r>
              <w:t xml:space="preserve">3.35</w:t>
            </w:r>
          </w:p>
        </w:tc>
        <w:tc>
          <w:tcPr/>
          <w:p>
            <w:pPr>
              <w:pStyle w:val="Compact"/>
              <w:jc w:val="right"/>
            </w:pPr>
            <w:r>
              <w:t xml:space="preserve">63.6%</w:t>
            </w:r>
          </w:p>
        </w:tc>
        <w:tc>
          <w:tcPr/>
          <w:p>
            <w:pPr>
              <w:pStyle w:val="Compact"/>
              <w:jc w:val="right"/>
            </w:pPr>
            <w:r>
              <w:t xml:space="preserve">14.1%</w:t>
            </w:r>
          </w:p>
        </w:tc>
      </w:tr>
      <w:tr>
        <w:tc>
          <w:tcPr/>
          <w:p>
            <w:pPr>
              <w:pStyle w:val="Compact"/>
              <w:jc w:val="left"/>
            </w:pPr>
            <w:r>
              <w:rPr>
                <w:rFonts w:hint="eastAsia"/>
              </w:rPr>
              <w:t xml:space="preserve">后期二次抬升</w:t>
            </w:r>
          </w:p>
        </w:tc>
        <w:tc>
          <w:tcPr/>
          <w:p>
            <w:pPr>
              <w:pStyle w:val="Compact"/>
              <w:jc w:val="right"/>
            </w:pPr>
            <w:r>
              <w:t xml:space="preserve">2.66</w:t>
            </w:r>
          </w:p>
        </w:tc>
        <w:tc>
          <w:tcPr/>
          <w:p>
            <w:pPr>
              <w:pStyle w:val="Compact"/>
              <w:jc w:val="right"/>
            </w:pPr>
            <w:r>
              <w:t xml:space="preserve">2.14</w:t>
            </w:r>
          </w:p>
        </w:tc>
        <w:tc>
          <w:tcPr/>
          <w:p>
            <w:pPr>
              <w:pStyle w:val="Compact"/>
              <w:jc w:val="right"/>
            </w:pPr>
            <w:r>
              <w:t xml:space="preserve">54.5%</w:t>
            </w:r>
          </w:p>
        </w:tc>
        <w:tc>
          <w:tcPr/>
          <w:p>
            <w:pPr>
              <w:pStyle w:val="Compact"/>
              <w:jc w:val="right"/>
            </w:pPr>
            <w:r>
              <w:t xml:space="preserve">32.0%</w:t>
            </w:r>
          </w:p>
        </w:tc>
      </w:tr>
    </w:tbl>
    <w:bookmarkEnd w:id="96"/>
    <w:p>
      <w:pPr>
        <w:pStyle w:val="CaptionedFigure"/>
      </w:pPr>
      <w:r>
        <w:drawing>
          <wp:inline>
            <wp:extent cx="5013960" cy="3038763"/>
            <wp:effectExtent b="0" l="0" r="0" t="0"/>
            <wp:docPr descr="" title="" id="98" name="Picture"/>
            <a:graphic>
              <a:graphicData uri="http://schemas.openxmlformats.org/drawingml/2006/picture">
                <pic:pic>
                  <pic:nvPicPr>
                    <pic:cNvPr descr="短期模型事件窗口检验.png" id="99" name="Picture"/>
                    <pic:cNvPicPr>
                      <a:picLocks noChangeArrowheads="1" noChangeAspect="1"/>
                    </pic:cNvPicPr>
                  </pic:nvPicPr>
                  <pic:blipFill>
                    <a:blip r:embed="rId97"/>
                    <a:stretch>
                      <a:fillRect/>
                    </a:stretch>
                  </pic:blipFill>
                  <pic:spPr bwMode="auto">
                    <a:xfrm>
                      <a:off x="0" y="0"/>
                      <a:ext cx="5013960" cy="3038763"/>
                    </a:xfrm>
                    <a:prstGeom prst="rect">
                      <a:avLst/>
                    </a:prstGeom>
                    <a:noFill/>
                    <a:ln w="9525">
                      <a:noFill/>
                      <a:headEnd/>
                      <a:tailEnd/>
                    </a:ln>
                  </pic:spPr>
                </pic:pic>
              </a:graphicData>
            </a:graphic>
          </wp:inline>
        </w:drawing>
      </w:r>
    </w:p>
    <w:p>
      <w:pPr>
        <w:pStyle w:val="ImageCaption"/>
      </w:pPr>
      <w:r>
        <w:rPr>
          <w:rFonts w:hint="eastAsia"/>
        </w:rPr>
        <w:t xml:space="preserve">短期模型事件窗口检验</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说明本模型高度特化于霍尔木兹封锁事件下的系统机制解释，其结论应限定在极端地缘冲突下的条件路径解释与情景预测。</w:t>
      </w:r>
    </w:p>
    <w:bookmarkEnd w:id="100"/>
    <w:bookmarkStart w:id="109" w:name="参数自由度与稳健性区间"/>
    <w:p>
      <w:pPr>
        <w:pStyle w:val="Heading3"/>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个属于行为与价格调整参数。为刻画参数自由度带来的不确定性，本文进一步报告压力测试、参数剖面和局部扰动结果。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BodyText"/>
      </w:pPr>
      <w:r>
        <w:rPr>
          <w:rFonts w:hint="eastAsia"/>
        </w:rPr>
        <w:t xml:space="preserve">本文固定其他参数，只对价格传导系数、封锁风险权重、不确定性底座、价格调整速度、缓冲确认折价和预期修复折价进行一维剖面检验。</w:t>
      </w:r>
      <w:hyperlink w:anchor="fig:short-parameter-profile">
        <w:r>
          <w:rPr>
            <w:rStyle w:val="Hyperlink"/>
          </w:rPr>
          <w:t xml:space="preserve">6</w:t>
        </w:r>
      </w:hyperlink>
      <w:r>
        <w:t xml:space="preserve"> </w:t>
      </w:r>
      <w:r>
        <w:rPr>
          <w:rFonts w:hint="eastAsia"/>
        </w:rPr>
        <w:t xml:space="preserve">表明，当前最优参数附近的误差曲线整体连续；其中封锁风险权重和不确定性底座对</w:t>
      </w:r>
      <w:r>
        <w:t xml:space="preserve"> RMSE </w:t>
      </w:r>
      <w:r>
        <w:rPr>
          <w:rFonts w:hint="eastAsia"/>
        </w:rPr>
        <w:t xml:space="preserve">更敏感，说明风险溢价通道是短期路径解释的关键部分。</w:t>
      </w:r>
    </w:p>
    <w:bookmarkStart w:id="104" w:name="fig:short-parameter-profile"/>
    <w:p>
      <w:pPr>
        <w:pStyle w:val="CaptionedFigure"/>
      </w:pPr>
      <w:r>
        <w:drawing>
          <wp:inline>
            <wp:extent cx="5013960" cy="2962794"/>
            <wp:effectExtent b="0" l="0" r="0" t="0"/>
            <wp:docPr descr="" title="" id="102" name="Picture"/>
            <a:graphic>
              <a:graphicData uri="http://schemas.openxmlformats.org/drawingml/2006/picture">
                <pic:pic>
                  <pic:nvPicPr>
                    <pic:cNvPr descr="短期模型参数剖面图.png" id="103" name="Picture"/>
                    <pic:cNvPicPr>
                      <a:picLocks noChangeArrowheads="1" noChangeAspect="1"/>
                    </pic:cNvPicPr>
                  </pic:nvPicPr>
                  <pic:blipFill>
                    <a:blip r:embed="rId101"/>
                    <a:stretch>
                      <a:fillRect/>
                    </a:stretch>
                  </pic:blipFill>
                  <pic:spPr bwMode="auto">
                    <a:xfrm>
                      <a:off x="0" y="0"/>
                      <a:ext cx="5013960" cy="2962794"/>
                    </a:xfrm>
                    <a:prstGeom prst="rect">
                      <a:avLst/>
                    </a:prstGeom>
                    <a:noFill/>
                    <a:ln w="9525">
                      <a:noFill/>
                      <a:headEnd/>
                      <a:tailEnd/>
                    </a:ln>
                  </pic:spPr>
                </pic:pic>
              </a:graphicData>
            </a:graphic>
          </wp:inline>
        </w:drawing>
      </w:r>
    </w:p>
    <w:p>
      <w:pPr>
        <w:pStyle w:val="ImageCaption"/>
      </w:pPr>
      <w:r>
        <w:rPr>
          <w:rFonts w:hint="eastAsia"/>
        </w:rPr>
        <w:t xml:space="preserve">短期模型关键参数一维剖面</w:t>
      </w:r>
    </w:p>
    <w:bookmarkEnd w:id="104"/>
    <w:p>
      <w:pPr>
        <w:pStyle w:val="CaptionedFigure"/>
      </w:pPr>
      <w:r>
        <w:drawing>
          <wp:inline>
            <wp:extent cx="4907280" cy="2587474"/>
            <wp:effectExtent b="0" l="0" r="0" t="0"/>
            <wp:docPr descr="" title="" id="106" name="Picture"/>
            <a:graphic>
              <a:graphicData uri="http://schemas.openxmlformats.org/drawingml/2006/picture">
                <pic:pic>
                  <pic:nvPicPr>
                    <pic:cNvPr descr="短期模型稳健性带.png" id="107" name="Picture"/>
                    <pic:cNvPicPr>
                      <a:picLocks noChangeArrowheads="1" noChangeAspect="1"/>
                    </pic:cNvPicPr>
                  </pic:nvPicPr>
                  <pic:blipFill>
                    <a:blip r:embed="rId10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w:t>
      </w:r>
    </w:p>
    <w:p>
      <w:pPr>
        <w:pStyle w:val="BodyText"/>
      </w:pPr>
      <w:r>
        <w:rPr>
          <w:rFonts w:hint="eastAsia"/>
        </w:rPr>
        <w:t xml:space="preserve">围绕当前入选参数进行的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的检验阈值。通过阈值样本的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美元/桶，说明当前参数附近存在稳定的可接受参数邻域。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本文将关键检验证据按</w:t>
      </w:r>
      <w:r>
        <w:rPr>
          <w:rFonts w:hint="eastAsia"/>
        </w:rPr>
        <w:t xml:space="preserve">“问题–证据–结论”</w:t>
      </w:r>
      <w:r>
        <w:rPr>
          <w:rFonts w:hint="eastAsia"/>
        </w:rPr>
        <w:t xml:space="preserve">的形式汇总于</w:t>
      </w:r>
      <w:hyperlink w:anchor="tab:short-validity-summary">
        <w:r>
          <w:rPr>
            <w:rStyle w:val="Hyperlink"/>
          </w:rPr>
          <w:t xml:space="preserve">6</w:t>
        </w:r>
      </w:hyperlink>
      <w:r>
        <w:rPr>
          <w:rFonts w:hint="eastAsia"/>
        </w:rPr>
        <w:t xml:space="preserve">。这些证据用于说明短期冲击模型是否能够支撑赛题结论，最终有效性由误差、机制解释和稳健性检验共同决定。</w:t>
      </w:r>
    </w:p>
    <w:bookmarkStart w:id="108" w:name="tab:short-validity-summary"/>
    <w:p>
      <w:pPr>
        <w:pStyle w:val="TableCaption"/>
      </w:pPr>
      <w:r>
        <w:rPr>
          <w:rFonts w:hint="eastAsia"/>
        </w:rPr>
        <w:t xml:space="preserve">短期冲击模型有效性证据汇总</w:t>
      </w:r>
    </w:p>
    <w:tbl>
      <w:tblPr>
        <w:tblStyle w:val="Table"/>
        <w:tblW w:type="pct" w:w="4400"/>
        <w:tblLayout w:type="fixed"/>
        <w:tblLook w:firstRow="1" w:lastRow="0" w:firstColumn="0" w:lastColumn="0" w:noHBand="0" w:noVBand="0" w:val="0020"/>
        <w:tblCaption w:val="短期冲击模型有效性证据汇总"/>
      </w:tblPr>
      <w:tblGrid>
        <w:gridCol w:w="1821"/>
        <w:gridCol w:w="2534"/>
        <w:gridCol w:w="2613"/>
      </w:tblGrid>
      <w:tr>
        <w:trPr>
          <w:tblHeader w:val="on"/>
        </w:trPr>
        <w:tc>
          <w:tcPr/>
          <w:p>
            <w:pPr>
              <w:pStyle w:val="Compact"/>
              <w:jc w:val="left"/>
            </w:pPr>
            <w:r>
              <w:rPr>
                <w:rFonts w:hint="eastAsia"/>
              </w:rPr>
              <w:t xml:space="preserve">检验问题</w:t>
            </w:r>
          </w:p>
        </w:tc>
        <w:tc>
          <w:tcPr/>
          <w:p>
            <w:pPr>
              <w:pStyle w:val="Compact"/>
              <w:jc w:val="left"/>
            </w:pPr>
            <w:r>
              <w:rPr>
                <w:rFonts w:hint="eastAsia"/>
              </w:rPr>
              <w:t xml:space="preserve">主要证据</w:t>
            </w:r>
          </w:p>
        </w:tc>
        <w:tc>
          <w:tcPr/>
          <w:p>
            <w:pPr>
              <w:pStyle w:val="Compact"/>
              <w:jc w:val="left"/>
            </w:pPr>
            <w:r>
              <w:rPr>
                <w:rFonts w:hint="eastAsia"/>
              </w:rPr>
              <w:t xml:space="preserve">论文中的作用</w:t>
            </w:r>
          </w:p>
        </w:tc>
      </w:tr>
      <w:tr>
        <w:tc>
          <w:tcPr/>
          <w:p>
            <w:pPr>
              <w:pStyle w:val="Compact"/>
              <w:jc w:val="left"/>
            </w:pPr>
            <w:r>
              <w:rPr>
                <w:rFonts w:hint="eastAsia"/>
              </w:rPr>
              <w:t xml:space="preserve">是否优于简单基准</w:t>
            </w:r>
          </w:p>
        </w:tc>
        <w:tc>
          <w:tcPr/>
          <w:p>
            <w:pPr>
              <w:pStyle w:val="Compact"/>
              <w:jc w:val="left"/>
            </w:pPr>
            <w:r>
              <w:t xml:space="preserve">RMSE、MAE </w:t>
            </w:r>
            <w:r>
              <w:rPr>
                <w:rFonts w:hint="eastAsia"/>
              </w:rPr>
              <w:t xml:space="preserve">和</w:t>
            </w:r>
            <w:r>
              <w:t xml:space="preserve"> MAPE </w:t>
            </w:r>
            <w:r>
              <w:rPr>
                <w:rFonts w:hint="eastAsia"/>
              </w:rPr>
              <w:t xml:space="preserve">均优于朴素上一日、三日均值、漂移随机游走和滚动</w:t>
            </w:r>
            <w:r>
              <w:t xml:space="preserve"> ARIMA</w:t>
            </w:r>
          </w:p>
        </w:tc>
        <w:tc>
          <w:tcPr/>
          <w:p>
            <w:pPr>
              <w:pStyle w:val="Compact"/>
              <w:jc w:val="left"/>
            </w:pPr>
            <w:r>
              <w:rPr>
                <w:rFonts w:hint="eastAsia"/>
              </w:rPr>
              <w:t xml:space="preserve">说明模型不是仅复制油价惯性</w:t>
            </w:r>
          </w:p>
        </w:tc>
      </w:tr>
      <w:tr>
        <w:tc>
          <w:tcPr/>
          <w:p>
            <w:pPr>
              <w:pStyle w:val="Compact"/>
              <w:jc w:val="left"/>
            </w:pPr>
            <w:r>
              <w:rPr>
                <w:rFonts w:hint="eastAsia"/>
              </w:rPr>
              <w:t xml:space="preserve">是否存在滞后复制</w:t>
            </w:r>
          </w:p>
        </w:tc>
        <w:tc>
          <w:tcPr/>
          <w:p>
            <w:pPr>
              <w:pStyle w:val="Compact"/>
              <w:jc w:val="left"/>
            </w:pPr>
            <w:r>
              <w:rPr>
                <w:rFonts w:hint="eastAsia"/>
              </w:rPr>
              <w:t xml:space="preserve">最优平移仍为</w:t>
            </w:r>
            <w:r>
              <w:t xml:space="preserve"> 0 </w:t>
            </w:r>
            <w:r>
              <w:rPr>
                <w:rFonts w:hint="eastAsia"/>
              </w:rPr>
              <w:t xml:space="preserve">日，拐点窗口中峰值与回落方向基本一致</w:t>
            </w:r>
          </w:p>
        </w:tc>
        <w:tc>
          <w:tcPr/>
          <w:p>
            <w:pPr>
              <w:pStyle w:val="Compact"/>
              <w:jc w:val="left"/>
            </w:pPr>
            <w:r>
              <w:rPr>
                <w:rFonts w:hint="eastAsia"/>
              </w:rPr>
              <w:t xml:space="preserve">回应</w:t>
            </w:r>
            <w:r>
              <w:rPr>
                <w:rFonts w:hint="eastAsia"/>
              </w:rPr>
              <w:t xml:space="preserve">“马后炮曲线”</w:t>
            </w:r>
            <w:r>
              <w:rPr>
                <w:rFonts w:hint="eastAsia"/>
              </w:rPr>
              <w:t xml:space="preserve">风险</w:t>
            </w:r>
          </w:p>
        </w:tc>
      </w:tr>
      <w:tr>
        <w:tc>
          <w:tcPr/>
          <w:p>
            <w:pPr>
              <w:pStyle w:val="Compact"/>
              <w:jc w:val="left"/>
            </w:pPr>
            <w:r>
              <w:rPr>
                <w:rFonts w:hint="eastAsia"/>
              </w:rPr>
              <w:t xml:space="preserve">机制项是否必要</w:t>
            </w:r>
          </w:p>
        </w:tc>
        <w:tc>
          <w:tcPr/>
          <w:p>
            <w:pPr>
              <w:pStyle w:val="Compact"/>
              <w:jc w:val="left"/>
            </w:pPr>
            <w:r>
              <w:rPr>
                <w:rFonts w:hint="eastAsia"/>
              </w:rPr>
              <w:t xml:space="preserve">机制消融显示关闭风险、缓冲和预期修复通道会明显改变误差结构</w:t>
            </w:r>
          </w:p>
        </w:tc>
        <w:tc>
          <w:tcPr/>
          <w:p>
            <w:pPr>
              <w:pStyle w:val="Compact"/>
              <w:jc w:val="left"/>
            </w:pPr>
            <w:r>
              <w:rPr>
                <w:rFonts w:hint="eastAsia"/>
              </w:rPr>
              <w:t xml:space="preserve">说明扩展项具有边际解释贡献</w:t>
            </w:r>
          </w:p>
        </w:tc>
      </w:tr>
      <w:tr>
        <w:tc>
          <w:tcPr/>
          <w:p>
            <w:pPr>
              <w:pStyle w:val="Compact"/>
              <w:jc w:val="left"/>
            </w:pPr>
            <w:r>
              <w:rPr>
                <w:rFonts w:hint="eastAsia"/>
              </w:rPr>
              <w:t xml:space="preserve">参数是否过度依赖单点</w:t>
            </w:r>
          </w:p>
        </w:tc>
        <w:tc>
          <w:tcPr/>
          <w:p>
            <w:pPr>
              <w:pStyle w:val="Compact"/>
              <w:jc w:val="left"/>
            </w:pPr>
            <w:r>
              <w:rPr>
                <w:rFonts w:hint="eastAsia"/>
              </w:rPr>
              <w:t xml:space="preserve">一维剖面连续，局部扰动样本形成窄价格带</w:t>
            </w:r>
          </w:p>
        </w:tc>
        <w:tc>
          <w:tcPr/>
          <w:p>
            <w:pPr>
              <w:pStyle w:val="Compact"/>
              <w:jc w:val="left"/>
            </w:pPr>
            <w:r>
              <w:rPr>
                <w:rFonts w:hint="eastAsia"/>
              </w:rPr>
              <w:t xml:space="preserve">支撑参数邻域稳定性</w:t>
            </w:r>
          </w:p>
        </w:tc>
      </w:tr>
      <w:tr>
        <w:tc>
          <w:tcPr/>
          <w:p>
            <w:pPr>
              <w:pStyle w:val="Compact"/>
              <w:jc w:val="left"/>
            </w:pPr>
            <w:r>
              <w:rPr>
                <w:rFonts w:hint="eastAsia"/>
              </w:rPr>
              <w:t xml:space="preserve">残差是否仍有边界</w:t>
            </w:r>
          </w:p>
        </w:tc>
        <w:tc>
          <w:tcPr/>
          <w:p>
            <w:pPr>
              <w:pStyle w:val="Compact"/>
              <w:jc w:val="left"/>
            </w:pPr>
            <w:r>
              <w:rPr>
                <w:rFonts w:hint="eastAsia"/>
              </w:rPr>
              <w:t xml:space="preserve">残差存在一定波动聚集，方向命中率仍有提升空间</w:t>
            </w:r>
          </w:p>
        </w:tc>
        <w:tc>
          <w:tcPr/>
          <w:p>
            <w:pPr>
              <w:pStyle w:val="Compact"/>
              <w:jc w:val="left"/>
            </w:pPr>
            <w:r>
              <w:rPr>
                <w:rFonts w:hint="eastAsia"/>
              </w:rPr>
              <w:t xml:space="preserve">明确模型是事件机制解释模型，不是通用交易预测器</w:t>
            </w:r>
          </w:p>
        </w:tc>
      </w:tr>
    </w:tbl>
    <w:bookmarkEnd w:id="108"/>
    <w:bookmarkEnd w:id="109"/>
    <w:bookmarkStart w:id="110" w:name="内生性反事实基准与结构边界"/>
    <w:p>
      <w:pPr>
        <w:pStyle w:val="Heading3"/>
      </w:pPr>
      <w:r>
        <w:rPr>
          <w:rFonts w:hint="eastAsia"/>
        </w:rPr>
        <w:t xml:space="preserve">内生性、反事实基准与结构边界</w:t>
      </w:r>
    </w:p>
    <w:p>
      <w:pPr>
        <w:pStyle w:val="FirstParagraph"/>
      </w:pPr>
      <w:r>
        <w:rPr>
          <w:rFonts w:hint="eastAsia"/>
        </w:rPr>
        <w:t xml:space="preserve">模型中的恐慌初始强度和恐慌衰减速度用于刻画冲突初期风险溢价衰减，并非由新闻文本统计得到的外生恐慌指数。若后续加入新闻情绪模块，应使用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递推结构检查显示，短期冲击模型函数没有设置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美元只作为题面观测参考区间出现在图表阴影和展示配置中，不参与价格递推计算。当前模型可解释</w:t>
      </w:r>
      <w:r>
        <w:t xml:space="preserve"> 120 </w:t>
      </w:r>
      <w:r>
        <w:rPr>
          <w:rFonts w:hint="eastAsia"/>
        </w:rPr>
        <w:t xml:space="preserve">美元附近平台的机制来源，但不将其表述为多智能体动态纳什均衡。</w:t>
      </w:r>
    </w:p>
    <w:bookmarkEnd w:id="110"/>
    <w:bookmarkStart w:id="112" w:name="鲁棒性与边界检验总览"/>
    <w:p>
      <w:pPr>
        <w:pStyle w:val="Heading3"/>
      </w:pPr>
      <w:r>
        <w:rPr>
          <w:rFonts w:hint="eastAsia"/>
        </w:rPr>
        <w:t xml:space="preserve">鲁棒性与边界检验总览</w:t>
      </w:r>
    </w:p>
    <w:p>
      <w:pPr>
        <w:pStyle w:val="FirstParagraph"/>
      </w:pPr>
      <w:r>
        <w:rPr>
          <w:rFonts w:hint="eastAsia"/>
        </w:rPr>
        <w:t xml:space="preserve">本文将关键不确定性来源转化为鲁棒性与边界检验。</w:t>
      </w:r>
      <w:hyperlink w:anchor="tab:adversarial-tests">
        <w:r>
          <w:rPr>
            <w:rStyle w:val="Hyperlink"/>
          </w:rPr>
          <w:t xml:space="preserve">7</w:t>
        </w:r>
      </w:hyperlink>
      <w:r>
        <w:t xml:space="preserve"> </w:t>
      </w:r>
      <w:r>
        <w:rPr>
          <w:rFonts w:hint="eastAsia"/>
        </w:rPr>
        <w:t xml:space="preserve">中的检验均不重新寻找最优参数，而是在同一模型框架下改变某个关键条件，观察主结论是否保持稳定。</w:t>
      </w:r>
    </w:p>
    <w:bookmarkStart w:id="111"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3.42，朴素基准为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0.020</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美元/桶，局部通过率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蒙特卡洛条件路径、三情景中心线与历史校准状态转移对比</w:t>
            </w:r>
          </w:p>
        </w:tc>
        <w:tc>
          <w:tcPr/>
          <w:p>
            <w:pPr>
              <w:pStyle w:val="Compact"/>
              <w:jc w:val="left"/>
            </w:pPr>
            <w:r>
              <w:rPr>
                <w:rFonts w:hint="eastAsia"/>
              </w:rPr>
              <w:t xml:space="preserve">状态转移第</w:t>
            </w:r>
            <w:r>
              <w:t xml:space="preserve"> 180 </w:t>
            </w:r>
            <w:r>
              <w:rPr>
                <w:rFonts w:hint="eastAsia"/>
              </w:rPr>
              <w:t xml:space="preserve">天</w:t>
            </w:r>
            <w:r>
              <w:t xml:space="preserve"> P05–P95 </w:t>
            </w:r>
            <w:r>
              <w:rPr>
                <w:rFonts w:hint="eastAsia"/>
              </w:rPr>
              <w:t xml:space="preserve">为</w:t>
            </w:r>
            <w:r>
              <w:t xml:space="preserve"> 87.17–98.29 </w:t>
            </w:r>
            <w:r>
              <w:rPr>
                <w:rFonts w:hint="eastAsia"/>
              </w:rPr>
              <w:t xml:space="preserve">美元/桶，突破</w:t>
            </w:r>
            <w:r>
              <w:t xml:space="preserve"> 120 </w:t>
            </w:r>
            <w:r>
              <w:rPr>
                <w:rFonts w:hint="eastAsia"/>
              </w:rPr>
              <w:t xml:space="preserve">概率约</w:t>
            </w:r>
            <w:r>
              <w:t xml:space="preserve"> 49.4%</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11"/>
    <w:bookmarkEnd w:id="112"/>
    <w:bookmarkEnd w:id="113"/>
    <w:bookmarkEnd w:id="114"/>
    <w:bookmarkStart w:id="137" w:name="中长期油价调节模型60180-天"/>
    <w:p>
      <w:pPr>
        <w:pStyle w:val="Heading1"/>
      </w:pPr>
      <w:r>
        <w:rPr>
          <w:rFonts w:hint="eastAsia"/>
        </w:rPr>
        <w:t xml:space="preserve">中长期油价调节模型（60–180</w:t>
      </w:r>
      <w:r>
        <w:t xml:space="preserve"> </w:t>
      </w:r>
      <w:r>
        <w:rPr>
          <w:rFonts w:hint="eastAsia"/>
        </w:rPr>
        <w:t xml:space="preserve">天）</w:t>
      </w:r>
    </w:p>
    <w:bookmarkStart w:id="115" w:name="情景设定"/>
    <w:p>
      <w:pPr>
        <w:pStyle w:val="Heading2"/>
      </w:pPr>
      <w:r>
        <w:rPr>
          <w:rFonts w:hint="eastAsia"/>
        </w:rPr>
        <w:t xml:space="preserve">情景设定</w:t>
      </w:r>
    </w:p>
    <w:p>
      <w:pPr>
        <w:pStyle w:val="FirstParagraph"/>
      </w:pPr>
      <w:r>
        <w:rPr>
          <w:rFonts w:hint="eastAsia"/>
        </w:rPr>
        <w:t xml:space="preserve">中长期油价调节模型对应赛题任务</w:t>
      </w:r>
      <w:r>
        <w:t xml:space="preserve"> </w:t>
      </w:r>
      <w:r>
        <w:rPr>
          <w:rFonts w:hint="eastAsia"/>
        </w:rPr>
        <w:t xml:space="preserve">2。本文在短期冲击模型的综合最优参数基础上构建乐观、中性和悲观三种情景。赛题附件只提供到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的表述：三情景曲线表示条件中心路径，可信度由机制一致性、官方外生数据校验、敏感性分析、蒙特卡洛概率区间和状态转移扰动共同评价。</w:t>
      </w:r>
    </w:p>
    <w:p>
      <w:pPr>
        <w:pStyle w:val="BodyText"/>
      </w:pPr>
      <w:r>
        <w:rPr>
          <w:rFonts w:hint="eastAsia"/>
        </w:rPr>
        <w:t xml:space="preserve">短期冲击模型和中长期油价调节模型并非两套互不相干的模型。短期部分使用同一套物理缺口和市场价格形成递推式，回答封锁初期价格平台如何形成；中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中长期油价调节模型从短期冲击模型延伸而来，但在四个方面做了时间尺度调整：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记中长期外推期第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。在短期冲击模型的基础上，中长期供需缺口可写为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中长期价格递推采用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短期和中长期风险项的方向不同，并不是前后矛盾。短期窗口内，市场需要完成突发封锁的信息吸收，风险溢价表现为建立和再定价；中长期窗口内，市场已经观察到</w:t>
      </w:r>
      <w:r>
        <w:t xml:space="preserve"> </w:t>
      </w:r>
      <w:r>
        <w:rPr>
          <w:rFonts w:hint="eastAsia"/>
        </w:rPr>
        <w:t xml:space="preserve">SPR、库存、绕道和供需调整是否有效，因此风险项应随未解决缺口和信心恢复而逐步衰减。换言之，短期冲击模型回答</w:t>
      </w:r>
      <w:r>
        <w:rPr>
          <w:rFonts w:hint="eastAsia"/>
        </w:rPr>
        <w:t xml:space="preserve">“冲击如何形成价格平台”</w:t>
      </w:r>
      <w:r>
        <w:rPr>
          <w:rFonts w:hint="eastAsia"/>
        </w:rPr>
        <w:t xml:space="preserve">，中长期油价调节模型回答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15"/>
    <w:bookmarkStart w:id="118" w:name="中长期参数来源与校验边界"/>
    <w:p>
      <w:pPr>
        <w:pStyle w:val="Heading2"/>
      </w:pPr>
      <w:r>
        <w:rPr>
          <w:rFonts w:hint="eastAsia"/>
        </w:rPr>
        <w:t xml:space="preserve">中长期参数来源与校验边界</w:t>
      </w:r>
    </w:p>
    <w:p>
      <w:pPr>
        <w:pStyle w:val="FirstParagraph"/>
      </w:pPr>
      <w:r>
        <w:rPr>
          <w:rFonts w:hint="eastAsia"/>
        </w:rPr>
        <w:t xml:space="preserve">中长期油价调节模型中的部分参数用于描述恢复速度、政策收缩和制度风险衰减。本文对中长期参数采用三条约束：方向来自赛题机制或能源市场逻辑；数值作为基准情景假设进入；关键参数进入扰动区间、敏感性排序或蒙特卡洛检验。中长期参数来源与校验方式见</w:t>
      </w:r>
      <w:hyperlink w:anchor="tab:long-parameter-audit">
        <w:r>
          <w:rPr>
            <w:rStyle w:val="Hyperlink"/>
          </w:rPr>
          <w:t xml:space="preserve">8</w:t>
        </w:r>
      </w:hyperlink>
      <w:r>
        <w:t xml:space="preserve">。</w:t>
      </w:r>
    </w:p>
    <w:bookmarkStart w:id="116" w:name="tab:long-parameter-audit"/>
    <w:p>
      <w:pPr>
        <w:pStyle w:val="TableCaption"/>
      </w:pPr>
      <w:r>
        <w:rPr>
          <w:rFonts w:hint="eastAsia"/>
        </w:rPr>
        <w:t xml:space="preserve">中长期关键参数来源与校验方式</w:t>
      </w:r>
    </w:p>
    <w:tbl>
      <w:tblPr>
        <w:tblStyle w:val="Table"/>
        <w:tblW w:type="auto" w:w="0"/>
        <w:tblLook w:firstRow="1" w:lastRow="0" w:firstColumn="0" w:lastColumn="0" w:noHBand="0" w:noVBand="0" w:val="0020"/>
        <w:tblCaption w:val="中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16"/>
    <w:p>
      <w:pPr>
        <w:pStyle w:val="BodyText"/>
      </w:pPr>
      <w:r>
        <w:rPr>
          <w:rFonts w:hint="eastAsia"/>
          <w:b/>
          <w:bCs/>
        </w:rPr>
        <w:t xml:space="preserve">结论</w:t>
      </w:r>
      <w:r>
        <w:rPr>
          <w:rFonts w:hint="eastAsia"/>
        </w:rPr>
        <w:t xml:space="preserve">中长期参数用于描述机制强弱和恢复速度。本文把这些参数显式列出、放入扰动区间，并用敏感性和蒙特卡洛结果报告其不确定性。</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“中长期参数约束层”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w:t>
      </w:r>
      <w:hyperlink w:anchor="tab:official-factor-multipliers">
        <w:r>
          <w:rPr>
            <w:rStyle w:val="Hyperlink"/>
          </w:rPr>
          <w:t xml:space="preserve">9</w:t>
        </w:r>
      </w:hyperlink>
      <w:r>
        <w:t xml:space="preserve">。</w:t>
      </w:r>
    </w:p>
    <w:bookmarkStart w:id="117" w:name="tab:official-factor-multipliers"/>
    <w:p>
      <w:pPr>
        <w:pStyle w:val="TableCaption"/>
      </w:pPr>
      <w:r>
        <w:rPr>
          <w:rFonts w:hint="eastAsia"/>
        </w:rPr>
        <w:t xml:space="preserve">官方外生数据生成的中长期参数约束因子</w:t>
      </w:r>
    </w:p>
    <w:tbl>
      <w:tblPr>
        <w:tblStyle w:val="Table"/>
        <w:tblW w:type="auto" w:w="0"/>
        <w:tblLook w:firstRow="1" w:lastRow="0" w:firstColumn="0" w:lastColumn="0" w:noHBand="0" w:noVBand="0" w:val="0020"/>
        <w:tblCaption w:val="官方外生数据生成的中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17"/>
    <w:bookmarkEnd w:id="118"/>
    <w:bookmarkStart w:id="136" w:name="预测结果"/>
    <w:p>
      <w:pPr>
        <w:pStyle w:val="Heading2"/>
      </w:pPr>
      <w:r>
        <w:rPr>
          <w:rFonts w:hint="eastAsia"/>
        </w:rPr>
        <w:t xml:space="preserve">预测结果</w:t>
      </w:r>
    </w:p>
    <w:p>
      <w:pPr>
        <w:pStyle w:val="TableCaption"/>
      </w:pPr>
      <w:r>
        <w:rPr>
          <w:rFonts w:hint="eastAsia"/>
        </w:rPr>
        <w:t xml:space="preserve">中长期油价调节模型的</w:t>
      </w:r>
      <w:r>
        <w:t xml:space="preserve"> 60–180 </w:t>
      </w:r>
      <w:r>
        <w:rPr>
          <w:rFonts w:hint="eastAsia"/>
        </w:rPr>
        <w:t xml:space="preserve">天三情景预测结果</w:t>
      </w:r>
    </w:p>
    <w:tbl>
      <w:tblPr>
        <w:tblStyle w:val="Table"/>
        <w:tblW w:type="auto" w:w="0"/>
        <w:tblLook w:firstRow="1" w:lastRow="0" w:firstColumn="0" w:lastColumn="0" w:noHBand="0" w:noVBand="0" w:val="0020"/>
        <w:tblCaption w:val="中长期油价调节模型的 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109.83</w:t>
            </w:r>
          </w:p>
        </w:tc>
        <w:tc>
          <w:tcPr/>
          <w:p>
            <w:pPr>
              <w:pStyle w:val="Compact"/>
              <w:jc w:val="right"/>
            </w:pPr>
            <w:r>
              <w:t xml:space="preserve">93.24</w:t>
            </w:r>
          </w:p>
        </w:tc>
        <w:tc>
          <w:tcPr/>
          <w:p>
            <w:pPr>
              <w:pStyle w:val="Compact"/>
              <w:jc w:val="right"/>
            </w:pPr>
            <w:r>
              <w:t xml:space="preserve">91.46</w:t>
            </w:r>
          </w:p>
        </w:tc>
        <w:tc>
          <w:tcPr/>
          <w:p>
            <w:pPr>
              <w:pStyle w:val="Compact"/>
              <w:jc w:val="right"/>
            </w:pPr>
            <w:r>
              <w:t xml:space="preserve">86.40</w:t>
            </w:r>
          </w:p>
        </w:tc>
        <w:tc>
          <w:tcPr/>
          <w:p>
            <w:pPr>
              <w:pStyle w:val="Compact"/>
              <w:jc w:val="right"/>
            </w:pPr>
            <w:r>
              <w:t xml:space="preserve">101.93</w:t>
            </w:r>
          </w:p>
        </w:tc>
        <w:tc>
          <w:tcPr/>
          <w:p>
            <w:pPr>
              <w:pStyle w:val="Compact"/>
              <w:jc w:val="right"/>
            </w:pPr>
            <w:r>
              <w:t xml:space="preserve">90.84</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109.83</w:t>
            </w:r>
          </w:p>
        </w:tc>
        <w:tc>
          <w:tcPr/>
          <w:p>
            <w:pPr>
              <w:pStyle w:val="Compact"/>
              <w:jc w:val="right"/>
            </w:pPr>
            <w:r>
              <w:t xml:space="preserve">104.89</w:t>
            </w:r>
          </w:p>
        </w:tc>
        <w:tc>
          <w:tcPr/>
          <w:p>
            <w:pPr>
              <w:pStyle w:val="Compact"/>
              <w:jc w:val="right"/>
            </w:pPr>
            <w:r>
              <w:t xml:space="preserve">99.08</w:t>
            </w:r>
          </w:p>
        </w:tc>
        <w:tc>
          <w:tcPr/>
          <w:p>
            <w:pPr>
              <w:pStyle w:val="Compact"/>
              <w:jc w:val="right"/>
            </w:pPr>
            <w:r>
              <w:t xml:space="preserve">91.37</w:t>
            </w:r>
          </w:p>
        </w:tc>
        <w:tc>
          <w:tcPr/>
          <w:p>
            <w:pPr>
              <w:pStyle w:val="Compact"/>
              <w:jc w:val="right"/>
            </w:pPr>
            <w:r>
              <w:t xml:space="preserve">110.32</w:t>
            </w:r>
          </w:p>
        </w:tc>
        <w:tc>
          <w:tcPr/>
          <w:p>
            <w:pPr>
              <w:pStyle w:val="Compact"/>
              <w:jc w:val="right"/>
            </w:pPr>
            <w:r>
              <w:t xml:space="preserve">99.51</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109.83</w:t>
            </w:r>
          </w:p>
        </w:tc>
        <w:tc>
          <w:tcPr/>
          <w:p>
            <w:pPr>
              <w:pStyle w:val="Compact"/>
              <w:jc w:val="right"/>
            </w:pPr>
            <w:r>
              <w:t xml:space="preserve">125.20</w:t>
            </w:r>
          </w:p>
        </w:tc>
        <w:tc>
          <w:tcPr/>
          <w:p>
            <w:pPr>
              <w:pStyle w:val="Compact"/>
              <w:jc w:val="right"/>
            </w:pPr>
            <w:r>
              <w:t xml:space="preserve">117.00</w:t>
            </w:r>
          </w:p>
        </w:tc>
        <w:tc>
          <w:tcPr/>
          <w:p>
            <w:pPr>
              <w:pStyle w:val="Compact"/>
              <w:jc w:val="right"/>
            </w:pPr>
            <w:r>
              <w:t xml:space="preserve">107.89</w:t>
            </w:r>
          </w:p>
        </w:tc>
        <w:tc>
          <w:tcPr/>
          <w:p>
            <w:pPr>
              <w:pStyle w:val="Compact"/>
              <w:jc w:val="right"/>
            </w:pPr>
            <w:r>
              <w:t xml:space="preserve">131.85</w:t>
            </w:r>
          </w:p>
        </w:tc>
        <w:tc>
          <w:tcPr/>
          <w:p>
            <w:pPr>
              <w:pStyle w:val="Compact"/>
              <w:jc w:val="right"/>
            </w:pPr>
            <w:r>
              <w:t xml:space="preserve">117.97</w:t>
            </w:r>
          </w:p>
        </w:tc>
        <w:tc>
          <w:tcPr/>
          <w:p>
            <w:pPr>
              <w:pStyle w:val="Compact"/>
              <w:jc w:val="right"/>
            </w:pPr>
            <w:r>
              <w:rPr>
                <w:rFonts w:hint="eastAsia"/>
              </w:rPr>
              <w:t xml:space="preserve">高</w:t>
            </w:r>
          </w:p>
        </w:tc>
      </w:tr>
    </w:tbl>
    <w:bookmarkStart w:id="122" w:name="fig:long-term-fan"/>
    <w:p>
      <w:pPr>
        <w:pStyle w:val="CaptionedFigure"/>
      </w:pPr>
      <w:r>
        <w:drawing>
          <wp:inline>
            <wp:extent cx="5227320" cy="2777013"/>
            <wp:effectExtent b="0" l="0" r="0" t="0"/>
            <wp:docPr descr="" title="" id="120" name="Picture"/>
            <a:graphic>
              <a:graphicData uri="http://schemas.openxmlformats.org/drawingml/2006/picture">
                <pic:pic>
                  <pic:nvPicPr>
                    <pic:cNvPr descr="蒙特卡洛情景树高级组合图.png" id="121" name="Picture"/>
                    <pic:cNvPicPr>
                      <a:picLocks noChangeArrowheads="1" noChangeAspect="1"/>
                    </pic:cNvPicPr>
                  </pic:nvPicPr>
                  <pic:blipFill>
                    <a:blip r:embed="rId119"/>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中长期油价调节模型蒙特卡洛情景树</w:t>
      </w:r>
    </w:p>
    <w:bookmarkEnd w:id="122"/>
    <w:p>
      <w:pPr>
        <w:pStyle w:val="CaptionedFigure"/>
      </w:pPr>
      <w:r>
        <w:drawing>
          <wp:inline>
            <wp:extent cx="5013960" cy="2757678"/>
            <wp:effectExtent b="0" l="0" r="0" t="0"/>
            <wp:docPr descr="" title="" id="124" name="Picture"/>
            <a:graphic>
              <a:graphicData uri="http://schemas.openxmlformats.org/drawingml/2006/picture">
                <pic:pic>
                  <pic:nvPicPr>
                    <pic:cNvPr descr="短期拟合与长期预测总览.png" id="125" name="Picture"/>
                    <pic:cNvPicPr>
                      <a:picLocks noChangeArrowheads="1" noChangeAspect="1"/>
                    </pic:cNvPicPr>
                  </pic:nvPicPr>
                  <pic:blipFill>
                    <a:blip r:embed="rId123"/>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短期冲击模型与中长期油价调节模型总览</w:t>
      </w:r>
    </w:p>
    <w:p>
      <w:pPr>
        <w:pStyle w:val="BodyText"/>
      </w:pPr>
      <w:hyperlink w:anchor="fig:long-term-fan">
        <w:r>
          <w:rPr>
            <w:rStyle w:val="Hyperlink"/>
          </w:rPr>
          <w:t xml:space="preserve">7</w:t>
        </w:r>
      </w:hyperlink>
      <w:r>
        <w:t xml:space="preserve"> </w:t>
      </w:r>
      <w:r>
        <w:rPr>
          <w:rFonts w:hint="eastAsia"/>
        </w:rPr>
        <w:t xml:space="preserve">给出中长期油价调节模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与实现波动率相关性生成综合状态转移压力，用于温和提高早中期升级概率。这样得到的中长期图由中心路径、状态概率和尾部区间共同构成。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0.478</m:t>
                    </m:r>
                  </m:e>
                  <m:e>
                    <m:r>
                      <m:t>0.522</m:t>
                    </m:r>
                  </m:e>
                  <m:e>
                    <m:r>
                      <m:t>0.000</m:t>
                    </m:r>
                  </m:e>
                </m:mr>
                <m:mr>
                  <m:e>
                    <m:r>
                      <m:t>0.065</m:t>
                    </m:r>
                  </m:e>
                  <m:e>
                    <m:r>
                      <m:t>0.880</m:t>
                    </m:r>
                  </m:e>
                  <m:e>
                    <m:r>
                      <m:t>0.055</m:t>
                    </m:r>
                  </m:e>
                </m:mr>
                <m:mr>
                  <m:e>
                    <m:r>
                      <m:t>0.000</m:t>
                    </m:r>
                  </m:e>
                  <m:e>
                    <m:r>
                      <m:t>0.255</m:t>
                    </m:r>
                  </m:e>
                  <m:e>
                    <m:r>
                      <m:t>0.745</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w:t>
      </w:r>
      <w:hyperlink w:anchor="tab:state-transition-matrix">
        <w:r>
          <w:rPr>
            <w:rStyle w:val="Hyperlink"/>
          </w:rPr>
          <w:t xml:space="preserve">10</w:t>
        </w:r>
      </w:hyperlink>
      <w:r>
        <w:rPr>
          <w:rFonts w:hint="eastAsia"/>
        </w:rPr>
        <w:t xml:space="preserve">。基础矩阵由</w:t>
      </w:r>
      <w:r>
        <w:t xml:space="preserve"> 2017–2025 </w:t>
      </w:r>
      <w:r>
        <w:rPr>
          <w:rFonts w:hint="eastAsia"/>
        </w:rPr>
        <w:t xml:space="preserve">年附件历史价格状态序列校准得到：维持状态是最常见的中间状态，升级状态具有较强惯性，缓和状态则容易回到维持状态。外部风险读数通过综合压力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150</m:t>
                  </m:r>
                </m:den>
              </m:f>
              <m:r>
                <m:rPr>
                  <m:sty m:val="p"/>
                </m:rPr>
                <m:t>,</m:t>
              </m:r>
              <m:r>
                <m:t>0.25</m:t>
              </m:r>
              <m:r>
                <m:rPr>
                  <m:sty m:val="p"/>
                </m:rPr>
                <m:t>,</m:t>
              </m:r>
              <m:r>
                <m:t>1</m:t>
              </m:r>
            </m:e>
          </m:d>
          <m:r>
            <m:rPr>
              <m:sty m:val="p"/>
            </m:rPr>
            <m:t>,</m:t>
          </m:r>
          <m:r>
            <m:t> </m:t>
          </m:r>
          <m:sSub>
            <m:e>
              <m:r>
                <m:t>r</m:t>
              </m:r>
            </m:e>
            <m:sub>
              <m:r>
                <m:t>t</m:t>
              </m:r>
            </m:sub>
          </m:sSub>
          <m:r>
            <m:rPr>
              <m:sty m:val="p"/>
            </m:rPr>
            <m:t>=</m:t>
          </m:r>
          <m:r>
            <m:t>0.75</m:t>
          </m:r>
          <m:r>
            <m:t>q</m:t>
          </m:r>
          <m:sSub>
            <m:e>
              <m:r>
                <m:t>d</m:t>
              </m:r>
            </m:e>
            <m:sub>
              <m:r>
                <m:t>t</m:t>
              </m:r>
            </m:sub>
          </m:sSub>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0.014</m:t>
          </m:r>
          <m:sSub>
            <m:e>
              <m:r>
                <m:t>r</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0.010</m:t>
          </m:r>
          <m:sSub>
            <m:e>
              <m:r>
                <m:t>r</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0.006</m:t>
        </m:r>
        <m:sSub>
          <m:e>
            <m:r>
              <m:t>r</m:t>
            </m:r>
          </m:e>
          <m:sub>
            <m:r>
              <m:t>t</m:t>
            </m:r>
          </m:sub>
        </m:sSub>
      </m:oMath>
      <w:r>
        <w:rPr>
          <w:rFonts w:hint="eastAsia"/>
        </w:rPr>
        <w:t xml:space="preserve">；若当前处于缓和状态，则维持列增加</w:t>
      </w:r>
      <w:r>
        <w:t xml:space="preserve"> </w:t>
      </w:r>
      <m:oMath>
        <m:r>
          <m:t>0.004</m:t>
        </m:r>
        <m:sSub>
          <m:e>
            <m:r>
              <m:t>r</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0.03、升级列下调</w:t>
      </w:r>
      <w:r>
        <w:t xml:space="preserve"> </w:t>
      </w:r>
      <w:r>
        <w:rPr>
          <w:rFonts w:hint="eastAsia"/>
        </w:rPr>
        <w:t xml:space="preserve">0.03；第</w:t>
      </w:r>
      <w:r>
        <w:t xml:space="preserve"> 150 </w:t>
      </w:r>
      <w:r>
        <w:rPr>
          <w:rFonts w:hint="eastAsia"/>
        </w:rPr>
        <w:t xml:space="preserve">天后，缓和列再上调</w:t>
      </w:r>
      <w:r>
        <w:t xml:space="preserve"> </w:t>
      </w:r>
      <w:r>
        <w:rPr>
          <w:rFonts w:hint="eastAsia"/>
        </w:rPr>
        <w:t xml:space="preserve">0.0225，维持列和升级列分别下调</w:t>
      </w:r>
      <w:r>
        <w:t xml:space="preserve"> 0.015 </w:t>
      </w:r>
      <w:r>
        <w:rPr>
          <w:rFonts w:hint="eastAsia"/>
        </w:rPr>
        <w:t xml:space="preserve">与</w:t>
      </w:r>
      <w:r>
        <w:t xml:space="preserve"> </w:t>
      </w:r>
      <w:r>
        <w:rPr>
          <w:rFonts w:hint="eastAsia"/>
        </w:rPr>
        <w:t xml:space="preserve">0.0075。所有行最后经非负裁剪和归一化处理。这一设定使状态转移既有历史价格行为校准，也受到市场隐含波动率和地缘风险读数的约束。</w:t>
      </w:r>
      <w:hyperlink w:anchor="tab:state-transition-snapshot">
        <w:r>
          <w:rPr>
            <w:rStyle w:val="Hyperlink"/>
          </w:rPr>
          <w:t xml:space="preserve">11</w:t>
        </w:r>
      </w:hyperlink>
      <w:r>
        <w:t xml:space="preserve"> </w:t>
      </w:r>
      <w:r>
        <w:rPr>
          <w:rFonts w:hint="eastAsia"/>
        </w:rPr>
        <w:t xml:space="preserve">给出从</w:t>
      </w:r>
      <w:r>
        <w:rPr>
          <w:rFonts w:hint="eastAsia"/>
        </w:rPr>
        <w:t xml:space="preserve">“维持”</w:t>
      </w:r>
      <w:r>
        <w:rPr>
          <w:rFonts w:hint="eastAsia"/>
        </w:rPr>
        <w:t xml:space="preserve">状态出发时的关键外推日概率快照。</w:t>
      </w:r>
    </w:p>
    <w:bookmarkStart w:id="126"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0.478</w:t>
            </w:r>
          </w:p>
        </w:tc>
        <w:tc>
          <w:tcPr/>
          <w:p>
            <w:pPr>
              <w:pStyle w:val="Compact"/>
              <w:jc w:val="right"/>
            </w:pPr>
            <w:r>
              <w:t xml:space="preserve">0.522</w:t>
            </w:r>
          </w:p>
        </w:tc>
        <w:tc>
          <w:tcPr/>
          <w:p>
            <w:pPr>
              <w:pStyle w:val="Compact"/>
              <w:jc w:val="right"/>
            </w:pPr>
            <w:r>
              <w:t xml:space="preserve">0.000</w:t>
            </w:r>
          </w:p>
        </w:tc>
      </w:tr>
      <w:tr>
        <w:tc>
          <w:tcPr/>
          <w:p>
            <w:pPr>
              <w:pStyle w:val="Compact"/>
              <w:jc w:val="left"/>
            </w:pPr>
            <w:r>
              <w:rPr>
                <w:rFonts w:hint="eastAsia"/>
              </w:rPr>
              <w:t xml:space="preserve">维持</w:t>
            </w:r>
          </w:p>
        </w:tc>
        <w:tc>
          <w:tcPr/>
          <w:p>
            <w:pPr>
              <w:pStyle w:val="Compact"/>
              <w:jc w:val="right"/>
            </w:pPr>
            <w:r>
              <w:t xml:space="preserve">0.065</w:t>
            </w:r>
          </w:p>
        </w:tc>
        <w:tc>
          <w:tcPr/>
          <w:p>
            <w:pPr>
              <w:pStyle w:val="Compact"/>
              <w:jc w:val="right"/>
            </w:pPr>
            <w:r>
              <w:t xml:space="preserve">0.880</w:t>
            </w:r>
          </w:p>
        </w:tc>
        <w:tc>
          <w:tcPr/>
          <w:p>
            <w:pPr>
              <w:pStyle w:val="Compact"/>
              <w:jc w:val="right"/>
            </w:pPr>
            <w:r>
              <w:t xml:space="preserve">0.055</w:t>
            </w:r>
          </w:p>
        </w:tc>
      </w:tr>
      <w:tr>
        <w:tc>
          <w:tcPr/>
          <w:p>
            <w:pPr>
              <w:pStyle w:val="Compact"/>
              <w:jc w:val="left"/>
            </w:pPr>
            <w:r>
              <w:rPr>
                <w:rFonts w:hint="eastAsia"/>
              </w:rPr>
              <w:t xml:space="preserve">升级</w:t>
            </w:r>
          </w:p>
        </w:tc>
        <w:tc>
          <w:tcPr/>
          <w:p>
            <w:pPr>
              <w:pStyle w:val="Compact"/>
              <w:jc w:val="right"/>
            </w:pPr>
            <w:r>
              <w:t xml:space="preserve">0.000</w:t>
            </w:r>
          </w:p>
        </w:tc>
        <w:tc>
          <w:tcPr/>
          <w:p>
            <w:pPr>
              <w:pStyle w:val="Compact"/>
              <w:jc w:val="right"/>
            </w:pPr>
            <w:r>
              <w:t xml:space="preserve">0.255</w:t>
            </w:r>
          </w:p>
        </w:tc>
        <w:tc>
          <w:tcPr/>
          <w:p>
            <w:pPr>
              <w:pStyle w:val="Compact"/>
              <w:jc w:val="right"/>
            </w:pPr>
            <w:r>
              <w:t xml:space="preserve">0.745</w:t>
            </w:r>
          </w:p>
        </w:tc>
      </w:tr>
    </w:tbl>
    <w:bookmarkEnd w:id="126"/>
    <w:bookmarkStart w:id="127" w:name="tab:state-transition-snapshot"/>
    <w:p>
      <w:pPr>
        <w:pStyle w:val="TableCaption"/>
      </w:pPr>
      <w:r>
        <w:rPr>
          <w:rFonts w:hint="eastAsia"/>
        </w:rPr>
        <w:t xml:space="preserve">长期状态转移时变矩阵快照：当前状态为</w:t>
      </w:r>
      <w:r>
        <w:rPr>
          <w:rFonts w:hint="eastAsia"/>
        </w:rPr>
        <w:t xml:space="preserve">“维持”</w:t>
      </w:r>
    </w:p>
    <w:tbl>
      <w:tblPr>
        <w:tblStyle w:val="Table"/>
        <w:tblW w:type="auto" w:w="0"/>
        <w:tblLook w:firstRow="1" w:lastRow="0" w:firstColumn="0" w:lastColumn="0" w:noHBand="0" w:noVBand="0" w:val="0020"/>
        <w:tblCaption w:val="长期状态转移时变矩阵快照：当前状态为“维持”"/>
      </w:tblPr>
      <w:tblGrid>
        <w:gridCol w:w="1980"/>
        <w:gridCol w:w="1980"/>
        <w:gridCol w:w="1980"/>
        <w:gridCol w:w="1980"/>
      </w:tblGrid>
      <w:tr>
        <w:trPr>
          <w:tblHeader w:val="on"/>
        </w:trPr>
        <w:tc>
          <w:tcPr/>
          <w:p>
            <w:pPr>
              <w:pStyle w:val="Compact"/>
              <w:jc w:val="right"/>
            </w:pPr>
            <w:r>
              <w:rPr>
                <w:rFonts w:hint="eastAsia"/>
              </w:rPr>
              <w:t xml:space="preserve">外推日</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right"/>
            </w:pPr>
            <w:r>
              <w:t xml:space="preserve">60</w:t>
            </w:r>
          </w:p>
        </w:tc>
        <w:tc>
          <w:tcPr/>
          <w:p>
            <w:pPr>
              <w:pStyle w:val="Compact"/>
              <w:jc w:val="right"/>
            </w:pPr>
            <w:r>
              <w:t xml:space="preserve">0.058</w:t>
            </w:r>
          </w:p>
        </w:tc>
        <w:tc>
          <w:tcPr/>
          <w:p>
            <w:pPr>
              <w:pStyle w:val="Compact"/>
              <w:jc w:val="right"/>
            </w:pPr>
            <w:r>
              <w:t xml:space="preserve">0.878</w:t>
            </w:r>
          </w:p>
        </w:tc>
        <w:tc>
          <w:tcPr/>
          <w:p>
            <w:pPr>
              <w:pStyle w:val="Compact"/>
              <w:jc w:val="right"/>
            </w:pPr>
            <w:r>
              <w:t xml:space="preserve">0.064</w:t>
            </w:r>
          </w:p>
        </w:tc>
      </w:tr>
      <w:tr>
        <w:tc>
          <w:tcPr/>
          <w:p>
            <w:pPr>
              <w:pStyle w:val="Compact"/>
              <w:jc w:val="right"/>
            </w:pPr>
            <w:r>
              <w:t xml:space="preserve">90</w:t>
            </w:r>
          </w:p>
        </w:tc>
        <w:tc>
          <w:tcPr/>
          <w:p>
            <w:pPr>
              <w:pStyle w:val="Compact"/>
              <w:jc w:val="right"/>
            </w:pPr>
            <w:r>
              <w:t xml:space="preserve">0.059</w:t>
            </w:r>
          </w:p>
        </w:tc>
        <w:tc>
          <w:tcPr/>
          <w:p>
            <w:pPr>
              <w:pStyle w:val="Compact"/>
              <w:jc w:val="right"/>
            </w:pPr>
            <w:r>
              <w:t xml:space="preserve">0.878</w:t>
            </w:r>
          </w:p>
        </w:tc>
        <w:tc>
          <w:tcPr/>
          <w:p>
            <w:pPr>
              <w:pStyle w:val="Compact"/>
              <w:jc w:val="right"/>
            </w:pPr>
            <w:r>
              <w:t xml:space="preserve">0.062</w:t>
            </w:r>
          </w:p>
        </w:tc>
      </w:tr>
      <w:tr>
        <w:tc>
          <w:tcPr/>
          <w:p>
            <w:pPr>
              <w:pStyle w:val="Compact"/>
              <w:jc w:val="right"/>
            </w:pPr>
            <w:r>
              <w:t xml:space="preserve">120</w:t>
            </w:r>
          </w:p>
        </w:tc>
        <w:tc>
          <w:tcPr/>
          <w:p>
            <w:pPr>
              <w:pStyle w:val="Compact"/>
              <w:jc w:val="right"/>
            </w:pPr>
            <w:r>
              <w:t xml:space="preserve">0.091</w:t>
            </w:r>
          </w:p>
        </w:tc>
        <w:tc>
          <w:tcPr/>
          <w:p>
            <w:pPr>
              <w:pStyle w:val="Compact"/>
              <w:jc w:val="right"/>
            </w:pPr>
            <w:r>
              <w:t xml:space="preserve">0.879</w:t>
            </w:r>
          </w:p>
        </w:tc>
        <w:tc>
          <w:tcPr/>
          <w:p>
            <w:pPr>
              <w:pStyle w:val="Compact"/>
              <w:jc w:val="right"/>
            </w:pPr>
            <w:r>
              <w:t xml:space="preserve">0.031</w:t>
            </w:r>
          </w:p>
        </w:tc>
      </w:tr>
      <w:tr>
        <w:tc>
          <w:tcPr/>
          <w:p>
            <w:pPr>
              <w:pStyle w:val="Compact"/>
              <w:jc w:val="right"/>
            </w:pPr>
            <w:r>
              <w:t xml:space="preserve">150</w:t>
            </w:r>
          </w:p>
        </w:tc>
        <w:tc>
          <w:tcPr/>
          <w:p>
            <w:pPr>
              <w:pStyle w:val="Compact"/>
              <w:jc w:val="right"/>
            </w:pPr>
            <w:r>
              <w:t xml:space="preserve">0.114</w:t>
            </w:r>
          </w:p>
        </w:tc>
        <w:tc>
          <w:tcPr/>
          <w:p>
            <w:pPr>
              <w:pStyle w:val="Compact"/>
              <w:jc w:val="right"/>
            </w:pPr>
            <w:r>
              <w:t xml:space="preserve">0.864</w:t>
            </w:r>
          </w:p>
        </w:tc>
        <w:tc>
          <w:tcPr/>
          <w:p>
            <w:pPr>
              <w:pStyle w:val="Compact"/>
              <w:jc w:val="right"/>
            </w:pPr>
            <w:r>
              <w:t xml:space="preserve">0.021</w:t>
            </w:r>
          </w:p>
        </w:tc>
      </w:tr>
      <w:tr>
        <w:tc>
          <w:tcPr/>
          <w:p>
            <w:pPr>
              <w:pStyle w:val="Compact"/>
              <w:jc w:val="right"/>
            </w:pPr>
            <w:r>
              <w:t xml:space="preserve">180</w:t>
            </w:r>
          </w:p>
        </w:tc>
        <w:tc>
          <w:tcPr/>
          <w:p>
            <w:pPr>
              <w:pStyle w:val="Compact"/>
              <w:jc w:val="right"/>
            </w:pPr>
            <w:r>
              <w:t xml:space="preserve">0.115</w:t>
            </w:r>
          </w:p>
        </w:tc>
        <w:tc>
          <w:tcPr/>
          <w:p>
            <w:pPr>
              <w:pStyle w:val="Compact"/>
              <w:jc w:val="right"/>
            </w:pPr>
            <w:r>
              <w:t xml:space="preserve">0.865</w:t>
            </w:r>
          </w:p>
        </w:tc>
        <w:tc>
          <w:tcPr/>
          <w:p>
            <w:pPr>
              <w:pStyle w:val="Compact"/>
              <w:jc w:val="right"/>
            </w:pPr>
            <w:r>
              <w:t xml:space="preserve">0.020</w:t>
            </w:r>
          </w:p>
        </w:tc>
      </w:tr>
    </w:tbl>
    <w:bookmarkEnd w:id="127"/>
    <w:p>
      <w:pPr>
        <w:pStyle w:val="BodyText"/>
      </w:pPr>
      <w:hyperlink w:anchor="tab:state-transition-snapshot">
        <w:r>
          <w:rPr>
            <w:rStyle w:val="Hyperlink"/>
          </w:rPr>
          <w:t xml:space="preserve">11</w:t>
        </w:r>
      </w:hyperlink>
      <w:r>
        <w:t xml:space="preserve"> </w:t>
      </w:r>
      <w:r>
        <w:rPr>
          <w:rFonts w:hint="eastAsia"/>
        </w:rPr>
        <w:t xml:space="preserve">显示，在</w:t>
      </w:r>
      <w:r>
        <w:t xml:space="preserve"> OVX </w:t>
      </w:r>
      <w:r>
        <w:rPr>
          <w:rFonts w:hint="eastAsia"/>
        </w:rPr>
        <w:t xml:space="preserve">和</w:t>
      </w:r>
      <w:r>
        <w:t xml:space="preserve"> GPR </w:t>
      </w:r>
      <w:r>
        <w:rPr>
          <w:rFonts w:hint="eastAsia"/>
        </w:rPr>
        <w:t xml:space="preserve">风险读数约束下，早期仍保留一定升级概率；随着政策缓冲、绕道运输和需求调整逐步被市场观察到，升级概率下降，缓和概率上升。因此，状态转移模型并不是把长期价格强行拉成随机噪声，而是在三情景中心路径之上加入</w:t>
      </w:r>
      <w:r>
        <w:rPr>
          <w:rFonts w:hint="eastAsia"/>
        </w:rPr>
        <w:t xml:space="preserve">“早期尾部风险更高、后期逐步消化”</w:t>
      </w:r>
      <w:r>
        <w:rPr>
          <w:rFonts w:hint="eastAsia"/>
        </w:rPr>
        <w:t xml:space="preserve">的事件状态结构。</w:t>
      </w:r>
    </w:p>
    <w:bookmarkStart w:id="128" w:name="tab:state-risk-ablation"/>
    <w:p>
      <w:pPr>
        <w:pStyle w:val="TableCaption"/>
      </w:pPr>
      <w:r>
        <w:t xml:space="preserve">GPR/OVX </w:t>
      </w:r>
      <w:r>
        <w:rPr>
          <w:rFonts w:hint="eastAsia"/>
        </w:rPr>
        <w:t xml:space="preserve">风险约束消融结果</w:t>
      </w:r>
    </w:p>
    <w:tbl>
      <w:tblPr>
        <w:tblStyle w:val="Table"/>
        <w:tblW w:type="auto" w:w="0"/>
        <w:tblLook w:firstRow="1" w:lastRow="0" w:firstColumn="0" w:lastColumn="0" w:noHBand="0" w:noVBand="0" w:val="0020"/>
        <w:tblCaption w:val="GPR/OVX 风险约束消融结果"/>
      </w:tblPr>
      <w:tblGrid>
        <w:gridCol w:w="1584"/>
        <w:gridCol w:w="1584"/>
        <w:gridCol w:w="1584"/>
        <w:gridCol w:w="1584"/>
        <w:gridCol w:w="1584"/>
      </w:tblGrid>
      <w:tr>
        <w:trPr>
          <w:tblHeader w:val="on"/>
        </w:trPr>
        <w:tc>
          <w:tcPr/>
          <w:p>
            <w:pPr>
              <w:pStyle w:val="Compact"/>
              <w:jc w:val="left"/>
            </w:pPr>
            <w:r>
              <w:rPr>
                <w:rFonts w:hint="eastAsia"/>
              </w:rPr>
              <w:t xml:space="preserve">模型设定</w:t>
            </w:r>
          </w:p>
        </w:tc>
        <w:tc>
          <w:tcPr/>
          <w:p>
            <w:pPr>
              <w:pStyle w:val="Compact"/>
              <w:jc w:val="right"/>
            </w:pPr>
            <w:r>
              <w:rPr>
                <w:rFonts w:hint="eastAsia"/>
              </w:rPr>
              <w:t xml:space="preserve">突破</w:t>
            </w:r>
            <w:r>
              <w:t xml:space="preserve"> 120 </w:t>
            </w:r>
            <w:r>
              <w:rPr>
                <w:rFonts w:hint="eastAsia"/>
              </w:rPr>
              <w:t xml:space="preserve">概率</w:t>
            </w:r>
          </w:p>
        </w:tc>
        <w:tc>
          <w:tcPr/>
          <w:p>
            <w:pPr>
              <w:pStyle w:val="Compact"/>
              <w:jc w:val="right"/>
            </w:pPr>
            <w:r>
              <w:rPr>
                <w:rFonts w:hint="eastAsia"/>
              </w:rPr>
              <w:t xml:space="preserve">突破</w:t>
            </w:r>
            <w:r>
              <w:t xml:space="preserve"> 130 </w:t>
            </w:r>
            <w:r>
              <w:rPr>
                <w:rFonts w:hint="eastAsia"/>
              </w:rPr>
              <w:t xml:space="preserve">概率</w:t>
            </w:r>
          </w:p>
        </w:tc>
        <w:tc>
          <w:tcPr/>
          <w:p>
            <w:pPr>
              <w:pStyle w:val="Compact"/>
              <w:jc w:val="right"/>
            </w:pPr>
            <w:r>
              <w:rPr>
                <w:rFonts w:hint="eastAsia"/>
              </w:rPr>
              <w:t xml:space="preserve">最高价</w:t>
            </w:r>
            <w:r>
              <w:t xml:space="preserve"> P95</w:t>
            </w:r>
          </w:p>
        </w:tc>
        <w:tc>
          <w:tcPr/>
          <w:p>
            <w:pPr>
              <w:pStyle w:val="Compact"/>
              <w:jc w:val="right"/>
            </w:pPr>
            <w:r>
              <w:rPr>
                <w:rFonts w:hint="eastAsia"/>
              </w:rPr>
              <w:t xml:space="preserve">第</w:t>
            </w:r>
            <w:r>
              <w:t xml:space="preserve"> 180 </w:t>
            </w:r>
            <w:r>
              <w:rPr>
                <w:rFonts w:hint="eastAsia"/>
              </w:rPr>
              <w:t xml:space="preserve">天</w:t>
            </w:r>
            <w:r>
              <w:t xml:space="preserve"> P95</w:t>
            </w:r>
          </w:p>
        </w:tc>
      </w:tr>
      <w:tr>
        <w:tc>
          <w:tcPr/>
          <w:p>
            <w:pPr>
              <w:pStyle w:val="Compact"/>
              <w:jc w:val="left"/>
            </w:pPr>
            <w:r>
              <w:rPr>
                <w:rFonts w:hint="eastAsia"/>
              </w:rPr>
              <w:t xml:space="preserve">历史基础矩阵</w:t>
            </w:r>
          </w:p>
        </w:tc>
        <w:tc>
          <w:tcPr/>
          <w:p>
            <w:pPr>
              <w:pStyle w:val="Compact"/>
              <w:jc w:val="right"/>
            </w:pPr>
            <w:r>
              <w:t xml:space="preserve">42.7%</w:t>
            </w:r>
          </w:p>
        </w:tc>
        <w:tc>
          <w:tcPr/>
          <w:p>
            <w:pPr>
              <w:pStyle w:val="Compact"/>
              <w:jc w:val="right"/>
            </w:pPr>
            <w:r>
              <w:t xml:space="preserve">4.1%</w:t>
            </w:r>
          </w:p>
        </w:tc>
        <w:tc>
          <w:tcPr/>
          <w:p>
            <w:pPr>
              <w:pStyle w:val="Compact"/>
              <w:jc w:val="right"/>
            </w:pPr>
            <w:r>
              <w:t xml:space="preserve">129.46</w:t>
            </w:r>
          </w:p>
        </w:tc>
        <w:tc>
          <w:tcPr/>
          <w:p>
            <w:pPr>
              <w:pStyle w:val="Compact"/>
              <w:jc w:val="right"/>
            </w:pPr>
            <w:r>
              <w:t xml:space="preserve">97.62</w:t>
            </w:r>
          </w:p>
        </w:tc>
      </w:tr>
      <w:tr>
        <w:tc>
          <w:tcPr/>
          <w:p>
            <w:pPr>
              <w:pStyle w:val="Compact"/>
              <w:jc w:val="left"/>
            </w:pPr>
            <w:r>
              <w:rPr>
                <w:rFonts w:hint="eastAsia"/>
              </w:rPr>
              <w:t xml:space="preserve">历史基础矩阵</w:t>
            </w:r>
            <w:r>
              <w:t xml:space="preserve"> + GPR/OVX </w:t>
            </w:r>
            <w:r>
              <w:rPr>
                <w:rFonts w:hint="eastAsia"/>
              </w:rPr>
              <w:t xml:space="preserve">风险约束</w:t>
            </w:r>
          </w:p>
        </w:tc>
        <w:tc>
          <w:tcPr/>
          <w:p>
            <w:pPr>
              <w:pStyle w:val="Compact"/>
              <w:jc w:val="right"/>
            </w:pPr>
            <w:r>
              <w:t xml:space="preserve">49.4%</w:t>
            </w:r>
          </w:p>
        </w:tc>
        <w:tc>
          <w:tcPr/>
          <w:p>
            <w:pPr>
              <w:pStyle w:val="Compact"/>
              <w:jc w:val="right"/>
            </w:pPr>
            <w:r>
              <w:t xml:space="preserve">5.7%</w:t>
            </w:r>
          </w:p>
        </w:tc>
        <w:tc>
          <w:tcPr/>
          <w:p>
            <w:pPr>
              <w:pStyle w:val="Compact"/>
              <w:jc w:val="right"/>
            </w:pPr>
            <w:r>
              <w:t xml:space="preserve">130.41</w:t>
            </w:r>
          </w:p>
        </w:tc>
        <w:tc>
          <w:tcPr/>
          <w:p>
            <w:pPr>
              <w:pStyle w:val="Compact"/>
              <w:jc w:val="right"/>
            </w:pPr>
            <w:r>
              <w:t xml:space="preserve">98.29</w:t>
            </w:r>
          </w:p>
        </w:tc>
      </w:tr>
    </w:tbl>
    <w:bookmarkEnd w:id="128"/>
    <w:p>
      <w:pPr>
        <w:pStyle w:val="BodyText"/>
      </w:pPr>
      <w:hyperlink w:anchor="tab:state-risk-ablation">
        <w:r>
          <w:rPr>
            <w:rStyle w:val="Hyperlink"/>
          </w:rPr>
          <w:t xml:space="preserve">12</w:t>
        </w:r>
      </w:hyperlink>
      <w:r>
        <w:t xml:space="preserve"> </w:t>
      </w:r>
      <w:r>
        <w:rPr>
          <w:rFonts w:hint="eastAsia"/>
        </w:rPr>
        <w:t xml:space="preserve">进一步说明，GPR/OVX</w:t>
      </w:r>
      <w:r>
        <w:t xml:space="preserve"> </w:t>
      </w:r>
      <w:r>
        <w:rPr>
          <w:rFonts w:hint="eastAsia"/>
        </w:rPr>
        <w:t xml:space="preserve">风险约束主要抬升尾部突破概率和外推期最高价分位，对第</w:t>
      </w:r>
      <w:r>
        <w:t xml:space="preserve"> 180 </w:t>
      </w:r>
      <w:r>
        <w:rPr>
          <w:rFonts w:hint="eastAsia"/>
        </w:rPr>
        <w:t xml:space="preserve">天中心附近价格影响较小。这符合二者的经济含义：GPR</w:t>
      </w:r>
      <w:r>
        <w:t xml:space="preserve"> </w:t>
      </w:r>
      <w:r>
        <w:rPr>
          <w:rFonts w:hint="eastAsia"/>
        </w:rPr>
        <w:t xml:space="preserve">和</w:t>
      </w:r>
      <w:r>
        <w:t xml:space="preserve"> OVX </w:t>
      </w:r>
      <w:r>
        <w:rPr>
          <w:rFonts w:hint="eastAsia"/>
        </w:rPr>
        <w:t xml:space="preserve">更接近地缘风险与市场隐含波动率变量，适合约束状态切换和尾部风险，而不应被解释为短期方向价格预测器。</w:t>
      </w:r>
    </w:p>
    <w:bookmarkStart w:id="132" w:name="fig:state-transition-fan"/>
    <w:p>
      <w:pPr>
        <w:pStyle w:val="CaptionedFigure"/>
      </w:pPr>
      <w:r>
        <w:drawing>
          <wp:inline>
            <wp:extent cx="5013960" cy="3654242"/>
            <wp:effectExtent b="0" l="0" r="0" t="0"/>
            <wp:docPr descr="" title="" id="130" name="Picture"/>
            <a:graphic>
              <a:graphicData uri="http://schemas.openxmlformats.org/drawingml/2006/picture">
                <pic:pic>
                  <pic:nvPicPr>
                    <pic:cNvPr descr="长期状态转移情景树.png" id="131" name="Picture"/>
                    <pic:cNvPicPr>
                      <a:picLocks noChangeArrowheads="1" noChangeAspect="1"/>
                    </pic:cNvPicPr>
                  </pic:nvPicPr>
                  <pic:blipFill>
                    <a:blip r:embed="rId129"/>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w:t>
      </w:r>
    </w:p>
    <w:bookmarkEnd w:id="132"/>
    <w:p>
      <w:pPr>
        <w:pStyle w:val="BodyText"/>
      </w:pPr>
      <w:r>
        <w:rPr>
          <w:rFonts w:hint="eastAsia"/>
        </w:rPr>
        <w:t xml:space="preserve">结果显示，中性情景下价格在</w:t>
      </w:r>
      <w:r>
        <w:t xml:space="preserve"> 180 </w:t>
      </w:r>
      <w:r>
        <w:rPr>
          <w:rFonts w:hint="eastAsia"/>
        </w:rPr>
        <w:t xml:space="preserve">天附近回落至约</w:t>
      </w:r>
      <w:r>
        <w:t xml:space="preserve"> 91.37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131.85 </w:t>
      </w:r>
      <w:r>
        <w:rPr>
          <w:rFonts w:hint="eastAsia"/>
        </w:rPr>
        <w:t xml:space="preserve">美元/桶的高点。</w:t>
      </w:r>
      <w:hyperlink w:anchor="fig:state-transition-fan">
        <w:r>
          <w:rPr>
            <w:rStyle w:val="Hyperlink"/>
          </w:rPr>
          <w:t xml:space="preserve">8</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87.17–98.29 </w:t>
      </w:r>
      <w:r>
        <w:rPr>
          <w:rFonts w:hint="eastAsia"/>
        </w:rPr>
        <w:t xml:space="preserve">美元/桶，外推期最高价</w:t>
      </w:r>
      <w:r>
        <w:t xml:space="preserve"> P95 </w:t>
      </w:r>
      <w:r>
        <w:rPr>
          <w:rFonts w:hint="eastAsia"/>
        </w:rPr>
        <w:t xml:space="preserve">为</w:t>
      </w:r>
      <w:r>
        <w:t xml:space="preserve"> 130.41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49.4%，说明长期结果应重点关注尾部区间和状态切换风险。</w:t>
      </w:r>
    </w:p>
    <w:p>
      <w:pPr>
        <w:pStyle w:val="TableCaption"/>
      </w:pPr>
      <w:r>
        <w:rPr>
          <w:rFonts w:hint="eastAsia"/>
        </w:rPr>
        <w:t xml:space="preserve">中长期油价调节模型的可信度评价框架</w:t>
      </w:r>
    </w:p>
    <w:tbl>
      <w:tblPr>
        <w:tblStyle w:val="Table"/>
        <w:tblW w:type="auto" w:w="0"/>
        <w:tblLook w:firstRow="1" w:lastRow="0" w:firstColumn="0" w:lastColumn="0" w:noHBand="0" w:noVBand="0" w:val="0020"/>
        <w:tblCaption w:val="中长期油价调节模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rPr>
                <w:rFonts w:hint="eastAsia"/>
              </w:rPr>
              <w:t xml:space="preserve">用于数量级和风险约束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87.17–98.29 </w:t>
            </w:r>
            <w:r>
              <w:rPr>
                <w:rFonts w:hint="eastAsia"/>
              </w:rPr>
              <w:t xml:space="preserve">美元/桶，外推期最高价</w:t>
            </w:r>
            <w:r>
              <w:t xml:space="preserve"> P95 </w:t>
            </w:r>
            <w:r>
              <w:rPr>
                <w:rFonts w:hint="eastAsia"/>
              </w:rPr>
              <w:t xml:space="preserve">为</w:t>
            </w:r>
            <w:r>
              <w:t xml:space="preserve"> 130.41 </w:t>
            </w:r>
            <w:r>
              <w:rPr>
                <w:rFonts w:hint="eastAsia"/>
              </w:rPr>
              <w:t xml:space="preserve">美元/桶，突破</w:t>
            </w:r>
            <w:r>
              <w:t xml:space="preserve"> 120 </w:t>
            </w:r>
            <w:r>
              <w:rPr>
                <w:rFonts w:hint="eastAsia"/>
              </w:rPr>
              <w:t xml:space="preserve">概率约</w:t>
            </w:r>
            <w:r>
              <w:t xml:space="preserve"> 49.4%</w:t>
            </w:r>
          </w:p>
        </w:tc>
        <w:tc>
          <w:tcPr/>
          <w:p>
            <w:pPr>
              <w:pStyle w:val="Compact"/>
              <w:jc w:val="left"/>
            </w:pPr>
            <w:r>
              <w:rPr>
                <w:rFonts w:hint="eastAsia"/>
              </w:rPr>
              <w:t xml:space="preserve">用于解释平滑中心线之外的事件状态切换和短期扰动</w:t>
            </w:r>
          </w:p>
        </w:tc>
      </w:tr>
    </w:tbl>
    <w:p>
      <w:pPr>
        <w:pStyle w:val="BodyText"/>
      </w:pPr>
      <w:r>
        <w:rPr>
          <w:rFonts w:hint="eastAsia"/>
        </w:rPr>
        <w:t xml:space="preserve">从价格平衡点看，乐观情景最终回落至约</w:t>
      </w:r>
      <w:r>
        <w:t xml:space="preserve"> 86.40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91.37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107.89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91.37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34" name="Picture"/>
            <a:graphic>
              <a:graphicData uri="http://schemas.openxmlformats.org/drawingml/2006/picture">
                <pic:pic>
                  <pic:nvPicPr>
                    <pic:cNvPr descr="库存与供需缺口风险.png" id="135" name="Picture"/>
                    <pic:cNvPicPr>
                      <a:picLocks noChangeArrowheads="1" noChangeAspect="1"/>
                    </pic:cNvPicPr>
                  </pic:nvPicPr>
                  <pic:blipFill>
                    <a:blip r:embed="rId133"/>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w:t>
      </w:r>
    </w:p>
    <w:bookmarkEnd w:id="136"/>
    <w:bookmarkEnd w:id="137"/>
    <w:bookmarkStart w:id="181" w:name="敏感性分析"/>
    <w:p>
      <w:pPr>
        <w:pStyle w:val="Heading1"/>
      </w:pPr>
      <w:r>
        <w:rPr>
          <w:rFonts w:hint="eastAsia"/>
        </w:rPr>
        <w:t xml:space="preserve">敏感性分析</w:t>
      </w:r>
    </w:p>
    <w:bookmarkStart w:id="138"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w:t>
      </w:r>
    </w:p>
    <w:p>
      <w:pPr>
        <w:pStyle w:val="BodyText"/>
      </w:pPr>
      <w:r>
        <w:rPr>
          <w:rFonts w:hint="eastAsia"/>
        </w:rPr>
        <w:t xml:space="preserve">设参数</w:t>
      </w:r>
      <w:r>
        <w:t xml:space="preserve"> </w:t>
      </w:r>
      <m:oMath>
        <m:sSub>
          <m:e>
            <m:r>
              <m:t>θ</m:t>
            </m:r>
          </m:e>
          <m:sub>
            <m:r>
              <m:t>j</m:t>
            </m:r>
          </m:sub>
        </m:sSub>
      </m:oMath>
      <w:r>
        <w:t xml:space="preserve"> </w:t>
      </w:r>
      <w:r>
        <w:rPr>
          <w:rFonts w:hint="eastAsia"/>
        </w:rPr>
        <w:t xml:space="preserve">在扰动集合</w:t>
      </w:r>
      <w:r>
        <w:t xml:space="preserve"> </w:t>
      </w:r>
      <m:oMath>
        <m:sSub>
          <m:e>
            <m:r>
              <m:rPr>
                <m:sty m:val="p"/>
              </m:rPr>
              <m:t>Ω</m:t>
            </m:r>
          </m:e>
          <m:sub>
            <m:r>
              <m:t>j</m:t>
            </m:r>
          </m:sub>
        </m:sSub>
        <m:r>
          <m:rPr>
            <m:sty m:val="p"/>
          </m:rPr>
          <m:t>=</m:t>
        </m:r>
        <m:r>
          <m:rPr>
            <m:sty m:val="p"/>
          </m:rPr>
          <m:t>{</m:t>
        </m:r>
        <m:sSubSup>
          <m:e>
            <m:r>
              <m:t>θ</m:t>
            </m:r>
          </m:e>
          <m:sub>
            <m:r>
              <m:t>j</m:t>
            </m:r>
          </m:sub>
          <m:sup>
            <m:r>
              <m:rPr>
                <m:sty m:val="p"/>
              </m:rPr>
              <m:t>(</m:t>
            </m:r>
            <m:r>
              <m:t>1</m:t>
            </m:r>
            <m:r>
              <m:rPr>
                <m:sty m:val="p"/>
              </m:rPr>
              <m:t>)</m:t>
            </m:r>
          </m:sup>
        </m:sSubSup>
        <m:r>
          <m:rPr>
            <m:sty m:val="p"/>
          </m:rPr>
          <m:t>,</m:t>
        </m:r>
        <m:r>
          <m:rPr>
            <m:sty m:val="p"/>
          </m:rPr>
          <m:t>…</m:t>
        </m:r>
        <m:r>
          <m:rPr>
            <m:sty m:val="p"/>
          </m:rPr>
          <m:t>,</m:t>
        </m:r>
        <m:sSubSup>
          <m:e>
            <m:r>
              <m:t>θ</m:t>
            </m:r>
          </m:e>
          <m:sub>
            <m:r>
              <m:t>j</m:t>
            </m:r>
          </m:sub>
          <m:sup>
            <m:r>
              <m:rPr>
                <m:sty m:val="p"/>
              </m:rPr>
              <m:t>(</m:t>
            </m:r>
            <m:r>
              <m:t>m</m:t>
            </m:r>
            <m:r>
              <m:rPr>
                <m:sty m:val="p"/>
              </m:rPr>
              <m:t>)</m:t>
            </m:r>
          </m:sup>
        </m:sSubSup>
        <m:r>
          <m:rPr>
            <m:sty m:val="p"/>
          </m:rPr>
          <m:t>}</m:t>
        </m:r>
      </m:oMath>
      <w:r>
        <w:t xml:space="preserve"> </w:t>
      </w:r>
      <w:r>
        <w:rPr>
          <w:rFonts w:hint="eastAsia"/>
        </w:rPr>
        <w:t xml:space="preserve">上取值，其他参数固定为中性情景。记由长期递推模型得到的第</w:t>
      </w:r>
      <w:r>
        <w:t xml:space="preserve"> 180 </w:t>
      </w:r>
      <w:r>
        <w:rPr>
          <w:rFonts w:hint="eastAsia"/>
        </w:rPr>
        <w:t xml:space="preserve">天价格、外推期最高价和第</w:t>
      </w:r>
      <w:r>
        <w:t xml:space="preserve"> 180 </w:t>
      </w:r>
      <w:r>
        <w:rPr>
          <w:rFonts w:hint="eastAsia"/>
        </w:rPr>
        <w:t xml:space="preserve">天剩余缺口分别为</w:t>
      </w:r>
      <w:r>
        <w:t xml:space="preserve"> </w:t>
      </w:r>
      <m:oMath>
        <m:sSub>
          <m:e>
            <m:r>
              <m:t>P</m:t>
            </m:r>
          </m:e>
          <m:sub>
            <m:r>
              <m:t>180</m:t>
            </m:r>
          </m:sub>
        </m:sSub>
        <m:r>
          <m:rPr>
            <m:sty m:val="p"/>
          </m:rPr>
          <m:t>(</m:t>
        </m:r>
        <m:sSubSup>
          <m:e>
            <m:r>
              <m:t>θ</m:t>
            </m:r>
          </m:e>
          <m:sub>
            <m:r>
              <m:t>j</m:t>
            </m:r>
          </m:sub>
          <m:sup>
            <m:r>
              <m:rPr>
                <m:sty m:val="p"/>
              </m:rPr>
              <m:t>(</m:t>
            </m:r>
            <m:r>
              <m:t>r</m:t>
            </m:r>
            <m:r>
              <m:rPr>
                <m:sty m:val="p"/>
              </m:rPr>
              <m:t>)</m:t>
            </m:r>
          </m:sup>
        </m:sSubSup>
        <m:r>
          <m:rPr>
            <m:sty m:val="p"/>
          </m:rPr>
          <m:t>)</m:t>
        </m:r>
      </m:oMath>
      <w:r>
        <w:t xml:space="preserve">、</w:t>
      </w:r>
      <m:oMath>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oMath>
      <w:r>
        <w:t xml:space="preserve"> </w:t>
      </w:r>
      <w:r>
        <w:rPr>
          <w:rFonts w:hint="eastAsia"/>
        </w:rPr>
        <w:t xml:space="preserve">和</w:t>
      </w:r>
      <w:r>
        <w:t xml:space="preserve"> </w:t>
      </w:r>
      <m:oMath>
        <m:sSub>
          <m:e>
            <m:r>
              <m:t>G</m:t>
            </m:r>
          </m:e>
          <m:sub>
            <m:r>
              <m:t>180</m:t>
            </m:r>
          </m:sub>
        </m:sSub>
        <m:r>
          <m:rPr>
            <m:sty m:val="p"/>
          </m:rPr>
          <m:t>(</m:t>
        </m:r>
        <m:sSubSup>
          <m:e>
            <m:r>
              <m:t>θ</m:t>
            </m:r>
          </m:e>
          <m:sub>
            <m:r>
              <m:t>j</m:t>
            </m:r>
          </m:sub>
          <m:sup>
            <m:r>
              <m:rPr>
                <m:sty m:val="p"/>
              </m:rPr>
              <m:t>(</m:t>
            </m:r>
            <m:r>
              <m:t>r</m:t>
            </m:r>
            <m:r>
              <m:rPr>
                <m:sty m:val="p"/>
              </m:rPr>
              <m:t>)</m:t>
            </m:r>
          </m:sup>
        </m:sSubSup>
        <m:r>
          <m:rPr>
            <m:sty m:val="p"/>
          </m:rPr>
          <m:t>)</m:t>
        </m:r>
      </m:oMath>
      <w:r>
        <w:rPr>
          <w:rFonts w:hint="eastAsia"/>
        </w:rPr>
        <w:t xml:space="preserve">，则三类响应幅度定义为</w:t>
      </w:r>
    </w:p>
    <w:p>
      <w:pPr>
        <w:pStyle w:val="BodyText"/>
      </w:pPr>
      <m:oMathPara>
        <m:oMathParaPr>
          <m:jc m:val="center"/>
        </m:oMathParaPr>
        <m:oMath>
          <m:eqArr>
            <m:e>
              <m:r>
                <m:rPr>
                  <m:sty m:val="p"/>
                </m:rPr>
                <m:t>Δ</m:t>
              </m:r>
              <m:sSubSup>
                <m:e>
                  <m:r>
                    <m:t>P</m:t>
                  </m:r>
                </m:e>
                <m:sub>
                  <m:r>
                    <m:t>180</m:t>
                  </m:r>
                </m:sub>
                <m:sup>
                  <m:r>
                    <m:rPr>
                      <m:sty m:val="p"/>
                    </m:rPr>
                    <m:t>(</m:t>
                  </m:r>
                  <m:r>
                    <m:t>j</m:t>
                  </m:r>
                  <m:r>
                    <m:rPr>
                      <m:sty m:val="p"/>
                    </m:rPr>
                    <m:t>)</m:t>
                  </m:r>
                </m:sup>
              </m:sSubSup>
              <m:r>
                <m:t>&amp;</m:t>
              </m:r>
              <m:r>
                <m:rPr>
                  <m:sty m:val="p"/>
                </m:rPr>
                <m:t>=</m:t>
              </m:r>
              <m:limLow>
                <m:e>
                  <m:r>
                    <m:rPr>
                      <m:sty m:val="p"/>
                    </m:rPr>
                    <m:t>max</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P</m:t>
                  </m:r>
                </m:e>
                <m:sub>
                  <m:r>
                    <m:rPr>
                      <m:sty m:val="p"/>
                    </m:rPr>
                    <m:t>max</m:t>
                  </m:r>
                </m:sub>
                <m:sup>
                  <m:r>
                    <m:rPr>
                      <m:sty m:val="p"/>
                    </m:rPr>
                    <m:t>(</m:t>
                  </m:r>
                  <m:r>
                    <m:t>j</m:t>
                  </m:r>
                  <m:r>
                    <m:rPr>
                      <m:sty m:val="p"/>
                    </m:rPr>
                    <m:t>)</m:t>
                  </m:r>
                </m:sup>
              </m:sSubSup>
              <m:r>
                <m:t>&amp;</m:t>
              </m:r>
              <m:r>
                <m:rPr>
                  <m:sty m:val="p"/>
                </m:rPr>
                <m:t>=</m:t>
              </m:r>
              <m:limLow>
                <m:e>
                  <m:r>
                    <m:rPr>
                      <m:sty m:val="p"/>
                    </m:rPr>
                    <m:t>max</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G</m:t>
                  </m:r>
                </m:e>
                <m:sub>
                  <m:r>
                    <m:t>180</m:t>
                  </m:r>
                </m:sub>
                <m:sup>
                  <m:r>
                    <m:rPr>
                      <m:sty m:val="p"/>
                    </m:rPr>
                    <m:t>(</m:t>
                  </m:r>
                  <m:r>
                    <m:t>j</m:t>
                  </m:r>
                  <m:r>
                    <m:rPr>
                      <m:sty m:val="p"/>
                    </m:rPr>
                    <m:t>)</m:t>
                  </m:r>
                </m:sup>
              </m:sSubSup>
              <m:r>
                <m:t>&amp;</m:t>
              </m:r>
              <m:r>
                <m:rPr>
                  <m:sty m:val="p"/>
                </m:rPr>
                <m:t>=</m:t>
              </m:r>
              <m:limLow>
                <m:e>
                  <m:r>
                    <m:rPr>
                      <m:sty m:val="p"/>
                    </m:rPr>
                    <m:t>max</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qArr>
        </m:oMath>
      </m:oMathPara>
    </w:p>
    <w:p>
      <w:pPr>
        <w:pStyle w:val="FirstParagraph"/>
      </w:pPr>
      <w:r>
        <w:rPr>
          <w:rFonts w:hint="eastAsia"/>
        </w:rPr>
        <w:t xml:space="preserve">综合敏感度定义为</w:t>
      </w:r>
    </w:p>
    <w:p>
      <w:pPr>
        <w:pStyle w:val="BodyText"/>
      </w:pPr>
      <m:oMathPara>
        <m:oMathParaPr>
          <m:jc m:val="center"/>
        </m:oMathParaPr>
        <m:oMath>
          <m:sSub>
            <m:e>
              <m:r>
                <m:rPr>
                  <m:scr m:val="script"/>
                  <m:sty m:val="p"/>
                </m:rPr>
                <m:t>S</m:t>
              </m:r>
            </m:e>
            <m:sub>
              <m:r>
                <m:t>j</m:t>
              </m:r>
            </m:sub>
          </m:sSub>
          <m:r>
            <m:rPr>
              <m:sty m:val="p"/>
            </m:rPr>
            <m:t>=</m:t>
          </m:r>
          <m:r>
            <m:rPr>
              <m:sty m:val="p"/>
            </m:rPr>
            <m:t>Δ</m:t>
          </m:r>
          <m:sSubSup>
            <m:e>
              <m:r>
                <m:t>P</m:t>
              </m:r>
            </m:e>
            <m:sub>
              <m:r>
                <m:t>180</m:t>
              </m:r>
            </m:sub>
            <m:sup>
              <m:r>
                <m:rPr>
                  <m:sty m:val="p"/>
                </m:rPr>
                <m:t>(</m:t>
              </m:r>
              <m:r>
                <m:t>j</m:t>
              </m:r>
              <m:r>
                <m:rPr>
                  <m:sty m:val="p"/>
                </m:rPr>
                <m:t>)</m:t>
              </m:r>
            </m:sup>
          </m:sSubSup>
          <m:r>
            <m:rPr>
              <m:sty m:val="p"/>
            </m:rPr>
            <m:t>+</m:t>
          </m:r>
          <m:r>
            <m:t>0.45</m:t>
          </m:r>
          <m:r>
            <m:rPr>
              <m:sty m:val="p"/>
            </m:rPr>
            <m:t>Δ</m:t>
          </m:r>
          <m:sSubSup>
            <m:e>
              <m:r>
                <m:t>P</m:t>
              </m:r>
            </m:e>
            <m:sub>
              <m:r>
                <m:rPr>
                  <m:sty m:val="p"/>
                </m:rPr>
                <m:t>max</m:t>
              </m:r>
            </m:sub>
            <m:sup>
              <m:r>
                <m:rPr>
                  <m:sty m:val="p"/>
                </m:rPr>
                <m:t>(</m:t>
              </m:r>
              <m:r>
                <m:t>j</m:t>
              </m:r>
              <m:r>
                <m:rPr>
                  <m:sty m:val="p"/>
                </m:rPr>
                <m:t>)</m:t>
              </m:r>
            </m:sup>
          </m:sSubSup>
          <m:r>
            <m:rPr>
              <m:sty m:val="p"/>
            </m:rPr>
            <m:t>+</m:t>
          </m:r>
          <m:r>
            <m:t>0.002</m:t>
          </m:r>
          <m:r>
            <m:rPr>
              <m:sty m:val="p"/>
            </m:rPr>
            <m:t>Δ</m:t>
          </m:r>
          <m:sSubSup>
            <m:e>
              <m:r>
                <m:t>G</m:t>
              </m:r>
            </m:e>
            <m:sub>
              <m:r>
                <m:t>180</m:t>
              </m:r>
            </m:sub>
            <m:sup>
              <m:r>
                <m:rPr>
                  <m:sty m:val="p"/>
                </m:rPr>
                <m:t>(</m:t>
              </m:r>
              <m:r>
                <m:t>j</m:t>
              </m:r>
              <m:r>
                <m:rPr>
                  <m:sty m:val="p"/>
                </m:rPr>
                <m:t>)</m:t>
              </m:r>
            </m:sup>
          </m:sSubSup>
          <m:r>
            <m:rPr>
              <m:sty m:val="p"/>
            </m:rPr>
            <m:t>,</m:t>
          </m:r>
        </m:oMath>
      </m:oMathPara>
    </w:p>
    <w:p>
      <w:pPr>
        <w:pStyle w:val="FirstParagraph"/>
      </w:pPr>
      <w:r>
        <w:rPr>
          <w:rFonts w:hint="eastAsia"/>
        </w:rPr>
        <w:t xml:space="preserve">该指标兼顾终点价格、阶段峰值和供需风险；系数</w:t>
      </w:r>
      <w:r>
        <w:t xml:space="preserve"> </w:t>
      </w:r>
      <m:oMath>
        <m:r>
          <m:t>0.45</m:t>
        </m:r>
      </m:oMath>
      <w:r>
        <w:t xml:space="preserve"> </w:t>
      </w:r>
      <w:r>
        <w:rPr>
          <w:rFonts w:hint="eastAsia"/>
        </w:rPr>
        <w:t xml:space="preserve">和</w:t>
      </w:r>
      <w:r>
        <w:t xml:space="preserve"> </w:t>
      </w:r>
      <m:oMath>
        <m:r>
          <m:t>0.002</m:t>
        </m:r>
      </m:oMath>
      <w:r>
        <w:t xml:space="preserve"> </w:t>
      </w:r>
      <w:r>
        <w:rPr>
          <w:rFonts w:hint="eastAsia"/>
        </w:rPr>
        <w:t xml:space="preserve">用于把峰值风险和供需缺口映射到与终点价格同一数量级，使排序反映</w:t>
      </w:r>
      <w:r>
        <w:rPr>
          <w:rFonts w:hint="eastAsia"/>
        </w:rPr>
        <w:t xml:space="preserve">“对长期结论的综合影响”</w:t>
      </w:r>
      <w:r>
        <w:rPr>
          <w:rFonts w:hint="eastAsia"/>
        </w:rPr>
        <w:t xml:space="preserve">而非单一终点误差。</w:t>
      </w:r>
    </w:p>
    <w:bookmarkEnd w:id="138"/>
    <w:bookmarkStart w:id="147"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42" w:name="fig:sensitivity-tornado"/>
    <w:p>
      <w:pPr>
        <w:pStyle w:val="CaptionedFigure"/>
      </w:pPr>
      <w:r>
        <w:drawing>
          <wp:inline>
            <wp:extent cx="4907280" cy="2998893"/>
            <wp:effectExtent b="0" l="0" r="0" t="0"/>
            <wp:docPr descr="" title="" id="140" name="Picture"/>
            <a:graphic>
              <a:graphicData uri="http://schemas.openxmlformats.org/drawingml/2006/picture">
                <pic:pic>
                  <pic:nvPicPr>
                    <pic:cNvPr descr="参数敏感性龙卷风图.png" id="141" name="Picture"/>
                    <pic:cNvPicPr>
                      <a:picLocks noChangeArrowheads="1" noChangeAspect="1"/>
                    </pic:cNvPicPr>
                  </pic:nvPicPr>
                  <pic:blipFill>
                    <a:blip r:embed="rId139"/>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bookmarkEnd w:id="142"/>
    <w:bookmarkStart w:id="146" w:name="fig:sensitivity-heatmap"/>
    <w:p>
      <w:pPr>
        <w:pStyle w:val="CaptionedFigure"/>
      </w:pPr>
      <w:r>
        <w:drawing>
          <wp:inline>
            <wp:extent cx="4800600" cy="3017236"/>
            <wp:effectExtent b="0" l="0" r="0" t="0"/>
            <wp:docPr descr="" title="" id="144" name="Picture"/>
            <a:graphic>
              <a:graphicData uri="http://schemas.openxmlformats.org/drawingml/2006/picture">
                <pic:pic>
                  <pic:nvPicPr>
                    <pic:cNvPr descr="长期敏感性扰动热力图.png" id="145" name="Picture"/>
                    <pic:cNvPicPr>
                      <a:picLocks noChangeArrowheads="1" noChangeAspect="1"/>
                    </pic:cNvPicPr>
                  </pic:nvPicPr>
                  <pic:blipFill>
                    <a:blip r:embed="rId143"/>
                    <a:stretch>
                      <a:fillRect/>
                    </a:stretch>
                  </pic:blipFill>
                  <pic:spPr bwMode="auto">
                    <a:xfrm>
                      <a:off x="0" y="0"/>
                      <a:ext cx="4800600" cy="3017236"/>
                    </a:xfrm>
                    <a:prstGeom prst="rect">
                      <a:avLst/>
                    </a:prstGeom>
                    <a:noFill/>
                    <a:ln w="9525">
                      <a:noFill/>
                      <a:headEnd/>
                      <a:tailEnd/>
                    </a:ln>
                  </pic:spPr>
                </pic:pic>
              </a:graphicData>
            </a:graphic>
          </wp:inline>
        </w:drawing>
      </w:r>
    </w:p>
    <w:p>
      <w:pPr>
        <w:pStyle w:val="ImageCaption"/>
      </w:pPr>
      <w:r>
        <w:rPr>
          <w:rFonts w:hint="eastAsia"/>
        </w:rPr>
        <w:t xml:space="preserve">长期敏感性扰动热力图</w:t>
      </w:r>
    </w:p>
    <w:bookmarkEnd w:id="146"/>
    <w:p>
      <w:pPr>
        <w:pStyle w:val="BodyText"/>
      </w:pPr>
      <w:r>
        <w:rPr>
          <w:rFonts w:hint="eastAsia"/>
        </w:rPr>
        <w:t xml:space="preserve">敏感性分析表明，第</w:t>
      </w:r>
      <w:r>
        <w:t xml:space="preserve"> 180 </w:t>
      </w:r>
      <w:r>
        <w:rPr>
          <w:rFonts w:hint="eastAsia"/>
        </w:rPr>
        <w:t xml:space="preserve">天终点价格对市场风险吸收速度最敏感。</w:t>
      </w:r>
      <w:hyperlink w:anchor="fig:sensitivity-tornado">
        <w:r>
          <w:rPr>
            <w:rStyle w:val="Hyperlink"/>
          </w:rPr>
          <w:t xml:space="preserve">9</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美元/桶，说明长期中心路径的关键是市场多快把封锁状态从突发风险重新定价为可管理的制度风险。地缘风险权重和制度风险强度仍保持高敏感，供应中断量决定价格上行压力的物理底座。SPR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p>
      <w:pPr>
        <w:pStyle w:val="BodyText"/>
      </w:pPr>
      <w:r>
        <w:rPr>
          <w:rFonts w:hint="eastAsia"/>
          <w:b/>
          <w:bCs/>
        </w:rPr>
        <w:t xml:space="preserve">结论</w:t>
      </w:r>
      <w:r>
        <w:rPr>
          <w:rFonts w:hint="eastAsia"/>
        </w:rPr>
        <w:t xml:space="preserve">敏感性排序显示，长期预测最依赖封锁风险衰减速度，其次是地缘风险权重和制度风险强度。因此，长期结果应与参数排序和尾部风险区间合读。</w:t>
      </w:r>
    </w:p>
    <w:bookmarkEnd w:id="147"/>
    <w:bookmarkStart w:id="158"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天价格路径，用于刻画合理参数联合扰动下的价格区间和尾部风险。</w:t>
      </w:r>
    </w:p>
    <w:p>
      <w:pPr>
        <w:pStyle w:val="BodyText"/>
      </w:pPr>
      <w:r>
        <w:rPr>
          <w:rFonts w:hint="eastAsia"/>
        </w:rPr>
        <w:t xml:space="preserve">蒙特卡洛抽样并不把所有参数视为彼此独立。本文通过综合压力指数引入方向一致的相关结构：高压状态下，供应中断更大、政策缓冲更弱、运输恢复更慢、风险溢价更高；低压状态下则相反。因此，表中突破概率表示题面机制和历史波动尺度下的条件尾部概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个同长度窗口，校准中长期扰动尺度。2026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0.0132。历史数据因此进入中长期油价调节模型的不确定性参数层，而不直接替代霍尔木兹封锁机制。</w:t>
      </w:r>
    </w:p>
    <w:p>
      <w:pPr>
        <w:pStyle w:val="CaptionedFigure"/>
      </w:pPr>
      <w:r>
        <w:drawing>
          <wp:inline>
            <wp:extent cx="4587240" cy="1761500"/>
            <wp:effectExtent b="0" l="0" r="0" t="0"/>
            <wp:docPr descr="" title="" id="149" name="Picture"/>
            <a:graphic>
              <a:graphicData uri="http://schemas.openxmlformats.org/drawingml/2006/picture">
                <pic:pic>
                  <pic:nvPicPr>
                    <pic:cNvPr descr="历史波动参数校准.png" id="150" name="Picture"/>
                    <pic:cNvPicPr>
                      <a:picLocks noChangeArrowheads="1" noChangeAspect="1"/>
                    </pic:cNvPicPr>
                  </pic:nvPicPr>
                  <pic:blipFill>
                    <a:blip r:embed="rId148"/>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w:t>
      </w:r>
    </w:p>
    <w:bookmarkStart w:id="154" w:name="fig:mc-path-cloud"/>
    <w:p>
      <w:pPr>
        <w:pStyle w:val="CaptionedFigure"/>
      </w:pPr>
      <w:r>
        <w:drawing>
          <wp:inline>
            <wp:extent cx="4907280" cy="2661575"/>
            <wp:effectExtent b="0" l="0" r="0" t="0"/>
            <wp:docPr descr="" title="" id="152" name="Picture"/>
            <a:graphic>
              <a:graphicData uri="http://schemas.openxmlformats.org/drawingml/2006/picture">
                <pic:pic>
                  <pic:nvPicPr>
                    <pic:cNvPr descr="传统蒙特卡洛路径云图.png" id="153" name="Picture"/>
                    <pic:cNvPicPr>
                      <a:picLocks noChangeArrowheads="1" noChangeAspect="1"/>
                    </pic:cNvPicPr>
                  </pic:nvPicPr>
                  <pic:blipFill>
                    <a:blip r:embed="rId151"/>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w:t>
      </w:r>
    </w:p>
    <w:bookmarkEnd w:id="154"/>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56" name="Picture"/>
            <a:graphic>
              <a:graphicData uri="http://schemas.openxmlformats.org/drawingml/2006/picture">
                <pic:pic>
                  <pic:nvPicPr>
                    <pic:cNvPr descr="蒙特卡洛尾部风险概率.png" id="157" name="Picture"/>
                    <pic:cNvPicPr>
                      <a:picLocks noChangeArrowheads="1" noChangeAspect="1"/>
                    </pic:cNvPicPr>
                  </pic:nvPicPr>
                  <pic:blipFill>
                    <a:blip r:embed="rId155"/>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91.37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58"/>
    <w:bookmarkStart w:id="162"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91.21 </w:t>
      </w:r>
      <w:r>
        <w:rPr>
          <w:rFonts w:hint="eastAsia"/>
        </w:rPr>
        <w:t xml:space="preserve">美元/桶，5%–95%</w:t>
      </w:r>
      <w:r>
        <w:t xml:space="preserve"> </w:t>
      </w:r>
      <w:r>
        <w:rPr>
          <w:rFonts w:hint="eastAsia"/>
        </w:rPr>
        <w:t xml:space="preserve">条件区间为</w:t>
      </w:r>
      <w:r>
        <w:t xml:space="preserve"> 87.17–98.29 </w:t>
      </w:r>
      <w:r>
        <w:rPr>
          <w:rFonts w:hint="eastAsia"/>
        </w:rPr>
        <w:t xml:space="preserve">美元/桶；外推期最高价</w:t>
      </w:r>
      <w:r>
        <w:t xml:space="preserve"> P95 </w:t>
      </w:r>
      <w:r>
        <w:rPr>
          <w:rFonts w:hint="eastAsia"/>
        </w:rPr>
        <w:t xml:space="preserve">为</w:t>
      </w:r>
      <w:r>
        <w:t xml:space="preserve"> 130.41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49.4%，突破</w:t>
      </w:r>
      <w:r>
        <w:t xml:space="preserve"> 130 </w:t>
      </w:r>
      <w:r>
        <w:rPr>
          <w:rFonts w:hint="eastAsia"/>
        </w:rPr>
        <w:t xml:space="preserve">美元/桶的条件概率为</w:t>
      </w:r>
      <w:r>
        <w:t xml:space="preserve"> </w:t>
      </w:r>
      <w:r>
        <w:rPr>
          <w:rFonts w:hint="eastAsia"/>
        </w:rPr>
        <w:t xml:space="preserve">5.7%。这说明状态切换和市场风险约束会放大外推期局部峰值，但</w:t>
      </w:r>
      <w:r>
        <w:rPr>
          <w:rFonts w:hint="eastAsia"/>
        </w:rPr>
        <w:t xml:space="preserve">“中性平衡点回落、悲观尾部保留”</w:t>
      </w:r>
      <w:r>
        <w:rPr>
          <w:rFonts w:hint="eastAsia"/>
        </w:rPr>
        <w:t xml:space="preserve">的主结论保持稳定。中长期油价调节模型的主要输出因此是不同冲突状态下的中心、区间和尾部风险。</w:t>
      </w:r>
    </w:p>
    <w:p>
      <w:pPr>
        <w:pStyle w:val="CaptionedFigure"/>
      </w:pPr>
      <w:r>
        <w:drawing>
          <wp:inline>
            <wp:extent cx="4907280" cy="2846222"/>
            <wp:effectExtent b="0" l="0" r="0" t="0"/>
            <wp:docPr descr="" title="" id="160" name="Picture"/>
            <a:graphic>
              <a:graphicData uri="http://schemas.openxmlformats.org/drawingml/2006/picture">
                <pic:pic>
                  <pic:nvPicPr>
                    <pic:cNvPr descr="R长期状态转移扇形图.png" id="161" name="Picture"/>
                    <pic:cNvPicPr>
                      <a:picLocks noChangeArrowheads="1" noChangeAspect="1"/>
                    </pic:cNvPicPr>
                  </pic:nvPicPr>
                  <pic:blipFill>
                    <a:blip r:embed="rId159"/>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w:t>
      </w:r>
    </w:p>
    <w:bookmarkEnd w:id="162"/>
    <w:bookmarkStart w:id="169" w:name="滞后地缘风险指数检验"/>
    <w:p>
      <w:pPr>
        <w:pStyle w:val="Heading2"/>
      </w:pPr>
      <w:r>
        <w:rPr>
          <w:rFonts w:hint="eastAsia"/>
        </w:rPr>
        <w:t xml:space="preserve">滞后地缘风险指数检验</w:t>
      </w:r>
    </w:p>
    <w:p>
      <w:pPr>
        <w:pStyle w:val="FirstParagraph"/>
      </w:pPr>
      <w:r>
        <w:rPr>
          <w:rFonts w:hint="eastAsia"/>
        </w:rPr>
        <w:t xml:space="preserve">短期冲击模型和中长期油价调节模型中均包含地缘风险权重和恐慌衰减项。本文使用</w:t>
      </w:r>
      <w:r>
        <w:t xml:space="preserve"> Caldara-Iacoviello GPR </w:t>
      </w:r>
      <w:r>
        <w:rPr>
          <w:rFonts w:hint="eastAsia"/>
        </w:rPr>
        <w:t xml:space="preserve">月度指数做外部校验，并采用滞后一期口径处理新闻风险变量与油价之间的反馈关系。GPR</w:t>
      </w:r>
      <w:r>
        <w:t xml:space="preserve"> </w:t>
      </w:r>
      <w:r>
        <w:rPr>
          <w:rFonts w:hint="eastAsia"/>
        </w:rPr>
        <w:t xml:space="preserve">的定位是风险环境校验，而不是短期同步价格输入。</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64" name="Picture"/>
            <a:graphic>
              <a:graphicData uri="http://schemas.openxmlformats.org/drawingml/2006/picture">
                <pic:pic>
                  <pic:nvPicPr>
                    <pic:cNvPr descr="地缘风险指数滞后审计.png" id="165" name="Picture"/>
                    <pic:cNvPicPr>
                      <a:picLocks noChangeArrowheads="1" noChangeAspect="1"/>
                    </pic:cNvPicPr>
                  </pic:nvPicPr>
                  <pic:blipFill>
                    <a:blip r:embed="rId163"/>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地缘风险指数滞后检验</w:t>
      </w:r>
    </w:p>
    <w:p>
      <w:pPr>
        <w:pStyle w:val="CaptionedFigure"/>
      </w:pPr>
      <w:r>
        <w:drawing>
          <wp:inline>
            <wp:extent cx="4480560" cy="3054927"/>
            <wp:effectExtent b="0" l="0" r="0" t="0"/>
            <wp:docPr descr="" title="" id="167" name="Picture"/>
            <a:graphic>
              <a:graphicData uri="http://schemas.openxmlformats.org/drawingml/2006/picture">
                <pic:pic>
                  <pic:nvPicPr>
                    <pic:cNvPr descr="滞后GPR与布伦特收益关系.png" id="168" name="Picture"/>
                    <pic:cNvPicPr>
                      <a:picLocks noChangeArrowheads="1" noChangeAspect="1"/>
                    </pic:cNvPicPr>
                  </pic:nvPicPr>
                  <pic:blipFill>
                    <a:blip r:embed="rId166"/>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对月度收益的解释力有限，因此本文将其用于风险校验和长期状态压力约束，而不作为短期点预测变量。</w:t>
      </w:r>
    </w:p>
    <w:bookmarkEnd w:id="169"/>
    <w:bookmarkStart w:id="173"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侧重地缘政治风险叙事，OVX</w:t>
      </w:r>
      <w:r>
        <w:t xml:space="preserve"> </w:t>
      </w:r>
      <w:r>
        <w:rPr>
          <w:rFonts w:hint="eastAsia"/>
        </w:rPr>
        <w:t xml:space="preserve">则更接近期权市场对未来波动的交易定价。本文接入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71" name="Picture"/>
            <a:graphic>
              <a:graphicData uri="http://schemas.openxmlformats.org/drawingml/2006/picture">
                <pic:pic>
                  <pic:nvPicPr>
                    <pic:cNvPr descr="OVX隐含波动率滞后检验.png" id="172" name="Picture"/>
                    <pic:cNvPicPr>
                      <a:picLocks noChangeArrowheads="1" noChangeAspect="1"/>
                    </pic:cNvPicPr>
                  </pic:nvPicPr>
                  <pic:blipFill>
                    <a:blip r:embed="rId170"/>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w:t>
      </w:r>
    </w:p>
    <w:p>
      <w:pPr>
        <w:pStyle w:val="BodyText"/>
      </w:pPr>
      <w:r>
        <w:t xml:space="preserve">OVX </w:t>
      </w:r>
      <w:r>
        <w:rPr>
          <w:rFonts w:hint="eastAsia"/>
        </w:rPr>
        <w:t xml:space="preserve">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1.0433。这样既利用了期权市场对风险的定价信息，也保持了方向预测与波动约束之间的区分。</w:t>
      </w:r>
    </w:p>
    <w:bookmarkEnd w:id="173"/>
    <w:bookmarkStart w:id="180"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3.38</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75" name="Picture"/>
            <a:graphic>
              <a:graphicData uri="http://schemas.openxmlformats.org/drawingml/2006/picture">
                <pic:pic>
                  <pic:nvPicPr>
                    <pic:cNvPr descr="历史窗口极端性检验.png" id="176" name="Picture"/>
                    <pic:cNvPicPr>
                      <a:picLocks noChangeArrowheads="1" noChangeAspect="1"/>
                    </pic:cNvPicPr>
                  </pic:nvPicPr>
                  <pic:blipFill>
                    <a:blip r:embed="rId174"/>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w:t>
      </w:r>
    </w:p>
    <w:p>
      <w:pPr>
        <w:pStyle w:val="CaptionedFigure"/>
      </w:pPr>
      <w:r>
        <w:drawing>
          <wp:inline>
            <wp:extent cx="4800600" cy="2351314"/>
            <wp:effectExtent b="0" l="0" r="0" t="0"/>
            <wp:docPr descr="" title="" id="178" name="Picture"/>
            <a:graphic>
              <a:graphicData uri="http://schemas.openxmlformats.org/drawingml/2006/picture">
                <pic:pic>
                  <pic:nvPicPr>
                    <pic:cNvPr descr="R历史基准误差分布图.png" id="179" name="Picture"/>
                    <pic:cNvPicPr>
                      <a:picLocks noChangeArrowheads="1" noChangeAspect="1"/>
                    </pic:cNvPicPr>
                  </pic:nvPicPr>
                  <pic:blipFill>
                    <a:blip r:embed="rId177"/>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80"/>
    <w:bookmarkEnd w:id="181"/>
    <w:bookmarkStart w:id="185" w:name="模型分析"/>
    <w:p>
      <w:pPr>
        <w:pStyle w:val="Heading1"/>
      </w:pPr>
      <w:r>
        <w:rPr>
          <w:rFonts w:hint="eastAsia"/>
        </w:rPr>
        <w:t xml:space="preserve">模型分析</w:t>
      </w:r>
    </w:p>
    <w:bookmarkStart w:id="182" w:name="模型特点"/>
    <w:p>
      <w:pPr>
        <w:pStyle w:val="Heading2"/>
      </w:pPr>
      <w:r>
        <w:rPr>
          <w:rFonts w:hint="eastAsia"/>
        </w:rPr>
        <w:t xml:space="preserve">模型特点</w:t>
      </w:r>
    </w:p>
    <w:p>
      <w:pPr>
        <w:numPr>
          <w:ilvl w:val="0"/>
          <w:numId w:val="1006"/>
        </w:numPr>
      </w:pPr>
      <w:r>
        <w:rPr>
          <w:rFonts w:hint="eastAsia"/>
        </w:rPr>
        <w:t xml:space="preserve">本模型适用于解释霍尔木兹封锁这类极端地缘冲击下的条件价格路径。模型从附件真实价格出发，先用传统供需基准给出低弹性压力，再用短期冲击模型解释政策缓冲、风险溢价和预期修复如何共同改变价格平台。</w:t>
      </w:r>
    </w:p>
    <w:p>
      <w:pPr>
        <w:numPr>
          <w:ilvl w:val="0"/>
          <w:numId w:val="1006"/>
        </w:numPr>
      </w:pPr>
      <w:r>
        <w:rPr>
          <w:rFonts w:hint="eastAsia"/>
        </w:rPr>
        <w:t xml:space="preserve">短期冲击模型和中长期油价调节模型共用同一套供需缺口与市场价格形成框架。中长期部分没有另起独立预测器，而是把未来政策协调、绕道恢复、供给响应和二次升级风险扩展为情景变量、蒙特卡洛扰动和状态转移变量。</w:t>
      </w:r>
    </w:p>
    <w:p>
      <w:pPr>
        <w:numPr>
          <w:ilvl w:val="0"/>
          <w:numId w:val="1006"/>
        </w:numPr>
      </w:pPr>
      <w:r>
        <w:rPr>
          <w:rFonts w:hint="eastAsia"/>
        </w:rPr>
        <w:t xml:space="preserve">模型可信度主要来自可复现证据链：Random</w:t>
      </w:r>
      <w:r>
        <w:t xml:space="preserve"> Walk、ARIMA、DM </w:t>
      </w:r>
      <w:r>
        <w:rPr>
          <w:rFonts w:hint="eastAsia"/>
        </w:rPr>
        <w:t xml:space="preserve">检验、滞后平移、机制消融、参数扰动和历史同长度窗口共同检验模型是否优于简单基准、是否存在滞后复制以及是否依赖单一参数点。</w:t>
      </w:r>
    </w:p>
    <w:bookmarkEnd w:id="182"/>
    <w:bookmarkStart w:id="183" w:name="适用边界"/>
    <w:p>
      <w:pPr>
        <w:pStyle w:val="Heading2"/>
      </w:pPr>
      <w:r>
        <w:rPr>
          <w:rFonts w:hint="eastAsia"/>
        </w:rPr>
        <w:t xml:space="preserve">适用边界</w:t>
      </w:r>
    </w:p>
    <w:p>
      <w:pPr>
        <w:numPr>
          <w:ilvl w:val="0"/>
          <w:numId w:val="1007"/>
        </w:numPr>
      </w:pPr>
      <w:r>
        <w:rPr>
          <w:rFonts w:hint="eastAsia"/>
        </w:rPr>
        <w:t xml:space="preserve">冲突窗口共有</w:t>
      </w:r>
      <w:r>
        <w:t xml:space="preserve"> 46 </w:t>
      </w:r>
      <w:r>
        <w:rPr>
          <w:rFonts w:hint="eastAsia"/>
        </w:rPr>
        <w:t xml:space="preserve">个交易日，适合支持霍尔木兹封锁冲击下的条件路径解释，不宜直接外推为跨年份通用短线交易模型。</w:t>
      </w:r>
    </w:p>
    <w:p>
      <w:pPr>
        <w:numPr>
          <w:ilvl w:val="0"/>
          <w:numId w:val="1007"/>
        </w:numPr>
      </w:pPr>
      <w:r>
        <w:rPr>
          <w:rFonts w:hint="eastAsia"/>
        </w:rPr>
        <w:t xml:space="preserve">外部数据已经覆盖</w:t>
      </w:r>
      <w:r>
        <w:t xml:space="preserve"> EIA、JODI、OPEC、GPR </w:t>
      </w:r>
      <w:r>
        <w:rPr>
          <w:rFonts w:hint="eastAsia"/>
        </w:rPr>
        <w:t xml:space="preserve">和</w:t>
      </w:r>
      <w:r>
        <w:t xml:space="preserve"> </w:t>
      </w:r>
      <w:r>
        <w:rPr>
          <w:rFonts w:hint="eastAsia"/>
        </w:rPr>
        <w:t xml:space="preserve">OVX，但不同来源存在口径、发布频率和授权范围差异；因此外部数据用于数量级校验和长期风险约束，不反向替代附件真实价格。</w:t>
      </w:r>
    </w:p>
    <w:p>
      <w:pPr>
        <w:numPr>
          <w:ilvl w:val="0"/>
          <w:numId w:val="1007"/>
        </w:numPr>
      </w:pPr>
      <w:r>
        <w:rPr>
          <w:rFonts w:hint="eastAsia"/>
        </w:rPr>
        <w:t xml:space="preserve">蒙特卡洛情景树和状态转移情景树用于刻画参数联动风险与事件状态切换风险，其概率应解释为题面机制和当前参数约束下的条件概率。</w:t>
      </w:r>
    </w:p>
    <w:bookmarkEnd w:id="183"/>
    <w:bookmarkStart w:id="184" w:name="推广与改进"/>
    <w:p>
      <w:pPr>
        <w:pStyle w:val="Heading2"/>
      </w:pPr>
      <w:r>
        <w:rPr>
          <w:rFonts w:hint="eastAsia"/>
        </w:rPr>
        <w:t xml:space="preserve">推广与改进</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84"/>
    <w:bookmarkEnd w:id="185"/>
    <w:bookmarkStart w:id="186" w:name="结论"/>
    <w:p>
      <w:pPr>
        <w:pStyle w:val="Heading1"/>
      </w:pPr>
      <w:r>
        <w:rPr>
          <w:rFonts w:hint="eastAsia"/>
        </w:rPr>
        <w:t xml:space="preserve">结论</w:t>
      </w:r>
    </w:p>
    <w:p>
      <w:pPr>
        <w:pStyle w:val="FirstParagraph"/>
      </w:pPr>
      <w:r>
        <w:rPr>
          <w:rFonts w:hint="eastAsia"/>
        </w:rPr>
        <w:t xml:space="preserve">本文围绕霍尔木兹海峡封锁对国际原油价格的影响，按照赛题给定的</w:t>
      </w:r>
      <w:r>
        <w:rPr>
          <w:rFonts w:hint="eastAsia"/>
        </w:rPr>
        <w:t xml:space="preserve">“短期冲击模型（0–60</w:t>
      </w:r>
      <w:r>
        <w:t xml:space="preserve"> </w:t>
      </w:r>
      <w:r>
        <w:rPr>
          <w:rFonts w:hint="eastAsia"/>
        </w:rPr>
        <w:t xml:space="preserve">天）”</w:t>
      </w:r>
      <w:r>
        <w:rPr>
          <w:rFonts w:hint="eastAsia"/>
        </w:rPr>
        <w:t xml:space="preserve">和</w:t>
      </w:r>
      <w:r>
        <w:rPr>
          <w:rFonts w:hint="eastAsia"/>
        </w:rPr>
        <w:t xml:space="preserve">“中长期油价调节模型（60–180</w:t>
      </w:r>
      <w:r>
        <w:t xml:space="preserve"> </w:t>
      </w:r>
      <w:r>
        <w:rPr>
          <w:rFonts w:hint="eastAsia"/>
        </w:rPr>
        <w:t xml:space="preserve">天）”</w:t>
      </w:r>
      <w:r>
        <w:rPr>
          <w:rFonts w:hint="eastAsia"/>
        </w:rPr>
        <w:t xml:space="preserve">组织建模。研究表明：</w:t>
      </w:r>
    </w:p>
    <w:p>
      <w:pPr>
        <w:numPr>
          <w:ilvl w:val="0"/>
          <w:numId w:val="1008"/>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8"/>
        </w:numPr>
      </w:pPr>
      <w:r>
        <w:rPr>
          <w:rFonts w:hint="eastAsia"/>
        </w:rPr>
        <w:t xml:space="preserve">加入</w:t>
      </w:r>
      <w:r>
        <w:t xml:space="preserve"> </w:t>
      </w:r>
      <w:r>
        <w:rPr>
          <w:rFonts w:hint="eastAsia"/>
        </w:rPr>
        <w:t xml:space="preserve">SPR、商业库存、绕道运输、需求收缩、恐慌衰减、地缘风险溢价和预期修复后，短期冲击模型可将冲突窗口</w:t>
      </w:r>
      <w:r>
        <w:t xml:space="preserve"> RMSE </w:t>
      </w:r>
      <w:r>
        <w:rPr>
          <w:rFonts w:hint="eastAsia"/>
        </w:rPr>
        <w:t xml:space="preserve">控制在</w:t>
      </w:r>
      <w:r>
        <w:t xml:space="preserve"> 3.38 </w:t>
      </w:r>
      <w:r>
        <w:rPr>
          <w:rFonts w:hint="eastAsia"/>
        </w:rPr>
        <w:t xml:space="preserve">美元/桶，MAE</w:t>
      </w:r>
      <w:r>
        <w:t xml:space="preserve"> </w:t>
      </w:r>
      <w:r>
        <w:rPr>
          <w:rFonts w:hint="eastAsia"/>
        </w:rPr>
        <w:t xml:space="preserve">控制在</w:t>
      </w:r>
      <w:r>
        <w:t xml:space="preserve"> 2.76 </w:t>
      </w:r>
      <w:r>
        <w:rPr>
          <w:rFonts w:hint="eastAsia"/>
        </w:rPr>
        <w:t xml:space="preserve">美元/桶。</w:t>
      </w:r>
    </w:p>
    <w:p>
      <w:pPr>
        <w:numPr>
          <w:ilvl w:val="0"/>
          <w:numId w:val="1008"/>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8"/>
        </w:numPr>
      </w:pPr>
      <w:r>
        <w:rPr>
          <w:rFonts w:hint="eastAsia"/>
        </w:rPr>
        <w:t xml:space="preserve">中长期油价调节模型显示，中性情景第</w:t>
      </w:r>
      <w:r>
        <w:t xml:space="preserve"> 180 </w:t>
      </w:r>
      <w:r>
        <w:rPr>
          <w:rFonts w:hint="eastAsia"/>
        </w:rPr>
        <w:t xml:space="preserve">天价格约为</w:t>
      </w:r>
      <w:r>
        <w:t xml:space="preserve"> 91.37 </w:t>
      </w:r>
      <w:r>
        <w:rPr>
          <w:rFonts w:hint="eastAsia"/>
        </w:rPr>
        <w:t xml:space="preserve">美元/桶；悲观情景第</w:t>
      </w:r>
      <w:r>
        <w:t xml:space="preserve"> 180 </w:t>
      </w:r>
      <w:r>
        <w:rPr>
          <w:rFonts w:hint="eastAsia"/>
        </w:rPr>
        <w:t xml:space="preserve">天约为</w:t>
      </w:r>
      <w:r>
        <w:t xml:space="preserve"> 107.89 </w:t>
      </w:r>
      <w:r>
        <w:rPr>
          <w:rFonts w:hint="eastAsia"/>
        </w:rPr>
        <w:t xml:space="preserve">美元/桶，并存在二次跳涨风险。</w:t>
      </w:r>
    </w:p>
    <w:p>
      <w:pPr>
        <w:numPr>
          <w:ilvl w:val="0"/>
          <w:numId w:val="1008"/>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8"/>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16.3%，尾部风险主要来自多因素同时恶化；状态转移情景树进一步说明，若未来冲突状态在缓和、维持和升级之间切换，并受到历史状态转移、GPR</w:t>
      </w:r>
      <w:r>
        <w:t xml:space="preserve"> </w:t>
      </w:r>
      <w:r>
        <w:rPr>
          <w:rFonts w:hint="eastAsia"/>
        </w:rPr>
        <w:t xml:space="preserve">与</w:t>
      </w:r>
      <w:r>
        <w:t xml:space="preserve"> OVX </w:t>
      </w:r>
      <w:r>
        <w:rPr>
          <w:rFonts w:hint="eastAsia"/>
        </w:rPr>
        <w:t xml:space="preserve">风险读数约束，外推期最高价</w:t>
      </w:r>
      <w:r>
        <w:t xml:space="preserve"> P95 </w:t>
      </w:r>
      <w:r>
        <w:rPr>
          <w:rFonts w:hint="eastAsia"/>
        </w:rPr>
        <w:t xml:space="preserve">约为</w:t>
      </w:r>
      <w:r>
        <w:t xml:space="preserve"> 130.41 </w:t>
      </w:r>
      <w:r>
        <w:rPr>
          <w:rFonts w:hint="eastAsia"/>
        </w:rPr>
        <w:t xml:space="preserve">美元/桶，突破</w:t>
      </w:r>
      <w:r>
        <w:t xml:space="preserve"> 120 </w:t>
      </w:r>
      <w:r>
        <w:rPr>
          <w:rFonts w:hint="eastAsia"/>
        </w:rPr>
        <w:t xml:space="preserve">美元/桶的条件概率约为</w:t>
      </w:r>
      <w:r>
        <w:t xml:space="preserve"> 49.4%。</w:t>
      </w:r>
    </w:p>
    <w:p>
      <w:pPr>
        <w:numPr>
          <w:ilvl w:val="0"/>
          <w:numId w:val="1008"/>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8"/>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86"/>
    <w:bookmarkStart w:id="196"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87">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88">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89">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90">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91">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92">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93">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94">
        <w:r>
          <w:rPr>
            <w:rStyle w:val="Hyperlink"/>
          </w:rPr>
          <w:t xml:space="preserve">FRED data page</w:t>
        </w:r>
      </w:hyperlink>
      <w:r>
        <w:t xml:space="preserve">.</w:t>
      </w:r>
    </w:p>
    <w:p>
      <w:pPr>
        <w:pStyle w:val="BodyText"/>
      </w:pPr>
      <w:r>
        <w:t xml:space="preserve">Intercontinental Exchange. ICE Report Center, End of Day and futures settlement reports.</w:t>
      </w:r>
      <w:r>
        <w:t xml:space="preserve"> </w:t>
      </w:r>
      <w:hyperlink r:id="rId195">
        <w:r>
          <w:rPr>
            <w:rStyle w:val="Hyperlink"/>
          </w:rPr>
          <w:t xml:space="preserve">ICE report center</w:t>
        </w:r>
      </w:hyperlink>
      <w:r>
        <w:t xml:space="preserve">.</w:t>
      </w:r>
    </w:p>
    <w:bookmarkEnd w:id="196"/>
    <w:bookmarkStart w:id="208" w:name="附录"/>
    <w:p>
      <w:pPr>
        <w:pStyle w:val="Heading1"/>
      </w:pPr>
      <w:r>
        <w:rPr>
          <w:rFonts w:hint="eastAsia"/>
        </w:rPr>
        <w:t xml:space="preserve">附录</w:t>
      </w:r>
    </w:p>
    <w:p>
      <w:pPr>
        <w:pStyle w:val="FirstParagraph"/>
      </w:pPr>
      <w:r>
        <w:rPr>
          <w:rFonts w:hint="eastAsia"/>
          <w:b/>
          <w:bCs/>
        </w:rPr>
        <w:t xml:space="preserve">结论</w:t>
      </w:r>
      <w:r>
        <w:rPr>
          <w:rFonts w:hint="eastAsia"/>
        </w:rPr>
        <w:t xml:space="preserve">附录只保留核心模型实现和关键检验代码。</w:t>
      </w:r>
    </w:p>
    <w:bookmarkStart w:id="197" w:name="a-项目材料说明"/>
    <w:p>
      <w:pPr>
        <w:pStyle w:val="Heading2"/>
      </w:pPr>
      <w:r>
        <w:t xml:space="preserve">A </w:t>
      </w:r>
      <w:r>
        <w:rPr>
          <w:rFonts w:hint="eastAsia"/>
        </w:rPr>
        <w:t xml:space="preserve">项目材料说明</w:t>
      </w:r>
    </w:p>
    <w:p>
      <w:pPr>
        <w:pStyle w:val="FirstParagraph"/>
      </w:pPr>
      <w:r>
        <w:rPr>
          <w:rFonts w:hint="eastAsia"/>
        </w:rPr>
        <w:t xml:space="preserve">本文的建模、校验、绘图和论文生成均保存在同一项目目录中。附录只列出与论文结果直接相关的核心目录和关键代码，项目核心结构如下。</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src/</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传统供需基准与短期冲击模型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天长期三情景预测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              </w:t>
      </w:r>
      <w:r>
        <w:rPr>
          <w:rStyle w:val="VerbatimChar"/>
          <w:rFonts w:hint="eastAsia"/>
        </w:rPr>
        <w:t xml:space="preserve">一键构建、R</w:t>
      </w:r>
      <w:r>
        <w:rPr>
          <w:rStyle w:val="VerbatimChar"/>
        </w:rPr>
        <w:t xml:space="preserve"> </w:t>
      </w:r>
      <w:r>
        <w:rPr>
          <w:rStyle w:val="VerbatimChar"/>
          <w:rFonts w:hint="eastAsia"/>
        </w:rPr>
        <w:t xml:space="preserve">审计与</w:t>
      </w:r>
      <w:r>
        <w:rPr>
          <w:rStyle w:val="VerbatimChar"/>
        </w:rPr>
        <w:t xml:space="preserve"> DOCX </w:t>
      </w:r>
      <w:r>
        <w:rPr>
          <w:rStyle w:val="VerbatimChar"/>
          <w:rFonts w:hint="eastAsia"/>
        </w:rPr>
        <w:t xml:space="preserve">后处理脚本</w:t>
      </w:r>
      <w:r>
        <w:br/>
      </w:r>
      <w:r>
        <w:rPr>
          <w:rStyle w:val="VerbatimChar"/>
        </w:rPr>
        <w:t xml:space="preserve">|-- paper/                </w:t>
      </w:r>
      <w:r>
        <w:rPr>
          <w:rStyle w:val="VerbatimChar"/>
          <w:rFonts w:hint="eastAsia"/>
        </w:rPr>
        <w:t xml:space="preserve">总论文</w:t>
      </w:r>
      <w:r>
        <w:rPr>
          <w:rStyle w:val="VerbatimChar"/>
        </w:rPr>
        <w:t xml:space="preserve"> LaTeX </w:t>
      </w:r>
      <w:r>
        <w:rPr>
          <w:rStyle w:val="VerbatimChar"/>
          <w:rFonts w:hint="eastAsia"/>
        </w:rPr>
        <w:t xml:space="preserve">源码、章节和正式图表</w:t>
      </w:r>
      <w:r>
        <w:br/>
      </w:r>
      <w:r>
        <w:rPr>
          <w:rStyle w:val="VerbatimChar"/>
        </w:rPr>
        <w:t xml:space="preserve">|-- output/               </w:t>
      </w:r>
      <w:r>
        <w:rPr>
          <w:rStyle w:val="VerbatimChar"/>
          <w:rFonts w:hint="eastAsia"/>
        </w:rPr>
        <w:t xml:space="preserve">模型结果、校验报告和最终</w:t>
      </w:r>
      <w:r>
        <w:rPr>
          <w:rStyle w:val="VerbatimChar"/>
        </w:rPr>
        <w:t xml:space="preserve"> PDF/DOCX</w:t>
      </w:r>
    </w:p>
    <w:bookmarkEnd w:id="197"/>
    <w:bookmarkStart w:id="198" w:name="b-数据口径"/>
    <w:p>
      <w:pPr>
        <w:pStyle w:val="Heading2"/>
      </w:pPr>
      <w:r>
        <w:t xml:space="preserve">B </w:t>
      </w:r>
      <w:r>
        <w:rPr>
          <w:rFonts w:hint="eastAsia"/>
        </w:rPr>
        <w:t xml:space="preserve">数据口径</w:t>
      </w:r>
    </w:p>
    <w:p>
      <w:pPr>
        <w:pStyle w:val="FirstParagraph"/>
      </w:pPr>
      <w:r>
        <w:rPr>
          <w:rFonts w:hint="eastAsia"/>
        </w:rPr>
        <w:t xml:space="preserve">真实价格数据仅来自赛题附件，并经清洗后形成中文命名数据文件。短期拟合使用附件中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98"/>
    <w:bookmarkStart w:id="199" w:name="c-短期冲击模型核心代码"/>
    <w:p>
      <w:pPr>
        <w:pStyle w:val="Heading2"/>
      </w:pPr>
      <w:r>
        <w:t xml:space="preserve">C </w:t>
      </w:r>
      <w:r>
        <w:rPr>
          <w:rFonts w:hint="eastAsia"/>
        </w:rPr>
        <w:t xml:space="preserve">短期冲击模型核心代码</w:t>
      </w:r>
    </w:p>
    <w:p>
      <w:pPr>
        <w:pStyle w:val="FirstParagraph"/>
      </w:pPr>
      <w:r>
        <w:rPr>
          <w:rFonts w:hint="eastAsia"/>
        </w:rPr>
        <w:t xml:space="preserve">代码</w:t>
      </w:r>
      <w:r>
        <w:t xml:space="preserve"> </w:t>
      </w:r>
      <w:hyperlink w:anchor="lst:dynamic-recursion">
        <w:r>
          <w:rPr>
            <w:rStyle w:val="Hyperlink"/>
          </w:rPr>
          <w:t xml:space="preserve">[lst:dynamic-recursion]</w:t>
        </w:r>
      </w:hyperlink>
      <w:r>
        <w:t xml:space="preserve"> </w:t>
      </w:r>
      <w:r>
        <w:rPr>
          <w:rFonts w:hint="eastAsia"/>
        </w:rPr>
        <w:t xml:space="preserve">展示短期冲击模型的核心实现。</w:t>
      </w:r>
    </w:p>
    <w:p>
      <w:pPr>
        <w:pStyle w:val="BodyText"/>
      </w:pPr>
      <w:r>
        <w:t xml:space="preserve">lst:dynamic-recursion</w:t>
      </w:r>
      <w:r>
        <w:t xml:space="preserve">python</w:t>
      </w:r>
      <w:r>
        <w:rPr>
          <w:rFonts w:hint="eastAsia"/>
        </w:rPr>
        <w:t xml:space="preserve">短期冲击模型核心实现</w:t>
      </w:r>
      <w:r>
        <w:t xml:space="preserve"> </w:t>
      </w:r>
      <w:r>
        <w:t xml:space="preserve">def simulate_dynamic_model(event_df, assumptions, behavior):</w:t>
      </w:r>
      <w:r>
        <w:t xml:space="preserve"> </w:t>
      </w:r>
      <w:r>
        <w:t xml:space="preserve">base_price = float(event_df.iloc[0]["pre_close"])</w:t>
      </w:r>
      <w:r>
        <w:t xml:space="preserve"> </w:t>
      </w:r>
      <w:r>
        <w:t xml:space="preserve">previous_price = base_price</w:t>
      </w:r>
      <w:r>
        <w:t xml:space="preserve"> </w:t>
      </w:r>
      <w:r>
        <w:t xml:space="preserve">previous_fear_excess = assumptions.fear_initial</w:t>
      </w:r>
      <w:r>
        <w:t xml:space="preserve"> </w:t>
      </w:r>
      <w:r>
        <w:t xml:space="preserve">inventory_remaining = assumptions.commercial_inventory</w:t>
      </w:r>
      <w:r>
        <w:t xml:space="preserve"> </w:t>
      </w:r>
      <w:r>
        <w:t xml:space="preserve">gap_closure_day = None</w:t>
      </w:r>
      <w:r>
        <w:t xml:space="preserve"> </w:t>
      </w:r>
      <w:r>
        <w:t xml:space="preserve">rows = []</w:t>
      </w:r>
    </w:p>
    <w:p>
      <w:pPr>
        <w:pStyle w:val="BodyText"/>
      </w:pPr>
      <w:r>
        <w:t xml:space="preserve">for step_index, actual_row in enumerate(event_df.itertuples(index=False)):</w:t>
      </w:r>
      <w:r>
        <w:t xml:space="preserve"> </w:t>
      </w:r>
      <w:r>
        <w:t xml:space="preserve">day_index = int((actual_row.trade_date - event_df["trade_date"].min()).days)</w:t>
      </w:r>
      <w:r>
        <w:t xml:space="preserve"> </w:t>
      </w:r>
      <w:r>
        <w:t xml:space="preserve">elasticity = interpolate_elasticity(day_index, assumptions)</w:t>
      </w:r>
      <w:r>
        <w:t xml:space="preserve"> </w:t>
      </w:r>
      <w:r>
        <w:t xml:space="preserve">price_ratio = max(previous_price / base_price, 0.1)</w:t>
      </w:r>
    </w:p>
    <w:p>
      <w:pPr>
        <w:pStyle w:val="BodyText"/>
      </w:pPr>
      <w:r>
        <w:t xml:space="preserve"># </w:t>
      </w:r>
      <w:r>
        <w:rPr>
          <w:rFonts w:hint="eastAsia"/>
        </w:rPr>
        <w:t xml:space="preserve">需求侧：价格弹性与高油价需求收缩共同作用</w:t>
      </w:r>
      <w:r>
        <w:t xml:space="preserve"> </w:t>
      </w:r>
      <w:r>
        <w:t xml:space="preserve">price_adjusted_demand = assumptions.base_demand * (price_ratio ** elasticity)</w:t>
      </w:r>
      <w:r>
        <w:t xml:space="preserve"> </w:t>
      </w:r>
      <w:r>
        <w:t xml:space="preserve">demand_decline = ramp(day_index, 0, assumptions.demand_decline_ramp_days,</w:t>
      </w:r>
      <w:r>
        <w:t xml:space="preserve"> </w:t>
      </w:r>
      <w:r>
        <w:t xml:space="preserve">assumptions.observed_demand_decline)</w:t>
      </w:r>
      <w:r>
        <w:t xml:space="preserve"> </w:t>
      </w:r>
      <w:r>
        <w:t xml:space="preserve">effective_demand = max(price_adjusted_demand - demand_decline,</w:t>
      </w:r>
      <w:r>
        <w:t xml:space="preserve"> </w:t>
      </w:r>
      <w:r>
        <w:t xml:space="preserve">assumptions.base_demand * 0.70)</w:t>
      </w:r>
    </w:p>
    <w:p>
      <w:pPr>
        <w:pStyle w:val="BodyText"/>
      </w:pPr>
      <w:r>
        <w:t xml:space="preserve"># </w:t>
      </w:r>
      <w:r>
        <w:rPr>
          <w:rFonts w:hint="eastAsia"/>
        </w:rPr>
        <w:t xml:space="preserve">供给侧：基础供应扣除中断后，加入</w:t>
      </w:r>
      <w:r>
        <w:t xml:space="preserve"> </w:t>
      </w:r>
      <w:r>
        <w:rPr>
          <w:rFonts w:hint="eastAsia"/>
        </w:rPr>
        <w:t xml:space="preserve">SPR、绕道运输和库存缓冲</w:t>
      </w:r>
      <w:r>
        <w:t xml:space="preserve"> </w:t>
      </w:r>
      <w:r>
        <w:t xml:space="preserve">spr_release = ramp(day_index, assumptions.spr_delay_days,</w:t>
      </w:r>
      <w:r>
        <w:t xml:space="preserve"> </w:t>
      </w:r>
      <w:r>
        <w:t xml:space="preserve">assumptions.spr_ramp_days, assumptions.spr_max_release)</w:t>
      </w:r>
      <w:r>
        <w:t xml:space="preserve"> </w:t>
      </w:r>
      <w:r>
        <w:t xml:space="preserve">route_supply = ramp(day_index, assumptions.route_start_day,</w:t>
      </w:r>
      <w:r>
        <w:t xml:space="preserve"> </w:t>
      </w:r>
      <w:r>
        <w:t xml:space="preserve">assumptions.route_ramp_days, assumptions.route_max_capacity)</w:t>
      </w:r>
      <w:r>
        <w:t xml:space="preserve"> </w:t>
      </w:r>
      <w:r>
        <w:t xml:space="preserve">supply_without_inventory = (assumptions.base_supply</w:t>
      </w:r>
      <w:r>
        <w:t xml:space="preserve"> </w:t>
      </w:r>
      <w:r>
        <w:t xml:space="preserve">- assumptions.supply_interruption</w:t>
      </w:r>
      <w:r>
        <w:t xml:space="preserve"> </w:t>
      </w:r>
      <w:r>
        <w:t xml:space="preserve">+ spr_release + route_supply)</w:t>
      </w:r>
    </w:p>
    <w:p>
      <w:pPr>
        <w:pStyle w:val="BodyText"/>
      </w:pPr>
      <w:r>
        <w:t xml:space="preserve">raw_gap = max(effective_demand - supply_without_inventory, 0.0)</w:t>
      </w:r>
      <w:r>
        <w:t xml:space="preserve"> </w:t>
      </w:r>
      <w:r>
        <w:t xml:space="preserve">inventory_buffer = min(raw_gap * behavior.inventory_response,</w:t>
      </w:r>
      <w:r>
        <w:t xml:space="preserve"> </w:t>
      </w:r>
      <w:r>
        <w:t xml:space="preserve">assumptions.inventory_daily_cap,</w:t>
      </w:r>
      <w:r>
        <w:t xml:space="preserve"> </w:t>
      </w:r>
      <w:r>
        <w:t xml:space="preserve">inventory_remaining)</w:t>
      </w:r>
      <w:r>
        <w:t xml:space="preserve"> </w:t>
      </w:r>
      <w:r>
        <w:t xml:space="preserve">inventory_remaining -= inventory_buffer</w:t>
      </w:r>
      <w:r>
        <w:t xml:space="preserve"> </w:t>
      </w:r>
      <w:r>
        <w:t xml:space="preserve">effective_supply = supply_without_inventory + inventory_buffer</w:t>
      </w:r>
      <w:r>
        <w:t xml:space="preserve"> </w:t>
      </w:r>
      <w:r>
        <w:t xml:space="preserve">residual_gap = max(effective_demand - effective_supply, 0.0)</w:t>
      </w:r>
      <w:r>
        <w:t xml:space="preserve"> </w:t>
      </w:r>
      <w:r>
        <w:t xml:space="preserve">if gap_closure_day is None and residual_gap &lt;= assumptions.base_demand * 0.005:</w:t>
      </w:r>
      <w:r>
        <w:t xml:space="preserve"> </w:t>
      </w:r>
      <w:r>
        <w:t xml:space="preserve">gap_closure_day = day_index</w:t>
      </w:r>
    </w:p>
    <w:p>
      <w:pPr>
        <w:pStyle w:val="BodyText"/>
      </w:pPr>
      <w:r>
        <w:t xml:space="preserve"># </w:t>
      </w:r>
      <w:r>
        <w:rPr>
          <w:rFonts w:hint="eastAsia"/>
        </w:rPr>
        <w:t xml:space="preserve">价格形成层：物理缺口、地缘风险、恐慌溢价与市场缓冲折价</w:t>
      </w:r>
      <w:r>
        <w:t xml:space="preserve"> </w:t>
      </w:r>
      <w:r>
        <w:t xml:space="preserve">fear_excess = assumptions.fear_initial * np.exp(-assumptions.fear_decay * day_index)</w:t>
      </w:r>
      <w:r>
        <w:t xml:space="preserve"> </w:t>
      </w:r>
      <w:r>
        <w:t xml:space="preserve">shortage_pressure = (base_price * behavior.pressure_scale</w:t>
      </w:r>
      <w:r>
        <w:t xml:space="preserve"> </w:t>
      </w:r>
      <w:r>
        <w:t xml:space="preserve">* (residual_gap / assumptions.base_demand)</w:t>
      </w:r>
      <w:r>
        <w:t xml:space="preserve"> </w:t>
      </w:r>
      <w:r>
        <w:t xml:space="preserve">/ max(abs(elasticity), 0.01))</w:t>
      </w:r>
      <w:r>
        <w:t xml:space="preserve"> </w:t>
      </w:r>
      <w:r>
        <w:t xml:space="preserve">blockade_risk_premium = (base_price * behavior.risk_weight</w:t>
      </w:r>
      <w:r>
        <w:t xml:space="preserve"> </w:t>
      </w:r>
      <w:r>
        <w:t xml:space="preserve">* (assumptions.supply_interruption / assumptions.base_demand)</w:t>
      </w:r>
      <w:r>
        <w:t xml:space="preserve"> </w:t>
      </w:r>
      <w:r>
        <w:t xml:space="preserve">* (1 - np.exp(-day_index / 7))</w:t>
      </w:r>
      <w:r>
        <w:t xml:space="preserve"> </w:t>
      </w:r>
      <w:r>
        <w:t xml:space="preserve">* np.exp(-BLOCKADE_RISK_DECAY * day_index))</w:t>
      </w:r>
      <w:r>
        <w:t xml:space="preserve"> </w:t>
      </w:r>
      <w:r>
        <w:t xml:space="preserve">panic_premium = base_price * 0.45 * fear_excess</w:t>
      </w:r>
    </w:p>
    <w:p>
      <w:pPr>
        <w:pStyle w:val="BodyText"/>
      </w:pPr>
      <w:r>
        <w:t xml:space="preserve">target_price = (base_price + shortage_pressure + blockade_risk_premium</w:t>
      </w:r>
      <w:r>
        <w:t xml:space="preserve"> </w:t>
      </w:r>
      <w:r>
        <w:t xml:space="preserve">+ panic_premium</w:t>
      </w:r>
      <w:r>
        <w:t xml:space="preserve"> </w:t>
      </w:r>
      <w:r>
        <w:t xml:space="preserve">- buffer_confirmation_discount(day_index, gap_closure_day,</w:t>
      </w:r>
      <w:r>
        <w:t xml:space="preserve"> </w:t>
      </w:r>
      <w:r>
        <w:t xml:space="preserve">base_price, behavior)</w:t>
      </w:r>
      <w:r>
        <w:t xml:space="preserve"> </w:t>
      </w:r>
      <w:r>
        <w:t xml:space="preserve">- expectation_relief_discount(day_index, base_price, behavior))</w:t>
      </w:r>
    </w:p>
    <w:p>
      <w:pPr>
        <w:pStyle w:val="BodyText"/>
      </w:pPr>
      <w:r>
        <w:t xml:space="preserve">simulated_price = previous_price + behavior.adjustment_speed * (target_price - previous_price)</w:t>
      </w:r>
      <w:r>
        <w:t xml:space="preserve"> </w:t>
      </w:r>
      <w:r>
        <w:t xml:space="preserve">simulated_price += 2.5 * (fear_excess - previous_fear_excess)</w:t>
      </w:r>
      <w:r>
        <w:t xml:space="preserve"> </w:t>
      </w:r>
      <w:r>
        <w:t xml:space="preserve">rows.append(</w:t>
      </w:r>
      <w:r>
        <w:t xml:space="preserve">"day_index": day_index, "simulated_price": simulated_price</w:t>
      </w:r>
      <w:r>
        <w:t xml:space="preserve">)</w:t>
      </w:r>
      <w:r>
        <w:t xml:space="preserve"> </w:t>
      </w:r>
      <w:r>
        <w:t xml:space="preserve">previous_price = simulated_price</w:t>
      </w:r>
      <w:r>
        <w:t xml:space="preserve"> </w:t>
      </w:r>
      <w:r>
        <w:t xml:space="preserve">previous_fear_excess = fear_excess</w:t>
      </w:r>
    </w:p>
    <w:p>
      <w:pPr>
        <w:pStyle w:val="BodyText"/>
      </w:pPr>
      <w:r>
        <w:t xml:space="preserve">return pd.DataFrame(rows)</w:t>
      </w:r>
    </w:p>
    <w:bookmarkEnd w:id="199"/>
    <w:bookmarkStart w:id="200" w:name="d-参数校准模块"/>
    <w:p>
      <w:pPr>
        <w:pStyle w:val="Heading2"/>
      </w:pPr>
      <w:r>
        <w:t xml:space="preserve">D </w:t>
      </w:r>
      <w:r>
        <w:rPr>
          <w:rFonts w:hint="eastAsia"/>
        </w:rPr>
        <w:t xml:space="preserve">参数校准模块</w:t>
      </w:r>
    </w:p>
    <w:p>
      <w:pPr>
        <w:pStyle w:val="FirstParagraph"/>
      </w:pPr>
      <w:r>
        <w:rPr>
          <w:rFonts w:hint="eastAsia"/>
        </w:rPr>
        <w:t xml:space="preserve">代码</w:t>
      </w:r>
      <w:r>
        <w:t xml:space="preserve"> </w:t>
      </w:r>
      <w:hyperlink w:anchor="lst:calibration">
        <w:r>
          <w:rPr>
            <w:rStyle w:val="Hyperlink"/>
          </w:rPr>
          <w:t xml:space="preserve">[lst:calibration]</w:t>
        </w:r>
      </w:hyperlink>
      <w:r>
        <w:t xml:space="preserve"> </w:t>
      </w:r>
      <w:r>
        <w:rPr>
          <w:rFonts w:hint="eastAsia"/>
        </w:rPr>
        <w:t xml:space="preserve">给出参数校准流程。本文在固定机制结构下，综合使用差分进化、局部稳定性搜索和拟合质量精修选择代表性参数。</w:t>
      </w:r>
    </w:p>
    <w:p>
      <w:pPr>
        <w:pStyle w:val="BodyText"/>
      </w:pPr>
      <w:r>
        <w:t xml:space="preserve">lst:calibration</w:t>
      </w:r>
      <w:r>
        <w:t xml:space="preserve">python</w:t>
      </w:r>
      <w:r>
        <w:rPr>
          <w:rFonts w:hint="eastAsia"/>
        </w:rPr>
        <w:t xml:space="preserve">参数校准与局部稳健性搜索</w:t>
      </w:r>
      <w:r>
        <w:t xml:space="preserve"> </w:t>
      </w:r>
      <w:r>
        <w:t xml:space="preserve">def refine_with_continuous_search(event_df, base_assumptions):</w:t>
      </w:r>
      <w:r>
        <w:t xml:space="preserve"> </w:t>
      </w:r>
      <w:r>
        <w:t xml:space="preserve">def objective(values):</w:t>
      </w:r>
      <w:r>
        <w:t xml:space="preserve"> </w:t>
      </w:r>
      <w:r>
        <w:t xml:space="preserve">assumptions, behavior = decode_continuous_parameters(values, base_assumptions)</w:t>
      </w:r>
      <w:r>
        <w:t xml:space="preserve"> </w:t>
      </w:r>
      <w:r>
        <w:t xml:space="preserve">simulation = dynamic.simulate_dynamic_model(event_df, assumptions, behavior)</w:t>
      </w:r>
      <w:r>
        <w:t xml:space="preserve"> </w:t>
      </w:r>
      <w:r>
        <w:t xml:space="preserve">metrics = evaluate_simulation(simulation)</w:t>
      </w:r>
    </w:p>
    <w:p>
      <w:pPr>
        <w:pStyle w:val="BodyText"/>
      </w:pPr>
      <w:r>
        <w:t xml:space="preserve"># </w:t>
      </w:r>
      <w:r>
        <w:rPr>
          <w:rFonts w:hint="eastAsia"/>
        </w:rPr>
        <w:t xml:space="preserve">综合得分同时考虑整体误差、峰值误差、末日误差和平台解释能力</w:t>
      </w:r>
      <w:r>
        <w:t xml:space="preserve"> </w:t>
      </w:r>
      <w:r>
        <w:t xml:space="preserve">return </w:t>
      </w:r>
      <w:r>
        <w:rPr>
          <w:rFonts w:hint="eastAsia"/>
        </w:rPr>
        <w:t xml:space="preserve">metrics["综合得分"]</w:t>
      </w:r>
      <w:r>
        <w:t xml:space="preserve"> + excellence_penalty(metrics)</w:t>
      </w:r>
    </w:p>
    <w:p>
      <w:pPr>
        <w:pStyle w:val="BodyText"/>
      </w:pPr>
      <w:r>
        <w:t xml:space="preserve">result = differential_evolution(</w:t>
      </w:r>
      <w:r>
        <w:t xml:space="preserve"> </w:t>
      </w:r>
      <w:r>
        <w:t xml:space="preserve">objective,</w:t>
      </w:r>
      <w:r>
        <w:t xml:space="preserve"> </w:t>
      </w:r>
      <w:r>
        <w:t xml:space="preserve">CONTINUOUS_PARAMETER_BOUNDS,</w:t>
      </w:r>
      <w:r>
        <w:t xml:space="preserve"> </w:t>
      </w:r>
      <w:r>
        <w:t xml:space="preserve">seed=RANDOM_SEED,</w:t>
      </w:r>
      <w:r>
        <w:t xml:space="preserve"> </w:t>
      </w:r>
      <w:r>
        <w:t xml:space="preserve">maxiter=LOCAL_REFINEMENT_MAXITER,</w:t>
      </w:r>
      <w:r>
        <w:t xml:space="preserve"> </w:t>
      </w:r>
      <w:r>
        <w:t xml:space="preserve">popsize=LOCAL_REFINEMENT_POPSIZE,</w:t>
      </w:r>
      <w:r>
        <w:t xml:space="preserve"> </w:t>
      </w:r>
      <w:r>
        <w:t xml:space="preserve">polish=True,</w:t>
      </w:r>
      <w:r>
        <w:t xml:space="preserve"> </w:t>
      </w:r>
      <w:r>
        <w:t xml:space="preserve">workers=1,</w:t>
      </w:r>
      <w:r>
        <w:t xml:space="preserve"> </w:t>
      </w:r>
      <w:r>
        <w:t xml:space="preserve">tol=0.002,</w:t>
      </w:r>
      <w:r>
        <w:t xml:space="preserve"> </w:t>
      </w:r>
      <w:r>
        <w:t xml:space="preserve">)</w:t>
      </w:r>
    </w:p>
    <w:p>
      <w:pPr>
        <w:pStyle w:val="BodyText"/>
      </w:pPr>
      <w:r>
        <w:t xml:space="preserve">assumptions, behavior = decode_continuous_parameters(result.x, base_assumptions)</w:t>
      </w:r>
      <w:r>
        <w:t xml:space="preserve"> </w:t>
      </w:r>
      <w:r>
        <w:t xml:space="preserve">simulation = dynamic.simulate_dynamic_model(event_df, assumptions, behavior)</w:t>
      </w:r>
      <w:r>
        <w:t xml:space="preserve"> </w:t>
      </w:r>
      <w:r>
        <w:t xml:space="preserve">metrics = evaluate_simulation(simulation)</w:t>
      </w:r>
      <w:r>
        <w:t xml:space="preserve"> </w:t>
      </w:r>
      <w:r>
        <w:rPr>
          <w:rFonts w:hint="eastAsia"/>
        </w:rPr>
        <w:t xml:space="preserve">metrics["局部精修目标值"]</w:t>
      </w:r>
      <w:r>
        <w:t xml:space="preserve"> = float(result.fun)</w:t>
      </w:r>
      <w:r>
        <w:t xml:space="preserve"> </w:t>
      </w:r>
      <w:r>
        <w:t xml:space="preserve">return assumptions, behavior, simulation, metrics</w:t>
      </w:r>
    </w:p>
    <w:p>
      <w:pPr>
        <w:pStyle w:val="BodyText"/>
      </w:pPr>
      <w:r>
        <w:t xml:space="preserve">def calibrate(event_df, base_assumptions):</w:t>
      </w:r>
      <w:r>
        <w:t xml:space="preserve"> </w:t>
      </w:r>
      <w:r>
        <w:t xml:space="preserve">rows, simulations = [],</w:t>
      </w:r>
      <w:r>
        <w:t xml:space="preserve"> </w:t>
      </w:r>
      <w:r>
        <w:t xml:space="preserve">for candidate_id, (assumptions, behavior) in enumerate(sampled_parameter_sets(base_assumptions)):</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"candidate_id": candidate_id, "candidate_source": "seeded_random",</w:t>
      </w:r>
      <w:r>
        <w:t xml:space="preserve"> </w:t>
      </w:r>
      <w:r>
        <w:t xml:space="preserve">**metrics</w:t>
      </w:r>
      <w:r>
        <w:t xml:space="preserve">)</w:t>
      </w:r>
      <w:r>
        <w:t xml:space="preserve"> </w:t>
      </w:r>
      <w:r>
        <w:t xml:space="preserve">simulations[candidate_id] = simulation</w:t>
      </w:r>
    </w:p>
    <w:p>
      <w:pPr>
        <w:pStyle w:val="BodyText"/>
      </w:pPr>
      <w:r>
        <w:t xml:space="preserve"># </w:t>
      </w:r>
      <w:r>
        <w:rPr>
          <w:rFonts w:hint="eastAsia"/>
        </w:rPr>
        <w:t xml:space="preserve">在随机搜索基础上继续做连续精修、局部稳健性搜索和拟合质量精修</w:t>
      </w:r>
      <w:r>
        <w:t xml:space="preserve"> </w:t>
      </w:r>
      <w:r>
        <w:t xml:space="preserve">refined = refine_with_continuous_search(event_df, base_assumptions)</w:t>
      </w:r>
      <w:r>
        <w:t xml:space="preserve"> </w:t>
      </w:r>
      <w:r>
        <w:t xml:space="preserve">stable = refine_with_local_stability_search(event_df, base_assumptions,</w:t>
      </w:r>
      <w:r>
        <w:t xml:space="preserve"> </w:t>
      </w:r>
      <w:r>
        <w:t xml:space="preserve">refined[0], refined[1])</w:t>
      </w:r>
      <w:r>
        <w:t xml:space="preserve"> </w:t>
      </w:r>
      <w:r>
        <w:t xml:space="preserve">final = refine_with_fit_quality_search(event_df, base_assumptions,</w:t>
      </w:r>
      <w:r>
        <w:t xml:space="preserve"> </w:t>
      </w:r>
      <w:r>
        <w:t xml:space="preserve">stable[0], stable[1])</w:t>
      </w:r>
      <w:r>
        <w:t xml:space="preserve"> </w:t>
      </w:r>
      <w:r>
        <w:t xml:space="preserve">return select_representative_candidates(rows, simulations, final)</w:t>
      </w:r>
    </w:p>
    <w:bookmarkEnd w:id="200"/>
    <w:bookmarkStart w:id="201" w:name="e-中长期油价调节模型递推与政策缓冲"/>
    <w:p>
      <w:pPr>
        <w:pStyle w:val="Heading2"/>
      </w:pPr>
      <w:r>
        <w:t xml:space="preserve">E </w:t>
      </w:r>
      <w:r>
        <w:rPr>
          <w:rFonts w:hint="eastAsia"/>
        </w:rPr>
        <w:t xml:space="preserve">中长期油价调节模型递推与政策缓冲</w:t>
      </w:r>
    </w:p>
    <w:p>
      <w:pPr>
        <w:pStyle w:val="FirstParagraph"/>
      </w:pPr>
      <w:r>
        <w:rPr>
          <w:rFonts w:hint="eastAsia"/>
        </w:rPr>
        <w:t xml:space="preserve">代码</w:t>
      </w:r>
      <w:r>
        <w:t xml:space="preserve"> </w:t>
      </w:r>
      <w:hyperlink w:anchor="lst:future-recursion">
        <w:r>
          <w:rPr>
            <w:rStyle w:val="Hyperlink"/>
          </w:rPr>
          <w:t xml:space="preserve">[lst:future-recursion]</w:t>
        </w:r>
      </w:hyperlink>
      <w:r>
        <w:t xml:space="preserve"> </w:t>
      </w:r>
      <w:r>
        <w:rPr>
          <w:rFonts w:hint="eastAsia"/>
        </w:rPr>
        <w:t xml:space="preserve">展示长期外推中</w:t>
      </w:r>
      <w:r>
        <w:t xml:space="preserve"> SPR </w:t>
      </w:r>
      <w:r>
        <w:rPr>
          <w:rFonts w:hint="eastAsia"/>
        </w:rPr>
        <w:t xml:space="preserve">自适应释放与供需再平衡的处理。该模块避免把战略储备释放机械设为满额，而是根据剩余缺口、价格压力和时间衰减动态收缩释放强度。</w:t>
      </w:r>
    </w:p>
    <w:p>
      <w:pPr>
        <w:pStyle w:val="BodyText"/>
      </w:pPr>
      <w:r>
        <w:t xml:space="preserve">lst:future-recursion</w:t>
      </w:r>
      <w:r>
        <w:t xml:space="preserve">python</w:t>
      </w:r>
      <w:r>
        <w:rPr>
          <w:rFonts w:hint="eastAsia"/>
        </w:rPr>
        <w:t xml:space="preserve">中长期油价调节模型中的</w:t>
      </w:r>
      <w:r>
        <w:t xml:space="preserve"> SPR </w:t>
      </w:r>
      <w:r>
        <w:rPr>
          <w:rFonts w:hint="eastAsia"/>
        </w:rPr>
        <w:t xml:space="preserve">自适应释放</w:t>
      </w:r>
      <w:r>
        <w:t xml:space="preserve"> </w:t>
      </w:r>
      <w:r>
        <w:t xml:space="preserve">def adaptive_spr_release(day_index, scheduled_spr, gross_gap_before_spr,</w:t>
      </w:r>
      <w:r>
        <w:t xml:space="preserve"> </w:t>
      </w:r>
      <w:r>
        <w:t xml:space="preserve">previous_price, base_price, assumptions):</w:t>
      </w:r>
      <w:r>
        <w:t xml:space="preserve"> </w:t>
      </w:r>
      <w:r>
        <w:t xml:space="preserve">if scheduled_spr &lt;= 0:</w:t>
      </w:r>
      <w:r>
        <w:t xml:space="preserve"> </w:t>
      </w:r>
      <w:r>
        <w:t xml:space="preserve">return 0.0, 0.0</w:t>
      </w:r>
    </w:p>
    <w:p>
      <w:pPr>
        <w:pStyle w:val="BodyText"/>
      </w:pPr>
      <w:r>
        <w:t xml:space="preserve"># </w:t>
      </w:r>
      <w:r>
        <w:rPr>
          <w:rFonts w:hint="eastAsia"/>
        </w:rPr>
        <w:t xml:space="preserve">当物理缺口已基本覆盖时，SPR</w:t>
      </w:r>
      <w:r>
        <w:t xml:space="preserve"> </w:t>
      </w:r>
      <w:r>
        <w:rPr>
          <w:rFonts w:hint="eastAsia"/>
        </w:rPr>
        <w:t xml:space="preserve">不再机械满额释放</w:t>
      </w:r>
      <w:r>
        <w:t xml:space="preserve"> </w:t>
      </w:r>
      <w:r>
        <w:t xml:space="preserve">reserve_buffer = assumptions.base_demand * GAP_CLOSURE_SHARE</w:t>
      </w:r>
      <w:r>
        <w:t xml:space="preserve"> </w:t>
      </w:r>
      <w:r>
        <w:t xml:space="preserve">coverage_need = max(gross_gap_before_spr + reserve_buffer, 0.0)</w:t>
      </w:r>
      <w:r>
        <w:t xml:space="preserve"> </w:t>
      </w:r>
      <w:r>
        <w:t xml:space="preserve">demand_based_release = min(scheduled_spr, coverage_need)</w:t>
      </w:r>
    </w:p>
    <w:p>
      <w:pPr>
        <w:pStyle w:val="BodyText"/>
      </w:pPr>
      <w:r>
        <w:t xml:space="preserve">stress_ratio = np.clip(gross_gap_before_spr / max(assumptions.supply_interruption, 1.0),</w:t>
      </w:r>
      <w:r>
        <w:t xml:space="preserve"> </w:t>
      </w:r>
      <w:r>
        <w:t xml:space="preserve">0.0, 1.0)</w:t>
      </w:r>
      <w:r>
        <w:t xml:space="preserve"> </w:t>
      </w:r>
      <w:r>
        <w:t xml:space="preserve">price_stress = np.clip((previous_price / base_price - SPR_PRICE_STRESS_START_RATIO)</w:t>
      </w:r>
      <w:r>
        <w:t xml:space="preserve"> </w:t>
      </w:r>
      <w:r>
        <w:t xml:space="preserve">/ SPR_PRICE_STRESS_WIDTH, 0.0, 1.0)</w:t>
      </w:r>
      <w:r>
        <w:t xml:space="preserve"> </w:t>
      </w:r>
      <w:r>
        <w:t xml:space="preserve">minimum_policy_share = SPR_MIN_POLICY_SHARE + SPR_PRICE_POLICY_SHARE * price_stress</w:t>
      </w:r>
      <w:r>
        <w:t xml:space="preserve"> </w:t>
      </w:r>
      <w:r>
        <w:t xml:space="preserve">stress_share = max(minimum_policy_share, stress_ratio)</w:t>
      </w:r>
    </w:p>
    <w:p>
      <w:pPr>
        <w:pStyle w:val="BodyText"/>
      </w:pPr>
      <w:r>
        <w:t xml:space="preserve">time_taper = 1.0</w:t>
      </w:r>
      <w:r>
        <w:t xml:space="preserve"> </w:t>
      </w:r>
      <w:r>
        <w:t xml:space="preserve">if day_index &gt; SPR_TAPER_START_DAY:</w:t>
      </w:r>
      <w:r>
        <w:t xml:space="preserve"> </w:t>
      </w:r>
      <w:r>
        <w:t xml:space="preserve">time_taper = SPR_TAPER_FLOOR + (1 - SPR_TAPER_FLOOR) * np.exp(</w:t>
      </w:r>
      <w:r>
        <w:t xml:space="preserve"> </w:t>
      </w:r>
      <w:r>
        <w:t xml:space="preserve">-(day_index - SPR_TAPER_START_DAY) / SPR_TAPER_DECAY_DAYS</w:t>
      </w:r>
      <w:r>
        <w:t xml:space="preserve"> </w:t>
      </w:r>
      <w:r>
        <w:t xml:space="preserve">)</w:t>
      </w:r>
    </w:p>
    <w:p>
      <w:pPr>
        <w:pStyle w:val="BodyText"/>
      </w:pPr>
      <w:r>
        <w:t xml:space="preserve">actual_release = max(demand_based_release, scheduled_spr * stress_share * time_taper)</w:t>
      </w:r>
      <w:r>
        <w:t xml:space="preserve"> </w:t>
      </w:r>
      <w:r>
        <w:t xml:space="preserve">actual_release = float(min(scheduled_spr, actual_release))</w:t>
      </w:r>
      <w:r>
        <w:t xml:space="preserve"> </w:t>
      </w:r>
      <w:r>
        <w:t xml:space="preserve">return actual_release, actual_release / scheduled_spr</w:t>
      </w:r>
    </w:p>
    <w:bookmarkEnd w:id="201"/>
    <w:bookmarkStart w:id="202" w:name="f-长期状态转移递推"/>
    <w:p>
      <w:pPr>
        <w:pStyle w:val="Heading2"/>
      </w:pPr>
      <w:r>
        <w:t xml:space="preserve">F </w:t>
      </w:r>
      <w:r>
        <w:rPr>
          <w:rFonts w:hint="eastAsia"/>
        </w:rPr>
        <w:t xml:space="preserve">长期状态转移递推</w:t>
      </w:r>
    </w:p>
    <w:p>
      <w:pPr>
        <w:pStyle w:val="FirstParagraph"/>
      </w:pPr>
      <w:r>
        <w:rPr>
          <w:rFonts w:hint="eastAsia"/>
        </w:rPr>
        <w:t xml:space="preserve">代码</w:t>
      </w:r>
      <w:r>
        <w:t xml:space="preserve"> </w:t>
      </w:r>
      <w:hyperlink w:anchor="lst:state-transition-probability">
        <w:r>
          <w:rPr>
            <w:rStyle w:val="Hyperlink"/>
          </w:rPr>
          <w:t xml:space="preserve">[lst:state-transition-probability]</w:t>
        </w:r>
      </w:hyperlink>
      <w:r>
        <w:t xml:space="preserve"> </w:t>
      </w:r>
      <w:r>
        <w:rPr>
          <w:rFonts w:hint="eastAsia"/>
        </w:rPr>
        <w:t xml:space="preserve">展示长期预测中状态转移概率的递推方式。基础矩阵先给出缓和、维持、升级三类状态之间的常规切换概率，再由</w:t>
      </w:r>
      <w:r>
        <w:t xml:space="preserve"> GPR </w:t>
      </w:r>
      <w:r>
        <w:rPr>
          <w:rFonts w:hint="eastAsia"/>
        </w:rPr>
        <w:t xml:space="preserve">和</w:t>
      </w:r>
      <w:r>
        <w:t xml:space="preserve"> OVX </w:t>
      </w:r>
      <w:r>
        <w:rPr>
          <w:rFonts w:hint="eastAsia"/>
        </w:rPr>
        <w:t xml:space="preserve">形成的综合风险压力对升级概率进行温和修正，并在后期加入风险缓和项。</w:t>
      </w:r>
    </w:p>
    <w:p>
      <w:pPr>
        <w:pStyle w:val="BodyText"/>
      </w:pPr>
      <w:r>
        <w:t xml:space="preserve">lst:state-transition-probability</w:t>
      </w:r>
      <w:r>
        <w:t xml:space="preserve">python</w:t>
      </w:r>
      <w:r>
        <w:rPr>
          <w:rFonts w:hint="eastAsia"/>
        </w:rPr>
        <w:t xml:space="preserve">长期状态转移概率递推</w:t>
      </w:r>
      <w:r>
        <w:t xml:space="preserve"> </w:t>
      </w:r>
      <w:r>
        <w:t xml:space="preserve">def transition_probabilities(current_state, day_index, risk_constraints):</w:t>
      </w:r>
      <w:r>
        <w:t xml:space="preserve"> </w:t>
      </w:r>
      <w:r>
        <w:t xml:space="preserve">probs = TRANSITION_MATRIX[STATE_INDEX[current_state]].copy()</w:t>
      </w:r>
    </w:p>
    <w:p>
      <w:pPr>
        <w:pStyle w:val="BodyText"/>
      </w:pPr>
      <w:r>
        <w:t xml:space="preserve"># GPR/OVX </w:t>
      </w:r>
      <w:r>
        <w:rPr>
          <w:rFonts w:hint="eastAsia"/>
        </w:rPr>
        <w:t xml:space="preserve">风险主要影响外推早中期；随封锁持续和缓冲证据积累而衰减</w:t>
      </w:r>
      <w:r>
        <w:t xml:space="preserve"> </w:t>
      </w:r>
      <w:r>
        <w:t xml:space="preserve">early_risk_decay = np.clip(1.0 - max(day_index - 60, 0) / 140.0,</w:t>
      </w:r>
      <w:r>
        <w:t xml:space="preserve"> </w:t>
      </w:r>
      <w:r>
        <w:t xml:space="preserve">0.18, 1.0)</w:t>
      </w:r>
      <w:r>
        <w:t xml:space="preserve"> </w:t>
      </w:r>
      <w:r>
        <w:t xml:space="preserve">risk_shift = risk_constraints.combined_pressure * early_risk_decay</w:t>
      </w:r>
      <w:r>
        <w:t xml:space="preserve"> </w:t>
      </w:r>
      <w:r>
        <w:t xml:space="preserve">probs[STATE_INDEX["escalation"]] += 0.020 * risk_shift</w:t>
      </w:r>
      <w:r>
        <w:t xml:space="preserve"> </w:t>
      </w:r>
      <w:r>
        <w:t xml:space="preserve">probs[STATE_INDEX["easing"]] -= 0.014 * risk_shift</w:t>
      </w:r>
    </w:p>
    <w:p>
      <w:pPr>
        <w:pStyle w:val="BodyText"/>
      </w:pPr>
      <w:r>
        <w:t xml:space="preserve">if current_state == "escalation":</w:t>
      </w:r>
      <w:r>
        <w:t xml:space="preserve"> </w:t>
      </w:r>
      <w:r>
        <w:t xml:space="preserve">probs[STATE_INDEX["escalation"]] += 0.010 * risk_shift</w:t>
      </w:r>
      <w:r>
        <w:t xml:space="preserve"> </w:t>
      </w:r>
      <w:r>
        <w:t xml:space="preserve">probs[STATE_INDEX["neutral"]] -= 0.004 * risk_shift</w:t>
      </w:r>
      <w:r>
        <w:t xml:space="preserve"> </w:t>
      </w:r>
      <w:r>
        <w:t xml:space="preserve">elif current_state == "easing":</w:t>
      </w:r>
      <w:r>
        <w:t xml:space="preserve"> </w:t>
      </w:r>
      <w:r>
        <w:t xml:space="preserve">probs[STATE_INDEX["neutral"]] += 0.006 * risk_shift</w:t>
      </w:r>
    </w:p>
    <w:p>
      <w:pPr>
        <w:pStyle w:val="BodyText"/>
      </w:pPr>
      <w:r>
        <w:t xml:space="preserve"># </w:t>
      </w:r>
      <w:r>
        <w:rPr>
          <w:rFonts w:hint="eastAsia"/>
        </w:rPr>
        <w:t xml:space="preserve">后期政策缓冲和替代运输逐渐被市场确认，状态概率向缓和侧移动</w:t>
      </w:r>
      <w:r>
        <w:t xml:space="preserve"> </w:t>
      </w:r>
      <w:r>
        <w:t xml:space="preserve">if day_index &gt;= 120:</w:t>
      </w:r>
      <w:r>
        <w:t xml:space="preserve"> </w:t>
      </w:r>
      <w:r>
        <w:t xml:space="preserve">probs[STATE_INDEX["easing"]] += 0.04</w:t>
      </w:r>
      <w:r>
        <w:t xml:space="preserve"> </w:t>
      </w:r>
      <w:r>
        <w:t xml:space="preserve">probs[STATE_INDEX["escalation"]] -= 0.04</w:t>
      </w:r>
      <w:r>
        <w:t xml:space="preserve"> </w:t>
      </w:r>
      <w:r>
        <w:t xml:space="preserve">if day_index &gt;= 150:</w:t>
      </w:r>
      <w:r>
        <w:t xml:space="preserve"> </w:t>
      </w:r>
      <w:r>
        <w:t xml:space="preserve">probs[STATE_INDEX["easing"]] += 0.03</w:t>
      </w:r>
      <w:r>
        <w:t xml:space="preserve"> </w:t>
      </w:r>
      <w:r>
        <w:t xml:space="preserve">probs[STATE_INDEX["neutral"]] -= 0.02</w:t>
      </w:r>
      <w:r>
        <w:t xml:space="preserve"> </w:t>
      </w:r>
      <w:r>
        <w:t xml:space="preserve">probs[STATE_INDEX["escalation"]] -= 0.01</w:t>
      </w:r>
    </w:p>
    <w:p>
      <w:pPr>
        <w:pStyle w:val="BodyText"/>
      </w:pPr>
      <w:r>
        <w:t xml:space="preserve">probs = np.clip(probs, 0.01, 0.98)</w:t>
      </w:r>
      <w:r>
        <w:t xml:space="preserve"> </w:t>
      </w:r>
      <w:r>
        <w:t xml:space="preserve">return probs / probs.sum()</w:t>
      </w:r>
    </w:p>
    <w:p>
      <w:pPr>
        <w:pStyle w:val="BodyText"/>
      </w:pPr>
      <w:r>
        <w:rPr>
          <w:rFonts w:hint="eastAsia"/>
        </w:rPr>
        <w:t xml:space="preserve">代码</w:t>
      </w:r>
      <w:r>
        <w:t xml:space="preserve"> </w:t>
      </w:r>
      <w:hyperlink w:anchor="lst:state-transition-path">
        <w:r>
          <w:rPr>
            <w:rStyle w:val="Hyperlink"/>
          </w:rPr>
          <w:t xml:space="preserve">[lst:state-transition-path]</w:t>
        </w:r>
      </w:hyperlink>
      <w:r>
        <w:t xml:space="preserve"> </w:t>
      </w:r>
      <w:r>
        <w:rPr>
          <w:rFonts w:hint="eastAsia"/>
        </w:rPr>
        <w:t xml:space="preserve">展示状态转移路径的价格递推。每条样本路径先抽取下一期市场状态，再根据状态选择对应中心情景，并叠加历史波动率约束下的扰动和状态切换跳跃，由此得到长期条件区间和尾部风险。</w:t>
      </w:r>
    </w:p>
    <w:p>
      <w:pPr>
        <w:pStyle w:val="BodyText"/>
      </w:pPr>
      <w:r>
        <w:t xml:space="preserve">lst:state-transition-path</w:t>
      </w:r>
      <w:r>
        <w:t xml:space="preserve">python</w:t>
      </w:r>
      <w:r>
        <w:rPr>
          <w:rFonts w:hint="eastAsia"/>
        </w:rPr>
        <w:t xml:space="preserve">状态转移路径价格递推</w:t>
      </w:r>
      <w:r>
        <w:t xml:space="preserve"> </w:t>
      </w:r>
      <w:r>
        <w:t xml:space="preserve">def simulate_path(rng, sample_id, centers, start_price, daily_sigma,</w:t>
      </w:r>
      <w:r>
        <w:t xml:space="preserve"> </w:t>
      </w:r>
      <w:r>
        <w:t xml:space="preserve">transition_jump_sigma_scale, risk_constraints):</w:t>
      </w:r>
      <w:r>
        <w:t xml:space="preserve"> </w:t>
      </w:r>
      <w:r>
        <w:t xml:space="preserve">state = "neutral"</w:t>
      </w:r>
      <w:r>
        <w:t xml:space="preserve"> </w:t>
      </w:r>
      <w:r>
        <w:t xml:space="preserve">previous_price = start_price</w:t>
      </w:r>
      <w:r>
        <w:t xml:space="preserve"> </w:t>
      </w:r>
      <w:r>
        <w:t xml:space="preserve">previous_noise = 0.0</w:t>
      </w:r>
      <w:r>
        <w:t xml:space="preserve"> </w:t>
      </w:r>
      <w:r>
        <w:t xml:space="preserve">rows = []</w:t>
      </w:r>
      <w:r>
        <w:t xml:space="preserve"> </w:t>
      </w:r>
      <w:r>
        <w:t xml:space="preserve">dates = centers["neutral"][["day_index", "trade_date"]]</w:t>
      </w:r>
    </w:p>
    <w:p>
      <w:pPr>
        <w:pStyle w:val="BodyText"/>
      </w:pPr>
      <w:r>
        <w:t xml:space="preserve">for _, base_row in dates.iterrows():</w:t>
      </w:r>
      <w:r>
        <w:t xml:space="preserve"> </w:t>
      </w:r>
      <w:r>
        <w:t xml:space="preserve">day_index = int(base_row["day_index"])</w:t>
      </w:r>
      <w:r>
        <w:t xml:space="preserve"> </w:t>
      </w:r>
      <w:r>
        <w:t xml:space="preserve">next_state = sample_next_state(rng, state, day_index, risk_constraints)</w:t>
      </w:r>
      <w:r>
        <w:t xml:space="preserve"> </w:t>
      </w:r>
      <w:r>
        <w:t xml:space="preserve">spec = STATES[STATE_INDEX[next_state]]</w:t>
      </w:r>
      <w:r>
        <w:t xml:space="preserve"> </w:t>
      </w:r>
      <w:r>
        <w:t xml:space="preserve">center_row = centers[spec.center_scenario]</w:t>
      </w:r>
      <w:r>
        <w:t xml:space="preserve"> </w:t>
      </w:r>
      <w:r>
        <w:t xml:space="preserve">target_price = float(center_row.loc[</w:t>
      </w:r>
      <w:r>
        <w:t xml:space="preserve"> </w:t>
      </w:r>
      <w:r>
        <w:t xml:space="preserve">center_row["day_index"] == day_index, "forecast_price"</w:t>
      </w:r>
      <w:r>
        <w:t xml:space="preserve"> </w:t>
      </w:r>
      <w:r>
        <w:t xml:space="preserve">].iloc[0])</w:t>
      </w:r>
    </w:p>
    <w:p>
      <w:pPr>
        <w:pStyle w:val="BodyText"/>
      </w:pPr>
      <w:r>
        <w:t xml:space="preserve">noise_scale = max(previous_price * daily_sigma</w:t>
      </w:r>
      <w:r>
        <w:t xml:space="preserve"> </w:t>
      </w:r>
      <w:r>
        <w:t xml:space="preserve">* spec.volatility_multiplier, 0.15)</w:t>
      </w:r>
      <w:r>
        <w:t xml:space="preserve"> </w:t>
      </w:r>
      <w:r>
        <w:t xml:space="preserve">innovation = rng.normal(0.0, noise_scale)</w:t>
      </w:r>
      <w:r>
        <w:t xml:space="preserve"> </w:t>
      </w:r>
      <w:r>
        <w:t xml:space="preserve">previous_noise = 0.30 * previous_noise + innovation</w:t>
      </w:r>
      <w:r>
        <w:t xml:space="preserve"> </w:t>
      </w:r>
      <w:r>
        <w:t xml:space="preserve">transition_jump = 0.0</w:t>
      </w:r>
      <w:r>
        <w:t xml:space="preserve"> </w:t>
      </w:r>
      <w:r>
        <w:t xml:space="preserve">if next_state != state:</w:t>
      </w:r>
      <w:r>
        <w:t xml:space="preserve"> </w:t>
      </w:r>
      <w:r>
        <w:t xml:space="preserve">transition_jump = rng.normal(spec.transition_jump_mean,</w:t>
      </w:r>
      <w:r>
        <w:t xml:space="preserve"> </w:t>
      </w:r>
      <w:r>
        <w:t xml:space="preserve">spec.transition_jump_sigma</w:t>
      </w:r>
      <w:r>
        <w:t xml:space="preserve"> </w:t>
      </w:r>
      <w:r>
        <w:t xml:space="preserve">* transition_jump_sigma_scale)</w:t>
      </w:r>
    </w:p>
    <w:p>
      <w:pPr>
        <w:pStyle w:val="BodyText"/>
      </w:pPr>
      <w:r>
        <w:t xml:space="preserve">price = 0.82 * previous_price + 0.18 * target_price</w:t>
      </w:r>
      <w:r>
        <w:t xml:space="preserve"> </w:t>
      </w:r>
      <w:r>
        <w:t xml:space="preserve">price = np.clip(price + previous_noise + transition_jump, 70.0, 145.0)</w:t>
      </w:r>
      <w:r>
        <w:t xml:space="preserve"> </w:t>
      </w:r>
      <w:r>
        <w:t xml:space="preserve">rows.append(</w:t>
      </w:r>
      <w:r>
        <w:t xml:space="preserve">"sample_id": sample_id, "day_index": day_index,</w:t>
      </w:r>
      <w:r>
        <w:t xml:space="preserve"> </w:t>
      </w:r>
      <w:r>
        <w:t xml:space="preserve">"trade_date": base_row["trade_date"], </w:t>
      </w:r>
      <w:r>
        <w:rPr>
          <w:rFonts w:hint="eastAsia"/>
        </w:rPr>
        <w:t xml:space="preserve">"状态":</w:t>
      </w:r>
      <w:r>
        <w:t xml:space="preserve"> spec.label,</w:t>
      </w:r>
      <w:r>
        <w:t xml:space="preserve"> </w:t>
      </w:r>
      <w:r>
        <w:t xml:space="preserve">"forecast_price": price</w:t>
      </w:r>
      <w:r>
        <w:t xml:space="preserve">)</w:t>
      </w:r>
      <w:r>
        <w:t xml:space="preserve"> </w:t>
      </w:r>
      <w:r>
        <w:t xml:space="preserve">state = next_state</w:t>
      </w:r>
      <w:r>
        <w:t xml:space="preserve"> </w:t>
      </w:r>
      <w:r>
        <w:t xml:space="preserve">previous_price = price</w:t>
      </w:r>
    </w:p>
    <w:p>
      <w:pPr>
        <w:pStyle w:val="BodyText"/>
      </w:pPr>
      <w:r>
        <w:t xml:space="preserve">return pd.DataFrame(rows)</w:t>
      </w:r>
    </w:p>
    <w:bookmarkEnd w:id="202"/>
    <w:bookmarkStart w:id="203" w:name="g-蒙特卡洛情景预测"/>
    <w:p>
      <w:pPr>
        <w:pStyle w:val="Heading2"/>
      </w:pPr>
      <w:r>
        <w:t xml:space="preserve">G </w:t>
      </w:r>
      <w:r>
        <w:rPr>
          <w:rFonts w:hint="eastAsia"/>
        </w:rPr>
        <w:t xml:space="preserve">蒙特卡洛情景预测</w:t>
      </w:r>
    </w:p>
    <w:p>
      <w:pPr>
        <w:pStyle w:val="FirstParagraph"/>
      </w:pPr>
      <w:r>
        <w:rPr>
          <w:rFonts w:hint="eastAsia"/>
        </w:rPr>
        <w:t xml:space="preserve">代码</w:t>
      </w:r>
      <w:r>
        <w:t xml:space="preserve"> </w:t>
      </w:r>
      <w:hyperlink w:anchor="lst:monte-carlo">
        <w:r>
          <w:rPr>
            <w:rStyle w:val="Hyperlink"/>
          </w:rPr>
          <w:t xml:space="preserve">[lst:monte-carlo]</w:t>
        </w:r>
      </w:hyperlink>
      <w:r>
        <w:t xml:space="preserve"> </w:t>
      </w:r>
      <w:r>
        <w:rPr>
          <w:rFonts w:hint="eastAsia"/>
        </w:rPr>
        <w:t xml:space="preserve">展示长期蒙特卡洛情景树的核心思想。模型以压力指数为主轴，同时扰动供应中断、SPR</w:t>
      </w:r>
      <w:r>
        <w:t xml:space="preserve"> </w:t>
      </w:r>
      <w:r>
        <w:rPr>
          <w:rFonts w:hint="eastAsia"/>
        </w:rPr>
        <w:t xml:space="preserve">释放、绕道能力、需求弹性、风险权重和不确定性溢价，由此得到长期价格区间和尾部风险概率。</w:t>
      </w:r>
    </w:p>
    <w:p>
      <w:pPr>
        <w:pStyle w:val="BodyText"/>
      </w:pPr>
      <w:r>
        <w:t xml:space="preserve">lst:monte-carlo</w:t>
      </w:r>
      <w:r>
        <w:t xml:space="preserve">python</w:t>
      </w:r>
      <w:r>
        <w:rPr>
          <w:rFonts w:hint="eastAsia"/>
        </w:rPr>
        <w:t xml:space="preserve">蒙特卡洛情景树参数抽样</w:t>
      </w:r>
      <w:r>
        <w:t xml:space="preserve"> </w:t>
      </w:r>
      <w:r>
        <w:t xml:space="preserve">def sample_parameters(rng, base_assumptions, base_behavior, historical_factors):</w:t>
      </w:r>
      <w:r>
        <w:t xml:space="preserve"> </w:t>
      </w:r>
      <w:r>
        <w:t xml:space="preserve">raw_stress = float(rng.beta(2.1, 2.3))</w:t>
      </w:r>
      <w:r>
        <w:t xml:space="preserve"> </w:t>
      </w:r>
      <w:r>
        <w:t xml:space="preserve">stress = float(np.clip(raw_stress + rng.normal(</w:t>
      </w:r>
      <w:r>
        <w:t xml:space="preserve"> </w:t>
      </w:r>
      <w:r>
        <w:t xml:space="preserve">0.0, historical_factors.monte_carlo_stress_noise_sigma), 0.0, 1.0))</w:t>
      </w:r>
    </w:p>
    <w:p>
      <w:pPr>
        <w:pStyle w:val="BodyText"/>
      </w:pPr>
      <w:r>
        <w:t xml:space="preserve">supply_interruption = np.clip(1400 + 400 * stress + rng.normal(0, 35), 1400, 1800)</w:t>
      </w:r>
      <w:r>
        <w:t xml:space="preserve"> </w:t>
      </w:r>
      <w:r>
        <w:t xml:space="preserve">spr_max_release = np.clip(700 - 500 * (stress ** 1.08) + rng.normal(0, 30), 200, 700)</w:t>
      </w:r>
      <w:r>
        <w:t xml:space="preserve"> </w:t>
      </w:r>
      <w:r>
        <w:t xml:space="preserve">route_max_capacity = np.clip(360 - 210 * stress + rng.normal(0, 22), 150, 420)</w:t>
      </w:r>
      <w:r>
        <w:t xml:space="preserve"> </w:t>
      </w:r>
      <w:r>
        <w:t xml:space="preserve">long_elasticity = np.clip(-0.35 + 0.25 * stress + rng.normal(0, 0.018),</w:t>
      </w:r>
      <w:r>
        <w:t xml:space="preserve"> </w:t>
      </w:r>
      <w:r>
        <w:t xml:space="preserve">-0.35, -0.10)</w:t>
      </w:r>
    </w:p>
    <w:p>
      <w:pPr>
        <w:pStyle w:val="BodyText"/>
      </w:pPr>
      <w:r>
        <w:t xml:space="preserve">risk_weight = np.clip(base_behavior.risk_weight * (0.74 + 0.62 * stress</w:t>
      </w:r>
      <w:r>
        <w:t xml:space="preserve"> </w:t>
      </w:r>
      <w:r>
        <w:t xml:space="preserve">+ rng.normal(0, 0.06)),</w:t>
      </w:r>
      <w:r>
        <w:t xml:space="preserve"> </w:t>
      </w:r>
      <w:r>
        <w:t xml:space="preserve">1.65, 3.35)</w:t>
      </w:r>
      <w:r>
        <w:t xml:space="preserve"> </w:t>
      </w:r>
      <w:r>
        <w:t xml:space="preserve">uncertainty_scale = 0.64 + 0.78 * stress + rng.normal(0, 0.06)</w:t>
      </w:r>
      <w:r>
        <w:t xml:space="preserve"> </w:t>
      </w:r>
      <w:r>
        <w:t xml:space="preserve">uncertainty_floor = np.clip(base_behavior.uncertainty_floor * uncertainty_scale,</w:t>
      </w:r>
      <w:r>
        <w:t xml:space="preserve"> </w:t>
      </w:r>
      <w:r>
        <w:t xml:space="preserve">0.13, 0.36)</w:t>
      </w:r>
    </w:p>
    <w:p>
      <w:pPr>
        <w:pStyle w:val="BodyText"/>
      </w:pPr>
      <w:r>
        <w:t xml:space="preserve">assumptions = replace(base_assumptions,</w:t>
      </w:r>
      <w:r>
        <w:t xml:space="preserve"> </w:t>
      </w:r>
      <w:r>
        <w:t xml:space="preserve">supply_interruption=supply_interruption,</w:t>
      </w:r>
      <w:r>
        <w:t xml:space="preserve"> </w:t>
      </w:r>
      <w:r>
        <w:t xml:space="preserve">spr_max_release=spr_max_release,</w:t>
      </w:r>
      <w:r>
        <w:t xml:space="preserve"> </w:t>
      </w:r>
      <w:r>
        <w:t xml:space="preserve">route_max_capacity=route_max_capacity,</w:t>
      </w:r>
      <w:r>
        <w:t xml:space="preserve"> </w:t>
      </w:r>
      <w:r>
        <w:t xml:space="preserve">long_elasticity=long_elasticity)</w:t>
      </w:r>
      <w:r>
        <w:t xml:space="preserve"> </w:t>
      </w:r>
      <w:r>
        <w:t xml:space="preserve">behavior = replace(base_behavior,</w:t>
      </w:r>
      <w:r>
        <w:t xml:space="preserve"> </w:t>
      </w:r>
      <w:r>
        <w:t xml:space="preserve">risk_weight=risk_weight,</w:t>
      </w:r>
      <w:r>
        <w:t xml:space="preserve"> </w:t>
      </w:r>
      <w:r>
        <w:t xml:space="preserve">uncertainty_floor=uncertainty_floor)</w:t>
      </w:r>
      <w:r>
        <w:t xml:space="preserve"> </w:t>
      </w:r>
      <w:r>
        <w:t xml:space="preserve">return assumptions, behavior,</w:t>
      </w:r>
      <w:r>
        <w:t xml:space="preserve"> </w:t>
      </w:r>
      <w:r>
        <w:t xml:space="preserve">"stress_index": stress</w:t>
      </w:r>
    </w:p>
    <w:p>
      <w:pPr>
        <w:pStyle w:val="BodyText"/>
      </w:pPr>
      <w:r>
        <w:t xml:space="preserve">def run_monte_carlo(n_samples):</w:t>
      </w:r>
      <w:r>
        <w:t xml:space="preserve"> </w:t>
      </w:r>
      <w:r>
        <w:t xml:space="preserve">forecast_frame, prefix, base_assumptions, base_behavior = load_baseline()</w:t>
      </w:r>
      <w:r>
        <w:t xml:space="preserve"> </w:t>
      </w:r>
      <w:r>
        <w:t xml:space="preserve">historical_factors = load_historical_model_factors()</w:t>
      </w:r>
      <w:r>
        <w:t xml:space="preserve"> </w:t>
      </w:r>
      <w:r>
        <w:t xml:space="preserve">rng = np.random.default_rng(RANDOM_SEED)</w:t>
      </w:r>
      <w:r>
        <w:t xml:space="preserve"> </w:t>
      </w:r>
      <w:r>
        <w:t xml:space="preserve">paths, metric_rows = [], []</w:t>
      </w:r>
    </w:p>
    <w:p>
      <w:pPr>
        <w:pStyle w:val="BodyText"/>
      </w:pPr>
      <w:r>
        <w:t xml:space="preserve">for sample_id in range(1, n_samples + 1):</w:t>
      </w:r>
      <w:r>
        <w:t xml:space="preserve"> </w:t>
      </w:r>
      <w:r>
        <w:t xml:space="preserve">assumptions, behavior, meta = sample_parameters(</w:t>
      </w:r>
      <w:r>
        <w:t xml:space="preserve"> </w:t>
      </w:r>
      <w:r>
        <w:t xml:space="preserve">rng, base_assumptions, base_behavior, historical_factors)</w:t>
      </w:r>
      <w:r>
        <w:t xml:space="preserve"> </w:t>
      </w:r>
      <w:r>
        <w:t xml:space="preserve">path = simulate_one_sample(forecast_frame, prefix, assumptions, behavior)</w:t>
      </w:r>
      <w:r>
        <w:t xml:space="preserve"> </w:t>
      </w:r>
      <w:r>
        <w:t xml:space="preserve">paths.append(path)</w:t>
      </w:r>
      <w:r>
        <w:t xml:space="preserve"> </w:t>
      </w:r>
      <w:r>
        <w:t xml:space="preserve">metric_rows.append(summarize_sample(path, prefix, meta))</w:t>
      </w:r>
    </w:p>
    <w:p>
      <w:pPr>
        <w:pStyle w:val="BodyText"/>
      </w:pPr>
      <w:r>
        <w:t xml:space="preserve">metrics = pd.DataFrame(metric_rows)</w:t>
      </w:r>
      <w:r>
        <w:t xml:space="preserve"> </w:t>
      </w:r>
      <w:r>
        <w:t xml:space="preserve">return metrics, build_quantiles(paths), build_tail_risk(metrics)</w:t>
      </w:r>
    </w:p>
    <w:bookmarkEnd w:id="203"/>
    <w:bookmarkStart w:id="204" w:name="h-机制消融与统计检验"/>
    <w:p>
      <w:pPr>
        <w:pStyle w:val="Heading2"/>
      </w:pPr>
      <w:r>
        <w:t xml:space="preserve">H </w:t>
      </w:r>
      <w:r>
        <w:rPr>
          <w:rFonts w:hint="eastAsia"/>
        </w:rPr>
        <w:t xml:space="preserve">机制消融与统计检验</w:t>
      </w:r>
    </w:p>
    <w:p>
      <w:pPr>
        <w:pStyle w:val="FirstParagraph"/>
      </w:pPr>
      <w:r>
        <w:rPr>
          <w:rFonts w:hint="eastAsia"/>
        </w:rPr>
        <w:t xml:space="preserve">代码</w:t>
      </w:r>
      <w:r>
        <w:t xml:space="preserve"> </w:t>
      </w:r>
      <w:hyperlink w:anchor="lst:ablation">
        <w:r>
          <w:rPr>
            <w:rStyle w:val="Hyperlink"/>
          </w:rPr>
          <w:t xml:space="preserve">[lst:ablation]</w:t>
        </w:r>
      </w:hyperlink>
      <w:r>
        <w:t xml:space="preserve"> </w:t>
      </w:r>
      <w:r>
        <w:rPr>
          <w:rFonts w:hint="eastAsia"/>
        </w:rPr>
        <w:t xml:space="preserve">用于逐项关闭模型机制，检验主结论是否依赖某一个单独设定。</w:t>
      </w:r>
    </w:p>
    <w:p>
      <w:pPr>
        <w:pStyle w:val="BodyText"/>
      </w:pPr>
      <w:r>
        <w:t xml:space="preserve">lst:ablation</w:t>
      </w:r>
      <w:r>
        <w:t xml:space="preserve">python</w:t>
      </w:r>
      <w:r>
        <w:rPr>
          <w:rFonts w:hint="eastAsia"/>
        </w:rPr>
        <w:t xml:space="preserve">机制消融实验设计</w:t>
      </w:r>
      <w:r>
        <w:t xml:space="preserve"> </w:t>
      </w:r>
      <w:r>
        <w:t xml:space="preserve">VARIANTS = [</w:t>
      </w:r>
      <w:r>
        <w:t xml:space="preserve"> </w:t>
      </w:r>
      <w:r>
        <w:rPr>
          <w:rFonts w:hint="eastAsia"/>
        </w:rPr>
        <w:t xml:space="preserve">("完整统一模型",</w:t>
      </w:r>
      <w:r>
        <w:t xml:space="preserve"> </w:t>
      </w:r>
      <w:r>
        <w:rPr>
          <w:rFonts w:hint="eastAsia"/>
        </w:rPr>
        <w:t xml:space="preserve">"题面物理机制</w:t>
      </w:r>
      <w:r>
        <w:t xml:space="preserve"> + </w:t>
      </w:r>
      <w:r>
        <w:rPr>
          <w:rFonts w:hint="eastAsia"/>
        </w:rPr>
        <w:t xml:space="preserve">市场价格形成机制",</w:t>
      </w:r>
      <w:r>
        <w:t xml:space="preserve"> base_variant),</w:t>
      </w:r>
      <w:r>
        <w:t xml:space="preserve"> </w:t>
      </w:r>
      <w:r>
        <w:rPr>
          <w:rFonts w:hint="eastAsia"/>
        </w:rPr>
        <w:t xml:space="preserve">("去除SPR释放",</w:t>
      </w:r>
      <w:r>
        <w:t xml:space="preserve"> </w:t>
      </w:r>
      <w:r>
        <w:rPr>
          <w:rFonts w:hint="eastAsia"/>
        </w:rPr>
        <w:t xml:space="preserve">"关闭战略石油储备释放",</w:t>
      </w:r>
      <w:r>
        <w:t xml:space="preserve"> no_spr),</w:t>
      </w:r>
      <w:r>
        <w:t xml:space="preserve"> </w:t>
      </w:r>
      <w:r>
        <w:rPr>
          <w:rFonts w:hint="eastAsia"/>
        </w:rPr>
        <w:t xml:space="preserve">("去除商业库存缓冲",</w:t>
      </w:r>
      <w:r>
        <w:t xml:space="preserve"> </w:t>
      </w:r>
      <w:r>
        <w:rPr>
          <w:rFonts w:hint="eastAsia"/>
        </w:rPr>
        <w:t xml:space="preserve">"关闭库存吸收缺口能力",</w:t>
      </w:r>
      <w:r>
        <w:t xml:space="preserve"> no_inventory),</w:t>
      </w:r>
      <w:r>
        <w:t xml:space="preserve"> </w:t>
      </w:r>
      <w:r>
        <w:rPr>
          <w:rFonts w:hint="eastAsia"/>
        </w:rPr>
        <w:t xml:space="preserve">("去除绕道运输",</w:t>
      </w:r>
      <w:r>
        <w:t xml:space="preserve"> </w:t>
      </w:r>
      <w:r>
        <w:rPr>
          <w:rFonts w:hint="eastAsia"/>
        </w:rPr>
        <w:t xml:space="preserve">"关闭绕道运输恢复能力",</w:t>
      </w:r>
      <w:r>
        <w:t xml:space="preserve"> no_reroute),</w:t>
      </w:r>
      <w:r>
        <w:t xml:space="preserve"> </w:t>
      </w:r>
      <w:r>
        <w:rPr>
          <w:rFonts w:hint="eastAsia"/>
        </w:rPr>
        <w:t xml:space="preserve">("去除需求收缩",</w:t>
      </w:r>
      <w:r>
        <w:t xml:space="preserve"> </w:t>
      </w:r>
      <w:r>
        <w:rPr>
          <w:rFonts w:hint="eastAsia"/>
        </w:rPr>
        <w:t xml:space="preserve">"关闭高油价需求下降",</w:t>
      </w:r>
      <w:r>
        <w:t xml:space="preserve"> no_demand_contraction),</w:t>
      </w:r>
      <w:r>
        <w:t xml:space="preserve"> </w:t>
      </w:r>
      <w:r>
        <w:rPr>
          <w:rFonts w:hint="eastAsia"/>
        </w:rPr>
        <w:t xml:space="preserve">("去除风险与不确定性溢价",</w:t>
      </w:r>
      <w:r>
        <w:t xml:space="preserve"> </w:t>
      </w:r>
      <w:r>
        <w:rPr>
          <w:rFonts w:hint="eastAsia"/>
        </w:rPr>
        <w:t xml:space="preserve">"关闭地缘风险和不确定性平台",</w:t>
      </w:r>
      <w:r>
        <w:t xml:space="preserve"> no_risk_uncertainty),</w:t>
      </w:r>
      <w:r>
        <w:t xml:space="preserve"> </w:t>
      </w:r>
      <w:r>
        <w:rPr>
          <w:rFonts w:hint="eastAsia"/>
        </w:rPr>
        <w:t xml:space="preserve">("去除缓冲确认折价",</w:t>
      </w:r>
      <w:r>
        <w:t xml:space="preserve"> </w:t>
      </w:r>
      <w:r>
        <w:rPr>
          <w:rFonts w:hint="eastAsia"/>
        </w:rPr>
        <w:t xml:space="preserve">"关闭市场确认缓冲后的降温",</w:t>
      </w:r>
      <w:r>
        <w:t xml:space="preserve"> no_buffer_confirmation),</w:t>
      </w:r>
      <w:r>
        <w:t xml:space="preserve"> </w:t>
      </w:r>
      <w:r>
        <w:rPr>
          <w:rFonts w:hint="eastAsia"/>
        </w:rPr>
        <w:t xml:space="preserve">("去除预期修复折价",</w:t>
      </w:r>
      <w:r>
        <w:t xml:space="preserve"> </w:t>
      </w:r>
      <w:r>
        <w:rPr>
          <w:rFonts w:hint="eastAsia"/>
        </w:rPr>
        <w:t xml:space="preserve">"关闭中后期预期修复再定价",</w:t>
      </w:r>
      <w:r>
        <w:t xml:space="preserve"> no_expectation_relief),</w:t>
      </w:r>
      <w:r>
        <w:t xml:space="preserve"> </w:t>
      </w:r>
      <w:r>
        <w:t xml:space="preserve">]</w:t>
      </w:r>
    </w:p>
    <w:p>
      <w:pPr>
        <w:pStyle w:val="BodyText"/>
      </w:pPr>
      <w:r>
        <w:t xml:space="preserve">def run_ablation(event_df, base_assumptions, base_behavior):</w:t>
      </w:r>
      <w:r>
        <w:t xml:space="preserve"> </w:t>
      </w:r>
      <w:r>
        <w:t xml:space="preserve">rows = []</w:t>
      </w:r>
      <w:r>
        <w:t xml:space="preserve"> </w:t>
      </w:r>
      <w:r>
        <w:t xml:space="preserve">for name, note, variant_fn in VARIANTS:</w:t>
      </w:r>
      <w:r>
        <w:t xml:space="preserve"> </w:t>
      </w:r>
      <w:r>
        <w:t xml:space="preserve">assumptions, behavior = variant_fn(base_assumptions, base_behavior)</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 </w:t>
      </w:r>
      <w:r>
        <w:rPr>
          <w:rFonts w:hint="eastAsia"/>
        </w:rPr>
        <w:t xml:space="preserve">"消融实验":</w:t>
      </w:r>
      <w:r>
        <w:t xml:space="preserve"> name,</w:t>
      </w:r>
      <w:r>
        <w:t xml:space="preserve"> </w:t>
      </w:r>
      <w:r>
        <w:rPr>
          <w:rFonts w:hint="eastAsia"/>
        </w:rPr>
        <w:t xml:space="preserve">"说明":</w:t>
      </w:r>
      <w:r>
        <w:t xml:space="preserve"> note,</w:t>
      </w:r>
      <w:r>
        <w:t xml:space="preserve"> </w:t>
      </w:r>
      <w:r>
        <w:t xml:space="preserve">"RMSE": metrics["RMSE"],</w:t>
      </w:r>
      <w:r>
        <w:t xml:space="preserve"> </w:t>
      </w:r>
      <w:r>
        <w:t xml:space="preserve">"MAE": metrics["MAE"],</w:t>
      </w:r>
      <w:r>
        <w:t xml:space="preserve"> </w:t>
      </w:r>
      <w:r>
        <w:rPr>
          <w:rFonts w:hint="eastAsia"/>
        </w:rPr>
        <w:t xml:space="preserve">"峰值误差":</w:t>
      </w:r>
      <w:r>
        <w:t xml:space="preserve"> </w:t>
      </w:r>
      <w:r>
        <w:rPr>
          <w:rFonts w:hint="eastAsia"/>
        </w:rPr>
        <w:t xml:space="preserve">metrics["峰值误差"],</w:t>
      </w:r>
      <w:r>
        <w:t xml:space="preserve"> </w:t>
      </w:r>
      <w:r>
        <w:t xml:space="preserve">)</w:t>
      </w:r>
      <w:r>
        <w:t xml:space="preserve"> </w:t>
      </w:r>
      <w:r>
        <w:t xml:space="preserve">return pd.DataFrame(rows)</w:t>
      </w:r>
    </w:p>
    <w:bookmarkEnd w:id="204"/>
    <w:bookmarkStart w:id="205" w:name="i-关键结果核查表"/>
    <w:p>
      <w:pPr>
        <w:pStyle w:val="Heading2"/>
      </w:pPr>
      <w:r>
        <w:t xml:space="preserve">I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3.38 </w:t>
            </w:r>
            <w:r>
              <w:rPr>
                <w:rFonts w:hint="eastAsia"/>
              </w:rPr>
              <w:t xml:space="preserve">美元/桶，MAE</w:t>
            </w:r>
            <w:r>
              <w:t xml:space="preserve"> = 2.76 </w:t>
            </w:r>
            <w:r>
              <w:rPr>
                <w:rFonts w:hint="eastAsia"/>
              </w:rPr>
              <w:t xml:space="preserve">美元/桶，MAPE</w:t>
            </w:r>
            <w:r>
              <w:t xml:space="preserve"> = 2.76%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91.37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107.89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历史状态转移矩阵与</w:t>
            </w:r>
            <w:r>
              <w:t xml:space="preserve"> GPR/OVX </w:t>
            </w:r>
            <w:r>
              <w:rPr>
                <w:rFonts w:hint="eastAsia"/>
              </w:rPr>
              <w:t xml:space="preserve">约束显示外推期最高价突破</w:t>
            </w:r>
            <w:r>
              <w:t xml:space="preserve"> 120 </w:t>
            </w:r>
            <w:r>
              <w:rPr>
                <w:rFonts w:hint="eastAsia"/>
              </w:rPr>
              <w:t xml:space="preserve">美元/桶的条件概率约</w:t>
            </w:r>
            <w:r>
              <w:t xml:space="preserve"> 49.4%</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205"/>
    <w:bookmarkStart w:id="206" w:name="j-独立计量检验补充"/>
    <w:p>
      <w:pPr>
        <w:pStyle w:val="Heading2"/>
      </w:pPr>
      <w:r>
        <w:t xml:space="preserve">J </w:t>
      </w:r>
      <w:r>
        <w:rPr>
          <w:rFonts w:hint="eastAsia"/>
        </w:rPr>
        <w:t xml:space="preserve">独立计量检验补充</w:t>
      </w:r>
    </w:p>
    <w:p>
      <w:pPr>
        <w:pStyle w:val="FirstParagraph"/>
      </w:pPr>
      <w:r>
        <w:rPr>
          <w:rFonts w:hint="eastAsia"/>
        </w:rPr>
        <w:t xml:space="preserve">代码</w:t>
      </w:r>
      <w:r>
        <w:t xml:space="preserve"> </w:t>
      </w:r>
      <w:hyperlink w:anchor="lst:r-audit">
        <w:r>
          <w:rPr>
            <w:rStyle w:val="Hyperlink"/>
          </w:rPr>
          <w:t xml:space="preserve">[lst:r-audit]</w:t>
        </w:r>
      </w:hyperlink>
      <w:r>
        <w:t xml:space="preserve"> </w:t>
      </w:r>
      <w:r>
        <w:rPr>
          <w:rFonts w:hint="eastAsia"/>
        </w:rPr>
        <w:t xml:space="preserve">给出</w:t>
      </w:r>
      <w:r>
        <w:t xml:space="preserve"> R </w:t>
      </w:r>
      <w:r>
        <w:rPr>
          <w:rFonts w:hint="eastAsia"/>
        </w:rPr>
        <w:t xml:space="preserve">语言独立计量检验的核心逻辑。Python</w:t>
      </w:r>
      <w:r>
        <w:t xml:space="preserve"> </w:t>
      </w:r>
      <w:r>
        <w:rPr>
          <w:rFonts w:hint="eastAsia"/>
        </w:rPr>
        <w:t xml:space="preserve">负责机制递推和情景生成，R</w:t>
      </w:r>
      <w:r>
        <w:t xml:space="preserve"> </w:t>
      </w:r>
      <w:r>
        <w:rPr>
          <w:rFonts w:hint="eastAsia"/>
        </w:rPr>
        <w:t xml:space="preserve">侧用于复核主模型相对朴素基准的误差优势、残差相关性和稳健标准误结果，从而降低单一实现口径带来的偏差风险。</w:t>
      </w:r>
    </w:p>
    <w:p>
      <w:pPr>
        <w:pStyle w:val="BodyText"/>
      </w:pPr>
      <w:r>
        <w:t xml:space="preserve">lst:r-audit</w:t>
      </w:r>
      <w:r>
        <w:t xml:space="preserve">r</w:t>
      </w:r>
      <w:r>
        <w:t xml:space="preserve">R </w:t>
      </w:r>
      <w:r>
        <w:rPr>
          <w:rFonts w:hint="eastAsia"/>
        </w:rPr>
        <w:t xml:space="preserve">语言计量审计核心代码</w:t>
      </w:r>
      <w:r>
        <w:t xml:space="preserve"> </w:t>
      </w:r>
      <w:r>
        <w:t xml:space="preserve">model_df &lt;- read_csv(calibrated_path, show_col_types = FALSE)</w:t>
      </w:r>
      <w:r>
        <w:t xml:space="preserve"> </w:t>
      </w:r>
      <w:r>
        <w:t xml:space="preserve">arrange(trade_date)</w:t>
      </w:r>
      <w:r>
        <w:t xml:space="preserve"> </w:t>
      </w:r>
      <w:r>
        <w:t xml:space="preserve">mutate(</w:t>
      </w:r>
      <w:r>
        <w:t xml:space="preserve"> </w:t>
      </w:r>
      <w:r>
        <w:t xml:space="preserve">naive_forecast = lag(actual_price),</w:t>
      </w:r>
      <w:r>
        <w:t xml:space="preserve"> </w:t>
      </w:r>
      <w:r>
        <w:t xml:space="preserve">model_error = simulated_price - actual_price,</w:t>
      </w:r>
      <w:r>
        <w:t xml:space="preserve"> </w:t>
      </w:r>
      <w:r>
        <w:t xml:space="preserve">naive_error = naive_forecast - actual_price</w:t>
      </w:r>
      <w:r>
        <w:t xml:space="preserve"> </w:t>
      </w:r>
      <w:r>
        <w:t xml:space="preserve">)</w:t>
      </w:r>
      <w:r>
        <w:t xml:space="preserve"> </w:t>
      </w:r>
      <w:r>
        <w:t xml:space="preserve">filter(!is.na(naive_forecast))</w:t>
      </w:r>
    </w:p>
    <w:p>
      <w:pPr>
        <w:pStyle w:val="BodyText"/>
      </w:pPr>
      <w:r>
        <w:t xml:space="preserve">model_error &lt;- model_df</w:t>
      </w:r>
      <m:oMath>
        <m:r>
          <m:t>m</m:t>
        </m:r>
        <m:r>
          <m:t>o</m:t>
        </m:r>
        <m:r>
          <m:t>d</m:t>
        </m:r>
        <m:r>
          <m:t>e</m:t>
        </m:r>
        <m:sSub>
          <m:e>
            <m:r>
              <m:t>l</m:t>
            </m:r>
          </m:e>
          <m:sub>
            <m:r>
              <m:t>e</m:t>
            </m:r>
          </m:sub>
        </m:sSub>
        <m:r>
          <m:t>r</m:t>
        </m:r>
        <m:r>
          <m:t>r</m:t>
        </m:r>
        <m:r>
          <m:t>o</m:t>
        </m:r>
        <m:r>
          <m:t>r</m:t>
        </m:r>
        <m:r>
          <m:t>n</m:t>
        </m:r>
        <m:r>
          <m:t>a</m:t>
        </m:r>
        <m:r>
          <m:t>i</m:t>
        </m:r>
        <m:r>
          <m:t>v</m:t>
        </m:r>
        <m:sSub>
          <m:e>
            <m:r>
              <m:t>e</m:t>
            </m:r>
          </m:e>
          <m:sub>
            <m:r>
              <m:t>e</m:t>
            </m:r>
          </m:sub>
        </m:sSub>
        <m:r>
          <m:t>r</m:t>
        </m:r>
        <m:r>
          <m:t>r</m:t>
        </m:r>
        <m:r>
          <m:t>o</m:t>
        </m:r>
        <m:r>
          <m:t>r</m:t>
        </m:r>
        <m:r>
          <m:rPr>
            <m:sty m:val="p"/>
          </m:rPr>
          <m:t>&lt;</m:t>
        </m:r>
        <m:r>
          <m:rPr>
            <m:sty m:val="p"/>
          </m:rPr>
          <m:t>−</m:t>
        </m:r>
        <m:r>
          <m:t>m</m:t>
        </m:r>
        <m:r>
          <m:t>o</m:t>
        </m:r>
        <m:r>
          <m:t>d</m:t>
        </m:r>
        <m:r>
          <m:t>e</m:t>
        </m:r>
        <m:sSub>
          <m:e>
            <m:r>
              <m:t>l</m:t>
            </m:r>
          </m:e>
          <m:sub>
            <m:r>
              <m:t>d</m:t>
            </m:r>
          </m:sub>
        </m:sSub>
        <m:r>
          <m:t>f</m:t>
        </m:r>
      </m:oMath>
      <w:r>
        <w:t xml:space="preserve">naive_error</w:t>
      </w:r>
    </w:p>
    <w:p>
      <w:pPr>
        <w:pStyle w:val="BodyText"/>
      </w:pPr>
      <w:r>
        <w:t xml:space="preserve"># Diebold-Mariano </w:t>
      </w:r>
      <w:r>
        <w:rPr>
          <w:rFonts w:hint="eastAsia"/>
        </w:rPr>
        <w:t xml:space="preserve">检验：模型损失是否显著低于朴素上一日基准</w:t>
      </w:r>
      <w:r>
        <w:t xml:space="preserve"> </w:t>
      </w:r>
      <w:r>
        <w:t xml:space="preserve">dm_sq &lt;- forecast::dm.test(model_error, naive_error,</w:t>
      </w:r>
      <w:r>
        <w:t xml:space="preserve"> </w:t>
      </w:r>
      <w:r>
        <w:t xml:space="preserve">alternative = "less", h = 1, power = 2)</w:t>
      </w:r>
      <w:r>
        <w:t xml:space="preserve"> </w:t>
      </w:r>
      <w:r>
        <w:t xml:space="preserve">dm_abs &lt;- forecast::dm.test(model_error, naive_error,</w:t>
      </w:r>
      <w:r>
        <w:t xml:space="preserve"> </w:t>
      </w:r>
      <w:r>
        <w:t xml:space="preserve">alternative = "less", h = 1, power = 1)</w:t>
      </w:r>
    </w:p>
    <w:p>
      <w:pPr>
        <w:pStyle w:val="BodyText"/>
      </w:pPr>
      <w:r>
        <w:t xml:space="preserve"># </w:t>
      </w:r>
      <w:r>
        <w:rPr>
          <w:rFonts w:hint="eastAsia"/>
        </w:rPr>
        <w:t xml:space="preserve">校准回归与</w:t>
      </w:r>
      <w:r>
        <w:t xml:space="preserve"> Newey-West </w:t>
      </w:r>
      <w:r>
        <w:rPr>
          <w:rFonts w:hint="eastAsia"/>
        </w:rPr>
        <w:t xml:space="preserve">稳健标准误</w:t>
      </w:r>
      <w:r>
        <w:t xml:space="preserve"> </w:t>
      </w:r>
      <w:r>
        <w:t xml:space="preserve">calibration_lm &lt;- lm(actual_price   simulated_price, data = model_df)</w:t>
      </w:r>
      <w:r>
        <w:t xml:space="preserve"> </w:t>
      </w:r>
      <w:r>
        <w:t xml:space="preserve">calibration_hac &lt;- lmtest::coeftest(</w:t>
      </w:r>
      <w:r>
        <w:t xml:space="preserve"> </w:t>
      </w:r>
      <w:r>
        <w:t xml:space="preserve">calibration_lm,</w:t>
      </w:r>
      <w:r>
        <w:t xml:space="preserve"> </w:t>
      </w:r>
      <w:r>
        <w:t xml:space="preserve">vcov. = sandwich::NeweyWest(calibration_lm, lag = 3,</w:t>
      </w:r>
      <w:r>
        <w:t xml:space="preserve"> </w:t>
      </w:r>
      <w:r>
        <w:t xml:space="preserve">prewhite = FALSE, adjust = TRUE)</w:t>
      </w:r>
      <w:r>
        <w:t xml:space="preserve"> </w:t>
      </w:r>
      <w:r>
        <w:t xml:space="preserve">)</w:t>
      </w:r>
    </w:p>
    <w:p>
      <w:pPr>
        <w:pStyle w:val="BodyText"/>
      </w:pPr>
      <w:r>
        <w:t xml:space="preserve"># </w:t>
      </w:r>
      <w:r>
        <w:rPr>
          <w:rFonts w:hint="eastAsia"/>
        </w:rPr>
        <w:t xml:space="preserve">残差自相关、条件异方差和波动聚集检验</w:t>
      </w:r>
      <w:r>
        <w:t xml:space="preserve"> </w:t>
      </w:r>
      <w:r>
        <w:t xml:space="preserve">lb_resid_5 &lt;- Box.test(model_error, lag = 5, type = "Ljung-Box")</w:t>
      </w:r>
      <w:r>
        <w:t xml:space="preserve"> </w:t>
      </w:r>
      <w:r>
        <w:t xml:space="preserve">lb_sq_5 &lt;- Box.test(model_error^2, lag = 5, type = "Ljung-Box")</w:t>
      </w:r>
      <w:r>
        <w:t xml:space="preserve"> </w:t>
      </w:r>
      <w:r>
        <w:t xml:space="preserve">arch_test &lt;- FinTS::ArchTest(model_error, lags = 5)</w:t>
      </w:r>
    </w:p>
    <w:p>
      <w:pPr>
        <w:pStyle w:val="BodyText"/>
      </w:pPr>
      <w:r>
        <w:rPr>
          <w:rFonts w:hint="eastAsia"/>
        </w:rPr>
        <w:t xml:space="preserve">代码</w:t>
      </w:r>
      <w:r>
        <w:t xml:space="preserve"> </w:t>
      </w:r>
      <w:hyperlink w:anchor="lst:sensitivity-specs">
        <w:r>
          <w:rPr>
            <w:rStyle w:val="Hyperlink"/>
          </w:rPr>
          <w:t xml:space="preserve">[lst:sensitivity-specs]</w:t>
        </w:r>
      </w:hyperlink>
      <w:r>
        <w:t xml:space="preserve"> </w:t>
      </w:r>
      <w:r>
        <w:rPr>
          <w:rFonts w:hint="eastAsia"/>
        </w:rPr>
        <w:t xml:space="preserve">展示敏感性分析的扰动设置。扰动对象覆盖题面物理层、政策缓冲层、需求层、行为层和长期机制透明层</w:t>
      </w:r>
    </w:p>
    <w:p>
      <w:pPr>
        <w:pStyle w:val="BodyText"/>
      </w:pPr>
      <w:r>
        <w:t xml:space="preserve">lst:sensitivity-specs</w:t>
      </w:r>
      <w:r>
        <w:t xml:space="preserve">python</w:t>
      </w:r>
      <w:r>
        <w:rPr>
          <w:rFonts w:hint="eastAsia"/>
        </w:rPr>
        <w:t xml:space="preserve">敏感性分析扰动参数设置</w:t>
      </w:r>
      <w:r>
        <w:t xml:space="preserve"> </w:t>
      </w:r>
      <w:r>
        <w:t xml:space="preserve">SENSITIVITY_SPECS = [</w:t>
      </w:r>
      <w:r>
        <w:t xml:space="preserve"> </w:t>
      </w:r>
      <w:r>
        <w:t xml:space="preserve">"key": "supply_interruption", </w:t>
      </w:r>
      <w:r>
        <w:rPr>
          <w:rFonts w:hint="eastAsia"/>
        </w:rPr>
        <w:t xml:space="preserve">"参数":</w:t>
      </w:r>
      <w:r>
        <w:t xml:space="preserve"> </w:t>
      </w:r>
      <w:r>
        <w:rPr>
          <w:rFonts w:hint="eastAsia"/>
        </w:rPr>
        <w:t xml:space="preserve">"供应中断量",</w:t>
      </w:r>
      <w:r>
        <w:t xml:space="preserve"> </w:t>
      </w:r>
      <w:r>
        <w:rPr>
          <w:rFonts w:hint="eastAsia"/>
        </w:rPr>
        <w:t xml:space="preserve">"层级":</w:t>
      </w:r>
      <w:r>
        <w:t xml:space="preserve"> </w:t>
      </w:r>
      <w:r>
        <w:rPr>
          <w:rFonts w:hint="eastAsia"/>
        </w:rPr>
        <w:t xml:space="preserve">"题面物理层",</w:t>
      </w:r>
      <w:r>
        <w:t xml:space="preserve"> </w:t>
      </w:r>
      <w:r>
        <w:rPr>
          <w:rFonts w:hint="eastAsia"/>
        </w:rPr>
        <w:t xml:space="preserve">"扰动":</w:t>
      </w:r>
      <w:r>
        <w:t xml:space="preserve"> [1400, 1493, 1600, 1800],</w:t>
      </w:r>
      <w:r>
        <w:t xml:space="preserve"> </w:t>
      </w:r>
      <w:r>
        <w:rPr>
          <w:rFonts w:hint="eastAsia"/>
        </w:rPr>
        <w:t xml:space="preserve">"解释":</w:t>
      </w:r>
      <w:r>
        <w:t xml:space="preserve"> </w:t>
      </w:r>
      <w:r>
        <w:rPr>
          <w:rFonts w:hint="eastAsia"/>
        </w:rPr>
        <w:t xml:space="preserve">"封锁实际造成的供应缺口。"</w:t>
      </w:r>
      <w:r>
        <w:t xml:space="preserve">,</w:t>
      </w:r>
      <w:r>
        <w:t xml:space="preserve"> </w:t>
      </w:r>
      <w:r>
        <w:t xml:space="preserve">"key": "spr_max_release", </w:t>
      </w:r>
      <w:r>
        <w:rPr>
          <w:rFonts w:hint="eastAsia"/>
        </w:rPr>
        <w:t xml:space="preserve">"参数":</w:t>
      </w:r>
      <w:r>
        <w:t xml:space="preserve"> </w:t>
      </w:r>
      <w:r>
        <w:rPr>
          <w:rFonts w:hint="eastAsia"/>
        </w:rPr>
        <w:t xml:space="preserve">"SPR释放上限",</w:t>
      </w:r>
      <w:r>
        <w:t xml:space="preserve"> </w:t>
      </w:r>
      <w:r>
        <w:rPr>
          <w:rFonts w:hint="eastAsia"/>
        </w:rPr>
        <w:t xml:space="preserve">"层级":</w:t>
      </w:r>
      <w:r>
        <w:t xml:space="preserve"> </w:t>
      </w:r>
      <w:r>
        <w:rPr>
          <w:rFonts w:hint="eastAsia"/>
        </w:rPr>
        <w:t xml:space="preserve">"题面政策缓冲层",</w:t>
      </w:r>
      <w:r>
        <w:t xml:space="preserve"> </w:t>
      </w:r>
      <w:r>
        <w:rPr>
          <w:rFonts w:hint="eastAsia"/>
        </w:rPr>
        <w:t xml:space="preserve">"扰动":</w:t>
      </w:r>
      <w:r>
        <w:t xml:space="preserve"> [200, 450, 670, 700],</w:t>
      </w:r>
      <w:r>
        <w:t xml:space="preserve"> </w:t>
      </w:r>
      <w:r>
        <w:rPr>
          <w:rFonts w:hint="eastAsia"/>
        </w:rPr>
        <w:t xml:space="preserve">"解释":</w:t>
      </w:r>
      <w:r>
        <w:t xml:space="preserve"> </w:t>
      </w:r>
      <w:r>
        <w:rPr>
          <w:rFonts w:hint="eastAsia"/>
        </w:rPr>
        <w:t xml:space="preserve">"战略石油储备释放能力。"</w:t>
      </w:r>
      <w:r>
        <w:t xml:space="preserve">,</w:t>
      </w:r>
      <w:r>
        <w:t xml:space="preserve"> </w:t>
      </w:r>
      <w:r>
        <w:t xml:space="preserve">"key": "route_max_capacity", </w:t>
      </w:r>
      <w:r>
        <w:rPr>
          <w:rFonts w:hint="eastAsia"/>
        </w:rPr>
        <w:t xml:space="preserve">"参数":</w:t>
      </w:r>
      <w:r>
        <w:t xml:space="preserve"> </w:t>
      </w:r>
      <w:r>
        <w:rPr>
          <w:rFonts w:hint="eastAsia"/>
        </w:rPr>
        <w:t xml:space="preserve">"绕道运输能力",</w:t>
      </w:r>
      <w:r>
        <w:t xml:space="preserve"> </w:t>
      </w:r>
      <w:r>
        <w:rPr>
          <w:rFonts w:hint="eastAsia"/>
        </w:rPr>
        <w:t xml:space="preserve">"层级":</w:t>
      </w:r>
      <w:r>
        <w:t xml:space="preserve"> </w:t>
      </w:r>
      <w:r>
        <w:rPr>
          <w:rFonts w:hint="eastAsia"/>
        </w:rPr>
        <w:t xml:space="preserve">"题面物理缓冲层",</w:t>
      </w:r>
      <w:r>
        <w:t xml:space="preserve"> </w:t>
      </w:r>
      <w:r>
        <w:rPr>
          <w:rFonts w:hint="eastAsia"/>
        </w:rPr>
        <w:t xml:space="preserve">"扰动":</w:t>
      </w:r>
      <w:r>
        <w:t xml:space="preserve"> [150, 237, 300, 420],</w:t>
      </w:r>
      <w:r>
        <w:t xml:space="preserve"> </w:t>
      </w:r>
      <w:r>
        <w:rPr>
          <w:rFonts w:hint="eastAsia"/>
        </w:rPr>
        <w:t xml:space="preserve">"解释":</w:t>
      </w:r>
      <w:r>
        <w:t xml:space="preserve"> </w:t>
      </w:r>
      <w:r>
        <w:rPr>
          <w:rFonts w:hint="eastAsia"/>
        </w:rPr>
        <w:t xml:space="preserve">"绕道和替代航线形成的额外供给能力。"</w:t>
      </w:r>
      <w:r>
        <w:t xml:space="preserve">,</w:t>
      </w:r>
      <w:r>
        <w:t xml:space="preserve"> </w:t>
      </w:r>
      <w:r>
        <w:t xml:space="preserve">"key": "long_elasticity", </w:t>
      </w:r>
      <w:r>
        <w:rPr>
          <w:rFonts w:hint="eastAsia"/>
        </w:rPr>
        <w:t xml:space="preserve">"参数":</w:t>
      </w:r>
      <w:r>
        <w:t xml:space="preserve"> </w:t>
      </w:r>
      <w:r>
        <w:rPr>
          <w:rFonts w:hint="eastAsia"/>
        </w:rPr>
        <w:t xml:space="preserve">"长期需求弹性",</w:t>
      </w:r>
      <w:r>
        <w:t xml:space="preserve"> </w:t>
      </w:r>
      <w:r>
        <w:rPr>
          <w:rFonts w:hint="eastAsia"/>
        </w:rPr>
        <w:t xml:space="preserve">"层级":</w:t>
      </w:r>
      <w:r>
        <w:t xml:space="preserve"> </w:t>
      </w:r>
      <w:r>
        <w:rPr>
          <w:rFonts w:hint="eastAsia"/>
        </w:rPr>
        <w:t xml:space="preserve">"题面需求层",</w:t>
      </w:r>
      <w:r>
        <w:t xml:space="preserve"> </w:t>
      </w:r>
      <w:r>
        <w:rPr>
          <w:rFonts w:hint="eastAsia"/>
        </w:rPr>
        <w:t xml:space="preserve">"扰动":</w:t>
      </w:r>
      <w:r>
        <w:t xml:space="preserve"> [-0.35, -0.25, -0.18, -0.10],</w:t>
      </w:r>
      <w:r>
        <w:t xml:space="preserve"> </w:t>
      </w:r>
      <w:r>
        <w:rPr>
          <w:rFonts w:hint="eastAsia"/>
        </w:rPr>
        <w:t xml:space="preserve">"解释":</w:t>
      </w:r>
      <w:r>
        <w:t xml:space="preserve"> </w:t>
      </w:r>
      <w:r>
        <w:rPr>
          <w:rFonts w:hint="eastAsia"/>
        </w:rPr>
        <w:t xml:space="preserve">"高油价持续后需求收缩强弱。"</w:t>
      </w:r>
      <w:r>
        <w:t xml:space="preserve">,</w:t>
      </w:r>
      <w:r>
        <w:t xml:space="preserve"> </w:t>
      </w:r>
      <w:r>
        <w:t xml:space="preserve">"key": "risk_weight", </w:t>
      </w:r>
      <w:r>
        <w:rPr>
          <w:rFonts w:hint="eastAsia"/>
        </w:rPr>
        <w:t xml:space="preserve">"参数":</w:t>
      </w:r>
      <w:r>
        <w:t xml:space="preserve"> </w:t>
      </w:r>
      <w:r>
        <w:rPr>
          <w:rFonts w:hint="eastAsia"/>
        </w:rPr>
        <w:t xml:space="preserve">"地缘风险权重",</w:t>
      </w:r>
      <w:r>
        <w:t xml:space="preserve"> </w:t>
      </w:r>
      <w:r>
        <w:rPr>
          <w:rFonts w:hint="eastAsia"/>
        </w:rPr>
        <w:t xml:space="preserve">"层级":</w:t>
      </w:r>
      <w:r>
        <w:t xml:space="preserve"> </w:t>
      </w:r>
      <w:r>
        <w:rPr>
          <w:rFonts w:hint="eastAsia"/>
        </w:rPr>
        <w:t xml:space="preserve">"市场价格形成层",</w:t>
      </w:r>
      <w:r>
        <w:t xml:space="preserve"> </w:t>
      </w:r>
      <w:r>
        <w:rPr>
          <w:rFonts w:hint="eastAsia"/>
        </w:rPr>
        <w:t xml:space="preserve">"扰动":</w:t>
      </w:r>
      <w:r>
        <w:t xml:space="preserve"> [1.85, 2.22, 2.46, 2.95],</w:t>
      </w:r>
      <w:r>
        <w:t xml:space="preserve"> </w:t>
      </w:r>
      <w:r>
        <w:rPr>
          <w:rFonts w:hint="eastAsia"/>
        </w:rPr>
        <w:t xml:space="preserve">"解释":</w:t>
      </w:r>
      <w:r>
        <w:t xml:space="preserve"> </w:t>
      </w:r>
      <w:r>
        <w:rPr>
          <w:rFonts w:hint="eastAsia"/>
        </w:rPr>
        <w:t xml:space="preserve">"市场定价地缘风险溢价的强度。"</w:t>
      </w:r>
      <w:r>
        <w:t xml:space="preserve">,</w:t>
      </w:r>
      <w:r>
        <w:t xml:space="preserve"> </w:t>
      </w:r>
      <w:r>
        <w:t xml:space="preserve">"key": "uncertainty_floor", </w:t>
      </w:r>
      <w:r>
        <w:rPr>
          <w:rFonts w:hint="eastAsia"/>
        </w:rPr>
        <w:t xml:space="preserve">"参数":</w:t>
      </w:r>
      <w:r>
        <w:t xml:space="preserve"> </w:t>
      </w:r>
      <w:r>
        <w:rPr>
          <w:rFonts w:hint="eastAsia"/>
        </w:rPr>
        <w:t xml:space="preserve">"制度风险强度",</w:t>
      </w:r>
      <w:r>
        <w:t xml:space="preserve"> </w:t>
      </w:r>
      <w:r>
        <w:rPr>
          <w:rFonts w:hint="eastAsia"/>
        </w:rPr>
        <w:t xml:space="preserve">"层级":</w:t>
      </w:r>
      <w:r>
        <w:t xml:space="preserve"> </w:t>
      </w:r>
      <w:r>
        <w:rPr>
          <w:rFonts w:hint="eastAsia"/>
        </w:rPr>
        <w:t xml:space="preserve">"长期机制透明层",</w:t>
      </w:r>
      <w:r>
        <w:t xml:space="preserve"> </w:t>
      </w:r>
      <w:r>
        <w:rPr>
          <w:rFonts w:hint="eastAsia"/>
        </w:rPr>
        <w:t xml:space="preserve">"扰动":</w:t>
      </w:r>
      <w:r>
        <w:t xml:space="preserve"> [0.17, 0.22, 0.247, 0.30],</w:t>
      </w:r>
      <w:r>
        <w:t xml:space="preserve"> </w:t>
      </w:r>
      <w:r>
        <w:rPr>
          <w:rFonts w:hint="eastAsia"/>
        </w:rPr>
        <w:t xml:space="preserve">"解释":</w:t>
      </w:r>
      <w:r>
        <w:t xml:space="preserve"> </w:t>
      </w:r>
      <w:r>
        <w:rPr>
          <w:rFonts w:hint="eastAsia"/>
        </w:rPr>
        <w:t xml:space="preserve">"持续封锁和政策协调失败带来的不确定性。"</w:t>
      </w:r>
      <w:r>
        <w:t xml:space="preserve">,</w:t>
      </w:r>
      <w:r>
        <w:t xml:space="preserve"> </w:t>
      </w:r>
      <w:r>
        <w:t xml:space="preserve">]</w:t>
      </w:r>
    </w:p>
    <w:bookmarkEnd w:id="206"/>
    <w:bookmarkStart w:id="207" w:name="k-程序材料说明"/>
    <w:p>
      <w:pPr>
        <w:pStyle w:val="Heading2"/>
      </w:pPr>
      <w:r>
        <w:t xml:space="preserve">K </w:t>
      </w:r>
      <w:r>
        <w:rPr>
          <w:rFonts w:hint="eastAsia"/>
        </w:rPr>
        <w:t xml:space="preserve">程序材料说明</w:t>
      </w:r>
    </w:p>
    <w:p>
      <w:pPr>
        <w:pStyle w:val="FirstParagraph"/>
      </w:pPr>
      <w:r>
        <w:rPr>
          <w:rFonts w:hint="eastAsia"/>
        </w:rPr>
        <w:t xml:space="preserve">本文附录只列出项目关键目录和少量核心程序片段，用于说明数据、模型、图表和论文生成材料的组织方式。</w:t>
      </w:r>
    </w:p>
    <w:bookmarkEnd w:id="207"/>
    <w:bookmarkEnd w:id="2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0" Target="media/rId170.png" /><Relationship Type="http://schemas.openxmlformats.org/officeDocument/2006/relationships/image" Id="rId177" Target="media/rId177.png" /><Relationship Type="http://schemas.openxmlformats.org/officeDocument/2006/relationships/image" Id="rId86" Target="media/rId86.png" /><Relationship Type="http://schemas.openxmlformats.org/officeDocument/2006/relationships/image" Id="rId159" Target="media/rId159.png" /><Relationship Type="http://schemas.openxmlformats.org/officeDocument/2006/relationships/image" Id="rId36" Target="media/rId36.png" /><Relationship Type="http://schemas.openxmlformats.org/officeDocument/2006/relationships/image" Id="rId151" Target="media/rId151.png" /><Relationship Type="http://schemas.openxmlformats.org/officeDocument/2006/relationships/image" Id="rId22" Target="media/rId22.png" /><Relationship Type="http://schemas.openxmlformats.org/officeDocument/2006/relationships/image" Id="rId148" Target="media/rId148.png" /><Relationship Type="http://schemas.openxmlformats.org/officeDocument/2006/relationships/image" Id="rId174" Target="media/rId174.png" /><Relationship Type="http://schemas.openxmlformats.org/officeDocument/2006/relationships/image" Id="rId139" Target="media/rId139.png" /><Relationship Type="http://schemas.openxmlformats.org/officeDocument/2006/relationships/image" Id="rId163" Target="media/rId163.png"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133" Target="media/rId133.png" /><Relationship Type="http://schemas.openxmlformats.org/officeDocument/2006/relationships/image" Id="rId166" Target="media/rId166.png" /><Relationship Type="http://schemas.openxmlformats.org/officeDocument/2006/relationships/image" Id="rId123" Target="media/rId12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55" Target="media/rId55.png" /><Relationship Type="http://schemas.openxmlformats.org/officeDocument/2006/relationships/image" Id="rId93" Target="media/rId93.png" /><Relationship Type="http://schemas.openxmlformats.org/officeDocument/2006/relationships/image" Id="rId46" Target="media/rId46.png" /><Relationship Type="http://schemas.openxmlformats.org/officeDocument/2006/relationships/image" Id="rId79" Target="media/rId79.png" /><Relationship Type="http://schemas.openxmlformats.org/officeDocument/2006/relationships/image" Id="rId50" Target="media/rId50.png" /><Relationship Type="http://schemas.openxmlformats.org/officeDocument/2006/relationships/image" Id="rId67" Target="media/rId67.png" /><Relationship Type="http://schemas.openxmlformats.org/officeDocument/2006/relationships/image" Id="rId58" Target="media/rId58.png" /><Relationship Type="http://schemas.openxmlformats.org/officeDocument/2006/relationships/image" Id="rId105" Target="media/rId105.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29" Target="media/rId129.png" /><Relationship Type="http://schemas.openxmlformats.org/officeDocument/2006/relationships/hyperlink" Id="rId194" Target="https://fred.stlouisfed.org/series/OVXCLS" TargetMode="External" /><Relationship Type="http://schemas.openxmlformats.org/officeDocument/2006/relationships/hyperlink" Id="rId192" Target="https://publications.opec.org/momr/chapter/147/2738" TargetMode="External" /><Relationship Type="http://schemas.openxmlformats.org/officeDocument/2006/relationships/hyperlink" Id="rId190" Target="https://www.eia.gov/dnav/pet/pet_sum_sndw_dcus_nus_w.htm" TargetMode="External" /><Relationship Type="http://schemas.openxmlformats.org/officeDocument/2006/relationships/hyperlink" Id="rId187" Target="https://www.eia.gov/international/analysis/special-topics/World_Oil_Transit_Chokepoints" TargetMode="External" /><Relationship Type="http://schemas.openxmlformats.org/officeDocument/2006/relationships/hyperlink" Id="rId195" Target="https://www.ice.com/report/83" TargetMode="External" /><Relationship Type="http://schemas.openxmlformats.org/officeDocument/2006/relationships/hyperlink" Id="rId188" Target="https://www.iea.org/about/oil-security-and-emergency-response/strait-of-hormuz" TargetMode="External" /><Relationship Type="http://schemas.openxmlformats.org/officeDocument/2006/relationships/hyperlink" Id="rId189" Target="https://www.iea.org/news/iea-governing-board-concludes-2022-collective-actions" TargetMode="External" /><Relationship Type="http://schemas.openxmlformats.org/officeDocument/2006/relationships/hyperlink" Id="rId191" Target="https://www.jodidata.org/oil/" TargetMode="External" /><Relationship Type="http://schemas.openxmlformats.org/officeDocument/2006/relationships/hyperlink" Id="rId193"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94" Target="https://fred.stlouisfed.org/series/OVXCLS" TargetMode="External" /><Relationship Type="http://schemas.openxmlformats.org/officeDocument/2006/relationships/hyperlink" Id="rId192" Target="https://publications.opec.org/momr/chapter/147/2738" TargetMode="External" /><Relationship Type="http://schemas.openxmlformats.org/officeDocument/2006/relationships/hyperlink" Id="rId190" Target="https://www.eia.gov/dnav/pet/pet_sum_sndw_dcus_nus_w.htm" TargetMode="External" /><Relationship Type="http://schemas.openxmlformats.org/officeDocument/2006/relationships/hyperlink" Id="rId187" Target="https://www.eia.gov/international/analysis/special-topics/World_Oil_Transit_Chokepoints" TargetMode="External" /><Relationship Type="http://schemas.openxmlformats.org/officeDocument/2006/relationships/hyperlink" Id="rId195" Target="https://www.ice.com/report/83" TargetMode="External" /><Relationship Type="http://schemas.openxmlformats.org/officeDocument/2006/relationships/hyperlink" Id="rId188" Target="https://www.iea.org/about/oil-security-and-emergency-response/strait-of-hormuz" TargetMode="External" /><Relationship Type="http://schemas.openxmlformats.org/officeDocument/2006/relationships/hyperlink" Id="rId189" Target="https://www.iea.org/news/iea-governing-board-concludes-2022-collective-actions" TargetMode="External" /><Relationship Type="http://schemas.openxmlformats.org/officeDocument/2006/relationships/hyperlink" Id="rId191" Target="https://www.jodidata.org/oil/" TargetMode="External" /><Relationship Type="http://schemas.openxmlformats.org/officeDocument/2006/relationships/hyperlink" Id="rId193"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2026-05-14T12:27:48Z</dcterms:created>
  <dcterms:modified xsi:type="dcterms:W3CDTF">2026-05-14T12:27:48Z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