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7.png" ContentType="image/png"/>
  <Override PartName="/word/media/rId174.png" ContentType="image/png"/>
  <Override PartName="/word/media/rId90.png" ContentType="image/png"/>
  <Override PartName="/word/media/rId156.png" ContentType="image/png"/>
  <Override PartName="/word/media/rId38.png" ContentType="image/png"/>
  <Override PartName="/word/media/rId148.png" ContentType="image/png"/>
  <Override PartName="/word/media/rId50.png" ContentType="image/png"/>
  <Override PartName="/word/media/rId24.png" ContentType="image/png"/>
  <Override PartName="/word/media/rId145.png" ContentType="image/png"/>
  <Override PartName="/word/media/rId171.png" ContentType="image/png"/>
  <Override PartName="/word/media/rId136.png" ContentType="image/png"/>
  <Override PartName="/word/media/rId160.png" ContentType="image/png"/>
  <Override PartName="/word/media/rId21.png" ContentType="image/png"/>
  <Override PartName="/word/media/rId28.png" ContentType="image/png"/>
  <Override PartName="/word/media/rId130.png" ContentType="image/png"/>
  <Override PartName="/word/media/rId163.png" ContentType="image/png"/>
  <Override PartName="/word/media/rId122.png" ContentType="image/png"/>
  <Override PartName="/word/media/rId67.png" ContentType="image/png"/>
  <Override PartName="/word/media/rId97.png" ContentType="image/png"/>
  <Override PartName="/word/media/rId55.png" ContentType="image/png"/>
  <Override PartName="/word/media/rId83.png" ContentType="image/png"/>
  <Override PartName="/word/media/rId104.png" ContentType="image/png"/>
  <Override PartName="/word/media/rId59.png" ContentType="image/png"/>
  <Override PartName="/word/media/rId79.png" ContentType="image/png"/>
  <Override PartName="/word/media/rId70.png" ContentType="image/png"/>
  <Override PartName="/word/media/rId101.png" ContentType="image/png"/>
  <Override PartName="/word/media/rId87.png" ContentType="image/png"/>
  <Override PartName="/word/media/rId75.png" ContentType="image/png"/>
  <Override PartName="/word/media/rId43.png" ContentType="image/png"/>
  <Override PartName="/word/media/rId152.png" ContentType="image/png"/>
  <Override PartName="/word/media/rId118.png" ContentType="image/png"/>
  <Override PartName="/word/media/rId10.png" ContentType="image/png"/>
  <Override PartName="/word/media/rId64.png" ContentType="image/png"/>
  <Override PartName="/word/media/rId140.png" ContentType="image/png"/>
  <Override PartName="/word/media/rId1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霍尔木兹海峡封锁对国际原油价格影响的</w:t>
      </w:r>
      <w:r>
        <w:br/>
      </w:r>
      <w:r>
        <w:rPr>
          <w:rFonts w:hint="eastAsia"/>
          <w:b/>
          <w:bCs/>
        </w:rPr>
        <w:t xml:space="preserve">动态建模与情景预测</w:t>
      </w:r>
    </w:p>
    <w:p>
      <w:r>
        <w:pict>
          <v:rect style="width:0;height:1.5pt" o:hralign="center" o:hrstd="t" o:hr="t"/>
        </w:pict>
      </w:r>
    </w:p>
    <w:p>
      <w:pPr>
        <w:pStyle w:val="FirstParagraph"/>
      </w:pPr>
      <w:r>
        <w:rPr>
          <w:rFonts w:hint="eastAsia"/>
        </w:rPr>
        <w:t xml:space="preserve">数学建模</w:t>
      </w:r>
      <w:r>
        <w:t xml:space="preserve"> A </w:t>
      </w:r>
      <w:r>
        <w:rPr>
          <w:rFonts w:hint="eastAsia"/>
        </w:rPr>
        <w:t xml:space="preserve">题项目组</w:t>
      </w:r>
    </w:p>
    <w:p>
      <w:pPr>
        <w:pStyle w:val="BodyText"/>
      </w:pPr>
      <w:r>
        <w:t xml:space="preserve">2026 </w:t>
      </w:r>
      <w:r>
        <w:rPr>
          <w:rFonts w:hint="eastAsia"/>
        </w:rPr>
        <w:t xml:space="preserve">年</w:t>
      </w:r>
      <w:r>
        <w:t xml:space="preserve"> 5 </w:t>
      </w:r>
      <w:r>
        <w:rPr>
          <w:rFonts w:hint="eastAsia"/>
        </w:rPr>
        <w:t xml:space="preserve">月</w:t>
      </w:r>
    </w:p>
    <w:p>
      <w:pPr>
        <w:pStyle w:val="BodyText"/>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美元/桶。按题面短期低弹性和供应中断范围建立线性需求反事实基准，可得</w:t>
      </w:r>
      <w:r>
        <w:t xml:space="preserve"> 278–337 </w:t>
      </w:r>
      <w:r>
        <w:rPr>
          <w:rFonts w:hint="eastAsia"/>
        </w:rPr>
        <w:t xml:space="preserve">美元/桶的理论压力区间；常弹性需求口径会给出更高的机械上界。两种口径均显著高于附件真实价格，说明必须引入政策缓冲、需求收缩、价格传导折价和市场预期修复。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基准。进一步加入只使用历史滞后价格特征的</w:t>
      </w:r>
      <w:r>
        <w:t xml:space="preserve"> Ridge </w:t>
      </w:r>
      <w:r>
        <w:rPr>
          <w:rFonts w:hint="eastAsia"/>
        </w:rPr>
        <w:t xml:space="preserve">收益率辅助层后，RMSE</w:t>
      </w:r>
      <w:r>
        <w:t xml:space="preserve"> </w:t>
      </w:r>
      <w:r>
        <w:rPr>
          <w:rFonts w:hint="eastAsia"/>
        </w:rPr>
        <w:t xml:space="preserve">降至</w:t>
      </w:r>
      <w:r>
        <w:t xml:space="preserve"> 3.35 </w:t>
      </w:r>
      <w:r>
        <w:rPr>
          <w:rFonts w:hint="eastAsia"/>
        </w:rPr>
        <w:t xml:space="preserve">美元/桶、方向命中率升至</w:t>
      </w:r>
      <w:r>
        <w:t xml:space="preserve"> </w:t>
      </w:r>
      <w:r>
        <w:rPr>
          <w:rFonts w:hint="eastAsia"/>
        </w:rPr>
        <w:t xml:space="preserve">68.9%，但纯历史机器学习模型不能替代机制模型，因此该层仅作为计算机辅助增强。滞后平移、拐点、机制消融和结构稳定性检验表明，模型不是简单滞后复制，110–120</w:t>
      </w:r>
      <w:r>
        <w:t xml:space="preserve"> </w:t>
      </w:r>
      <w:r>
        <w:rPr>
          <w:rFonts w:hint="eastAsia"/>
        </w:rPr>
        <w:t xml:space="preserve">美元平台也不是外生设定的价格上限。</w:t>
      </w:r>
    </w:p>
    <w:p>
      <w:pPr>
        <w:pStyle w:val="BodyText"/>
      </w:pPr>
      <w:r>
        <w:rPr>
          <w:rFonts w:hint="eastAsia"/>
        </w:rPr>
        <w:t xml:space="preserve">针对任务二，本文构建</w:t>
      </w:r>
      <w:r>
        <w:t xml:space="preserve"> 60–180 </w:t>
      </w:r>
      <w:r>
        <w:rPr>
          <w:rFonts w:hint="eastAsia"/>
        </w:rPr>
        <w:t xml:space="preserve">天乐观、中性、悲观三种情景路径，并将</w:t>
      </w:r>
      <w:r>
        <w:t xml:space="preserve"> EIA、JODI、OPEC </w:t>
      </w:r>
      <w:r>
        <w:rPr>
          <w:rFonts w:hint="eastAsia"/>
        </w:rPr>
        <w:t xml:space="preserve">官方外生数据和</w:t>
      </w:r>
      <w:r>
        <w:t xml:space="preserve"> OVX </w:t>
      </w:r>
      <w:r>
        <w:rPr>
          <w:rFonts w:hint="eastAsia"/>
        </w:rPr>
        <w:t xml:space="preserve">市场隐含波动率从证据校验层推进到长期参数约束层。新版长期自适应反馈模型显示，中性情景第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且仍保留二次跳涨风险。敏感性分析表明，封锁风险衰减速度、地缘风险权重、不确定性与制度风险强度是综合敏感度最高的三个因素；这说明长期结果最依赖市场吸收封锁制度风险的速度，而非某个单一政策释放量。2000</w:t>
      </w:r>
      <w:r>
        <w:t xml:space="preserve"> </w:t>
      </w:r>
      <w:r>
        <w:rPr>
          <w:rFonts w:hint="eastAsia"/>
        </w:rPr>
        <w:t xml:space="preserve">次蒙特卡洛情景树显示，第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16.3%。为避免长期中性线被误读为逐日精确预测，本文又引入受</w:t>
      </w:r>
      <w:r>
        <w:t xml:space="preserve"> GPR </w:t>
      </w:r>
      <w:r>
        <w:rPr>
          <w:rFonts w:hint="eastAsia"/>
        </w:rPr>
        <w:t xml:space="preserve">与</w:t>
      </w:r>
      <w:r>
        <w:t xml:space="preserve"> OVX </w:t>
      </w:r>
      <w:r>
        <w:rPr>
          <w:rFonts w:hint="eastAsia"/>
        </w:rPr>
        <w:t xml:space="preserve">风险读数约束的缓和、维持、升级三状态转移扰动，得到第</w:t>
      </w:r>
      <w:r>
        <w:t xml:space="preserve"> 180 </w:t>
      </w:r>
      <w:r>
        <w:rPr>
          <w:rFonts w:hint="eastAsia"/>
        </w:rPr>
        <w:t xml:space="preserve">天</w:t>
      </w:r>
      <w:r>
        <w:t xml:space="preserve"> 5%–95% </w:t>
      </w:r>
      <w:r>
        <w:rPr>
          <w:rFonts w:hint="eastAsia"/>
        </w:rPr>
        <w:t xml:space="preserve">条件区间</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38.3%。GPR </w:t>
      </w:r>
      <w:r>
        <w:rPr>
          <w:rFonts w:hint="eastAsia"/>
        </w:rPr>
        <w:t xml:space="preserve">滞后检验、OVX</w:t>
      </w:r>
      <w:r>
        <w:t xml:space="preserve"> </w:t>
      </w:r>
      <w:r>
        <w:rPr>
          <w:rFonts w:hint="eastAsia"/>
        </w:rPr>
        <w:t xml:space="preserve">隐含波动率检验和</w:t>
      </w:r>
      <w:r>
        <w:t xml:space="preserve"> 2017–2026 </w:t>
      </w:r>
      <w:r>
        <w:rPr>
          <w:rFonts w:hint="eastAsia"/>
        </w:rPr>
        <w:t xml:space="preserve">年历史同长度窗口检验进一步说明：2026</w:t>
      </w:r>
      <w:r>
        <w:t xml:space="preserve"> </w:t>
      </w:r>
      <w:r>
        <w:rPr>
          <w:rFonts w:hint="eastAsia"/>
        </w:rPr>
        <w:t xml:space="preserve">冲突窗口具有罕见地缘风险和高波动特征，但外部风险指标只作为校验与长期约束证据，不作为短期同月拟合因子。</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完成附件数据清洗、传统供需基准、短期动态递推、参数校准和鲁棒性检验，给出</w:t>
            </w:r>
            <w:r>
              <w:t xml:space="preserve"> </w:t>
            </w:r>
            <w:r>
              <w:rPr>
                <w:rFonts w:hint="eastAsia"/>
              </w:rPr>
              <w:t xml:space="preserve">RMSE、MAE、MAPE、基准对比、滞后检验、机制消融和参数扰动测试。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20"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天三情景预测模型，并通过敏感性分析、蒙特卡洛情景树、滞后地缘风险指数检验和历史样本稳健性检验识别影响长期价格平衡点和二次跳涨风险的关键变量。</w:t>
      </w:r>
    </w:p>
    <w:bookmarkStart w:id="13" w:name="fig:paper-roadma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bookmarkEnd w:id="13"/>
    <w:p>
      <w:pPr>
        <w:pStyle w:val="BodyText"/>
      </w:pPr>
      <w:r>
        <w:rPr>
          <w:rFonts w:hint="eastAsia"/>
          <w:b/>
          <w:bCs/>
        </w:rPr>
        <w:t xml:space="preserve">关键结论</w:t>
      </w:r>
      <w:r>
        <w:rPr>
          <w:rFonts w:hint="eastAsia"/>
        </w:rPr>
        <w:t xml:space="preserve">如图</w:t>
      </w:r>
      <w:r>
        <w:t xml:space="preserve"> </w:t>
      </w:r>
      <w:hyperlink w:anchor="fig:paper-roadmap">
        <w:r>
          <w:rPr>
            <w:rStyle w:val="Hyperlink"/>
          </w:rPr>
          <w:t xml:space="preserve">1</w:t>
        </w:r>
      </w:hyperlink>
      <w:r>
        <w:t xml:space="preserve"> </w:t>
      </w:r>
      <w:r>
        <w:rPr>
          <w:rFonts w:hint="eastAsia"/>
        </w:rPr>
        <w:t xml:space="preserve">所示，本文不是把若干模型简单堆叠，而是用传统供需模型给出反事实压力，用综合机制递推模型解释短期平台，再用情景预测和敏感性分析刻画长期尾部风险。</w:t>
      </w:r>
    </w:p>
    <w:p>
      <w:pPr>
        <w:pStyle w:val="BodyText"/>
      </w:pPr>
      <w:r>
        <w:rPr>
          <w:rFonts w:hint="eastAsia"/>
        </w:rPr>
        <w:t xml:space="preserve">这一技术路线的核心原则是：真实价格只来自附件数据；长期部分只作情景预测，不伪装成拟合；模型检验需覆盖朴素基准、滞后复制、参数过拟合和结构稳定性等关键边界。</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天尺度上的条件外推，消融实验、敏感性分析和蒙特卡洛情景树用于证明主模型中的因素是否值得保留，并刻画多因素同时恶化时的尾部风险。因素纳入原则见表</w:t>
      </w:r>
      <w:r>
        <w:t xml:space="preserve"> </w:t>
      </w:r>
      <w:hyperlink w:anchor="tab:factor-inclusion">
        <w:r>
          <w:rPr>
            <w:rStyle w:val="Hyperlink"/>
          </w:rPr>
          <w:t xml:space="preserve">1</w:t>
        </w:r>
      </w:hyperlink>
      <w:r>
        <w:t xml:space="preserve">。</w:t>
      </w:r>
    </w:p>
    <w:bookmarkStart w:id="14"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4"/>
    <w:bookmarkStart w:id="16" w:name="工程化实现原则"/>
    <w:p>
      <w:pPr>
        <w:pStyle w:val="Heading2"/>
      </w:pPr>
      <w:r>
        <w:rPr>
          <w:rFonts w:hint="eastAsia"/>
        </w:rPr>
        <w:t xml:space="preserve">工程化实现原则</w:t>
      </w:r>
    </w:p>
    <w:p>
      <w:pPr>
        <w:pStyle w:val="FirstParagraph"/>
      </w:pPr>
      <w:r>
        <w:rPr>
          <w:rFonts w:hint="eastAsia"/>
        </w:rPr>
        <w:t xml:space="preserve">本文没有把工程实现作为独立炫技项，而是将其转化为建模可信度的一部分：数据处理保证口径可追溯，仿真程序保证模型可复现，图表系统保证论证过程可检查。具体而言，本文所有清洗数据、外部校验数据、参数校准结果、蒙特卡洛样本、敏感性结果、论文图表和最终</w:t>
      </w:r>
      <w:r>
        <w:t xml:space="preserve"> PDF/DOCX </w:t>
      </w:r>
      <w:r>
        <w:rPr>
          <w:rFonts w:hint="eastAsia"/>
        </w:rPr>
        <w:t xml:space="preserve">均由统一项目脚本生成；这使每一个结论都可以回溯到明确的数据文件、模型参数和图表来源。</w:t>
      </w:r>
    </w:p>
    <w:bookmarkStart w:id="15" w:name="tab:engineering-implementation"/>
    <w:p>
      <w:pPr>
        <w:pStyle w:val="TableCaption"/>
      </w:pPr>
      <w:r>
        <w:rPr>
          <w:rFonts w:hint="eastAsia"/>
        </w:rPr>
        <w:t xml:space="preserve">工程能力在本文中的建模落点</w:t>
      </w:r>
    </w:p>
    <w:tbl>
      <w:tblPr>
        <w:tblStyle w:val="Table"/>
        <w:tblW w:type="auto" w:w="0"/>
        <w:tblLook w:firstRow="1" w:lastRow="0" w:firstColumn="0" w:lastColumn="0" w:noHBand="0" w:noVBand="0" w:val="0020"/>
        <w:tblCaption w:val="工程能力在本文中的建模落点"/>
      </w:tblPr>
      <w:tblGrid>
        <w:gridCol w:w="2640"/>
        <w:gridCol w:w="2640"/>
        <w:gridCol w:w="2640"/>
      </w:tblGrid>
      <w:tr>
        <w:trPr>
          <w:tblHeader w:val="on"/>
        </w:trPr>
        <w:tc>
          <w:tcPr/>
          <w:p>
            <w:pPr>
              <w:pStyle w:val="Compact"/>
              <w:jc w:val="left"/>
            </w:pPr>
            <w:r>
              <w:rPr>
                <w:rFonts w:hint="eastAsia"/>
              </w:rPr>
              <w:t xml:space="preserve">能力维度</w:t>
            </w:r>
          </w:p>
        </w:tc>
        <w:tc>
          <w:tcPr/>
          <w:p>
            <w:pPr>
              <w:pStyle w:val="Compact"/>
              <w:jc w:val="left"/>
            </w:pPr>
            <w:r>
              <w:rPr>
                <w:rFonts w:hint="eastAsia"/>
              </w:rPr>
              <w:t xml:space="preserve">在本文中的落地方式</w:t>
            </w:r>
          </w:p>
        </w:tc>
        <w:tc>
          <w:tcPr/>
          <w:p>
            <w:pPr>
              <w:pStyle w:val="Compact"/>
              <w:jc w:val="left"/>
            </w:pPr>
            <w:r>
              <w:rPr>
                <w:rFonts w:hint="eastAsia"/>
              </w:rPr>
              <w:t xml:space="preserve">对建模质量的作用</w:t>
            </w:r>
          </w:p>
        </w:tc>
      </w:tr>
      <w:tr>
        <w:tc>
          <w:tcPr/>
          <w:p>
            <w:pPr>
              <w:pStyle w:val="Compact"/>
              <w:jc w:val="left"/>
            </w:pPr>
            <w:r>
              <w:rPr>
                <w:rFonts w:hint="eastAsia"/>
              </w:rPr>
              <w:t xml:space="preserve">数据处理能力</w:t>
            </w:r>
          </w:p>
        </w:tc>
        <w:tc>
          <w:tcPr/>
          <w:p>
            <w:pPr>
              <w:pStyle w:val="Compact"/>
              <w:jc w:val="left"/>
            </w:pPr>
            <w:r>
              <w:rPr>
                <w:rFonts w:hint="eastAsia"/>
              </w:rPr>
              <w:t xml:space="preserve">自动清洗附件价格序列，接入</w:t>
            </w:r>
            <w:r>
              <w:t xml:space="preserve"> EIA、JODI、OPEC、GPR、OVX </w:t>
            </w:r>
            <w:r>
              <w:rPr>
                <w:rFonts w:hint="eastAsia"/>
              </w:rPr>
              <w:t xml:space="preserve">等外部校验数据，并统一输出中文命名数据表。</w:t>
            </w:r>
          </w:p>
        </w:tc>
        <w:tc>
          <w:tcPr/>
          <w:p>
            <w:pPr>
              <w:pStyle w:val="Compact"/>
              <w:jc w:val="left"/>
            </w:pPr>
            <w:r>
              <w:rPr>
                <w:rFonts w:hint="eastAsia"/>
              </w:rPr>
              <w:t xml:space="preserve">避免手工处理误差，保证真实价格来自附件，外部数据只用于数量级校验与长期约束。</w:t>
            </w:r>
          </w:p>
        </w:tc>
      </w:tr>
      <w:tr>
        <w:tc>
          <w:tcPr/>
          <w:p>
            <w:pPr>
              <w:pStyle w:val="Compact"/>
              <w:jc w:val="left"/>
            </w:pPr>
            <w:r>
              <w:rPr>
                <w:rFonts w:hint="eastAsia"/>
              </w:rPr>
              <w:t xml:space="preserve">仿真与批量计算能力</w:t>
            </w:r>
          </w:p>
        </w:tc>
        <w:tc>
          <w:tcPr/>
          <w:p>
            <w:pPr>
              <w:pStyle w:val="Compact"/>
              <w:jc w:val="left"/>
            </w:pPr>
            <w:r>
              <w:rPr>
                <w:rFonts w:hint="eastAsia"/>
              </w:rPr>
              <w:t xml:space="preserve">使用程序完成多目标参数搜索、局部稳健性复核、机制消融、蒙特卡洛情景树和状态转移路径抽样。</w:t>
            </w:r>
          </w:p>
        </w:tc>
        <w:tc>
          <w:tcPr/>
          <w:p>
            <w:pPr>
              <w:pStyle w:val="Compact"/>
              <w:jc w:val="left"/>
            </w:pPr>
            <w:r>
              <w:rPr>
                <w:rFonts w:hint="eastAsia"/>
              </w:rPr>
              <w:t xml:space="preserve">将</w:t>
            </w:r>
            <w:r>
              <w:rPr>
                <w:rFonts w:hint="eastAsia"/>
              </w:rPr>
              <w:t xml:space="preserve">“参数是否偶然”</w:t>
            </w:r>
            <w:r>
              <w:rPr>
                <w:rFonts w:hint="eastAsia"/>
              </w:rPr>
              <w:t xml:space="preserve">“长期是否只是一条线”</w:t>
            </w:r>
            <w:r>
              <w:rPr>
                <w:rFonts w:hint="eastAsia"/>
              </w:rPr>
              <w:t xml:space="preserve">等问题转化为可重复的数值检验。</w:t>
            </w:r>
          </w:p>
        </w:tc>
      </w:tr>
      <w:tr>
        <w:tc>
          <w:tcPr/>
          <w:p>
            <w:pPr>
              <w:pStyle w:val="Compact"/>
              <w:jc w:val="left"/>
            </w:pPr>
            <w:r>
              <w:rPr>
                <w:rFonts w:hint="eastAsia"/>
              </w:rPr>
              <w:t xml:space="preserve">可视化与论文生成能力</w:t>
            </w:r>
          </w:p>
        </w:tc>
        <w:tc>
          <w:tcPr/>
          <w:p>
            <w:pPr>
              <w:pStyle w:val="Compact"/>
              <w:jc w:val="left"/>
            </w:pPr>
            <w:r>
              <w:rPr>
                <w:rFonts w:hint="eastAsia"/>
              </w:rPr>
              <w:t xml:space="preserve">由脚本统一生成拟合图、机制图、敏感性图、蒙特卡洛图、气泡图、热力图和最终论文文件。</w:t>
            </w:r>
          </w:p>
        </w:tc>
        <w:tc>
          <w:tcPr/>
          <w:p>
            <w:pPr>
              <w:pStyle w:val="Compact"/>
              <w:jc w:val="left"/>
            </w:pPr>
            <w:r>
              <w:rPr>
                <w:rFonts w:hint="eastAsia"/>
              </w:rPr>
              <w:t xml:space="preserve">让图表承担论证功能，而不是只做装饰；每张主图都对应一个评审可能追问的问题。</w:t>
            </w:r>
          </w:p>
        </w:tc>
      </w:tr>
    </w:tbl>
    <w:bookmarkEnd w:id="15"/>
    <w:p>
      <w:pPr>
        <w:pStyle w:val="BodyText"/>
      </w:pPr>
      <w:r>
        <w:rPr>
          <w:rFonts w:hint="eastAsia"/>
          <w:b/>
          <w:bCs/>
        </w:rPr>
        <w:t xml:space="preserve">关键结论</w:t>
      </w:r>
      <w:r>
        <w:rPr>
          <w:rFonts w:hint="eastAsia"/>
        </w:rPr>
        <w:t xml:space="preserve">本文的计算机实现优势不在于使用更多工具，而在于把数据、仿真和可视化组织成可追溯的证据链：每个模型结果都能从原始数据、参数文件和生成脚本中复现。</w:t>
      </w:r>
    </w:p>
    <w:bookmarkEnd w:id="16"/>
    <w:bookmarkStart w:id="18" w:name="本文贡献与识别边界"/>
    <w:p>
      <w:pPr>
        <w:pStyle w:val="Heading2"/>
      </w:pPr>
      <w:r>
        <w:rPr>
          <w:rFonts w:hint="eastAsia"/>
        </w:rPr>
        <w:t xml:space="preserve">本文贡献与识别边界</w:t>
      </w:r>
    </w:p>
    <w:p>
      <w:pPr>
        <w:pStyle w:val="FirstParagraph"/>
      </w:pPr>
      <w:r>
        <w:rPr>
          <w:rFonts w:hint="eastAsia"/>
        </w:rPr>
        <w:t xml:space="preserve">从评审视角看，本文的关键目标是回答三个可检验问题：第一，在题面给定低弹性和封锁冲击下，传统供需模型为什么会明显高估价格；第二，哪些缓冲机制能够把理论高位压回附件中的现实价格平台；第三，当封锁延长至</w:t>
      </w:r>
      <w:r>
        <w:t xml:space="preserve"> 60–180 </w:t>
      </w:r>
      <w:r>
        <w:rPr>
          <w:rFonts w:hint="eastAsia"/>
        </w:rPr>
        <w:t xml:space="preserve">天时，哪些因素决定价格中枢和尾部跳涨风险。本文的贡献与边界见表</w:t>
      </w:r>
      <w:r>
        <w:t xml:space="preserve"> </w:t>
      </w:r>
      <w:hyperlink w:anchor="tab:contribution-boundary">
        <w:r>
          <w:rPr>
            <w:rStyle w:val="Hyperlink"/>
          </w:rPr>
          <w:t xml:space="preserve">3</w:t>
        </w:r>
      </w:hyperlink>
      <w:r>
        <w:t xml:space="preserve">。</w:t>
      </w:r>
    </w:p>
    <w:bookmarkStart w:id="17" w:name="tab:contribution-boundary"/>
    <w:p>
      <w:pPr>
        <w:pStyle w:val="TableCaption"/>
      </w:pPr>
      <w:r>
        <w:rPr>
          <w:rFonts w:hint="eastAsia"/>
        </w:rPr>
        <w:t xml:space="preserve">本文贡献与识别边界</w:t>
      </w:r>
    </w:p>
    <w:tbl>
      <w:tblPr>
        <w:tblStyle w:val="Table"/>
        <w:tblW w:type="auto" w:w="0"/>
        <w:tblLook w:firstRow="1" w:lastRow="0" w:firstColumn="0" w:lastColumn="0" w:noHBand="0" w:noVBand="0" w:val="0020"/>
        <w:tblCaption w:val="本文贡献与识别边界"/>
      </w:tblPr>
      <w:tblGrid>
        <w:gridCol w:w="2640"/>
        <w:gridCol w:w="2640"/>
        <w:gridCol w:w="2640"/>
      </w:tblGrid>
      <w:tr>
        <w:trPr>
          <w:tblHeader w:val="on"/>
        </w:trPr>
        <w:tc>
          <w:tcPr/>
          <w:p>
            <w:pPr>
              <w:pStyle w:val="Compact"/>
              <w:jc w:val="left"/>
            </w:pPr>
            <w:r>
              <w:rPr>
                <w:rFonts w:hint="eastAsia"/>
              </w:rPr>
              <w:t xml:space="preserve">维度</w:t>
            </w:r>
          </w:p>
        </w:tc>
        <w:tc>
          <w:tcPr/>
          <w:p>
            <w:pPr>
              <w:pStyle w:val="Compact"/>
              <w:jc w:val="left"/>
            </w:pPr>
            <w:r>
              <w:rPr>
                <w:rFonts w:hint="eastAsia"/>
              </w:rPr>
              <w:t xml:space="preserve">本文贡献</w:t>
            </w:r>
          </w:p>
        </w:tc>
        <w:tc>
          <w:tcPr/>
          <w:p>
            <w:pPr>
              <w:pStyle w:val="Compact"/>
              <w:jc w:val="left"/>
            </w:pPr>
            <w:r>
              <w:rPr>
                <w:rFonts w:hint="eastAsia"/>
              </w:rPr>
              <w:t xml:space="preserve">识别边界</w:t>
            </w:r>
          </w:p>
        </w:tc>
      </w:tr>
      <w:tr>
        <w:tc>
          <w:tcPr/>
          <w:p>
            <w:pPr>
              <w:pStyle w:val="Compact"/>
              <w:jc w:val="left"/>
            </w:pPr>
            <w:r>
              <w:rPr>
                <w:rFonts w:hint="eastAsia"/>
              </w:rPr>
              <w:t xml:space="preserve">反事实基准</w:t>
            </w:r>
          </w:p>
        </w:tc>
        <w:tc>
          <w:tcPr/>
          <w:p>
            <w:pPr>
              <w:pStyle w:val="Compact"/>
              <w:jc w:val="left"/>
            </w:pPr>
            <w:r>
              <w:rPr>
                <w:rFonts w:hint="eastAsia"/>
              </w:rPr>
              <w:t xml:space="preserve">依据赛题低弹性假设构造无缓冲价格上界，给出动态模型需要解释的压力来源。</w:t>
            </w:r>
          </w:p>
        </w:tc>
        <w:tc>
          <w:tcPr/>
          <w:p>
            <w:pPr>
              <w:pStyle w:val="Compact"/>
              <w:jc w:val="left"/>
            </w:pPr>
            <w:r>
              <w:rPr>
                <w:rFonts w:hint="eastAsia"/>
              </w:rPr>
              <w:t xml:space="preserve">该上界是题面条件下的反事实压力，不是对现实市场价格的直接预测。</w:t>
            </w:r>
          </w:p>
        </w:tc>
      </w:tr>
      <w:tr>
        <w:tc>
          <w:tcPr/>
          <w:p>
            <w:pPr>
              <w:pStyle w:val="Compact"/>
              <w:jc w:val="left"/>
            </w:pPr>
            <w:r>
              <w:rPr>
                <w:rFonts w:hint="eastAsia"/>
              </w:rPr>
              <w:t xml:space="preserve">短期机制递推</w:t>
            </w:r>
          </w:p>
        </w:tc>
        <w:tc>
          <w:tcPr/>
          <w:p>
            <w:pPr>
              <w:pStyle w:val="Compact"/>
              <w:jc w:val="left"/>
            </w:pPr>
            <w:r>
              <w:rPr>
                <w:rFonts w:hint="eastAsia"/>
              </w:rPr>
              <w:t xml:space="preserve">将</w:t>
            </w:r>
            <w:r>
              <w:t xml:space="preserve"> </w:t>
            </w:r>
            <w:r>
              <w:rPr>
                <w:rFonts w:hint="eastAsia"/>
              </w:rPr>
              <w:t xml:space="preserve">SPR、商业库存、绕道运输、需求收缩、恐慌衰减、风险溢价和预期修复放入同一日度递推框架，解释附件冲突窗口内的价格平台。</w:t>
            </w:r>
          </w:p>
        </w:tc>
        <w:tc>
          <w:tcPr/>
          <w:p>
            <w:pPr>
              <w:pStyle w:val="Compact"/>
              <w:jc w:val="left"/>
            </w:pPr>
            <w:r>
              <w:rPr>
                <w:rFonts w:hint="eastAsia"/>
              </w:rPr>
              <w:t xml:space="preserve">短期结果只在</w:t>
            </w:r>
            <w:r>
              <w:t xml:space="preserve"> 2026 </w:t>
            </w:r>
            <w:r>
              <w:rPr>
                <w:rFonts w:hint="eastAsia"/>
              </w:rPr>
              <w:t xml:space="preserve">冲突窗口内校准，不包装为跨年份通用交易模型。</w:t>
            </w:r>
          </w:p>
        </w:tc>
      </w:tr>
      <w:tr>
        <w:tc>
          <w:tcPr/>
          <w:p>
            <w:pPr>
              <w:pStyle w:val="Compact"/>
              <w:jc w:val="left"/>
            </w:pPr>
            <w:r>
              <w:rPr>
                <w:rFonts w:hint="eastAsia"/>
              </w:rPr>
              <w:t xml:space="preserve">模型鲁棒性检验</w:t>
            </w:r>
          </w:p>
        </w:tc>
        <w:tc>
          <w:tcPr/>
          <w:p>
            <w:pPr>
              <w:pStyle w:val="Compact"/>
              <w:jc w:val="left"/>
            </w:pPr>
            <w:r>
              <w:rPr>
                <w:rFonts w:hint="eastAsia"/>
              </w:rPr>
              <w:t xml:space="preserve">与朴素上一日、漂移随机游走和</w:t>
            </w:r>
            <w:r>
              <w:t xml:space="preserve"> ARIMA </w:t>
            </w:r>
            <w:r>
              <w:rPr>
                <w:rFonts w:hint="eastAsia"/>
              </w:rPr>
              <w:t xml:space="preserve">基准比较，并加入</w:t>
            </w:r>
            <w:r>
              <w:t xml:space="preserve"> DM </w:t>
            </w:r>
            <w:r>
              <w:rPr>
                <w:rFonts w:hint="eastAsia"/>
              </w:rPr>
              <w:t xml:space="preserve">检验、滞后平移、机制消融和参数扰动测试。</w:t>
            </w:r>
          </w:p>
        </w:tc>
        <w:tc>
          <w:tcPr/>
          <w:p>
            <w:pPr>
              <w:pStyle w:val="Compact"/>
              <w:jc w:val="left"/>
            </w:pPr>
            <w:r>
              <w:rPr>
                <w:rFonts w:hint="eastAsia"/>
              </w:rPr>
              <w:t xml:space="preserve">检验提供支持性证据，但不能替代未来真实观测对长期外推的事后验证。</w:t>
            </w:r>
          </w:p>
        </w:tc>
      </w:tr>
      <w:tr>
        <w:tc>
          <w:tcPr/>
          <w:p>
            <w:pPr>
              <w:pStyle w:val="Compact"/>
              <w:jc w:val="left"/>
            </w:pPr>
            <w:r>
              <w:rPr>
                <w:rFonts w:hint="eastAsia"/>
              </w:rPr>
              <w:t xml:space="preserve">长期情景推演</w:t>
            </w:r>
          </w:p>
        </w:tc>
        <w:tc>
          <w:tcPr/>
          <w:p>
            <w:pPr>
              <w:pStyle w:val="Compact"/>
              <w:jc w:val="left"/>
            </w:pPr>
            <w:r>
              <w:rPr>
                <w:rFonts w:hint="eastAsia"/>
              </w:rPr>
              <w:t xml:space="preserve">把主模型延伸到</w:t>
            </w:r>
            <w:r>
              <w:t xml:space="preserve"> 60–180 </w:t>
            </w:r>
            <w:r>
              <w:rPr>
                <w:rFonts w:hint="eastAsia"/>
              </w:rPr>
              <w:t xml:space="preserve">天，输出乐观、中性、悲观路径、蒙特卡洛区间和状态转移尾部风险。</w:t>
            </w:r>
          </w:p>
        </w:tc>
        <w:tc>
          <w:tcPr/>
          <w:p>
            <w:pPr>
              <w:pStyle w:val="Compact"/>
              <w:jc w:val="left"/>
            </w:pPr>
            <w:r>
              <w:rPr>
                <w:rFonts w:hint="eastAsia"/>
              </w:rPr>
              <w:t xml:space="preserve">长期结果是条件情景预测，不把中性曲线写成未来每日油价的精确点预测。</w:t>
            </w:r>
          </w:p>
        </w:tc>
      </w:tr>
      <w:tr>
        <w:tc>
          <w:tcPr/>
          <w:p>
            <w:pPr>
              <w:pStyle w:val="Compact"/>
              <w:jc w:val="left"/>
            </w:pPr>
            <w:r>
              <w:rPr>
                <w:rFonts w:hint="eastAsia"/>
              </w:rPr>
              <w:t xml:space="preserve">外部合理性校验</w:t>
            </w:r>
          </w:p>
        </w:tc>
        <w:tc>
          <w:tcPr/>
          <w:p>
            <w:pPr>
              <w:pStyle w:val="Compact"/>
              <w:jc w:val="left"/>
            </w:pPr>
            <w:r>
              <w:rPr>
                <w:rFonts w:hint="eastAsia"/>
              </w:rPr>
              <w:t xml:space="preserve">使用</w:t>
            </w:r>
            <w:r>
              <w:t xml:space="preserve"> EIA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指数、OVX</w:t>
            </w:r>
            <w:r>
              <w:t xml:space="preserve"> </w:t>
            </w:r>
            <w:r>
              <w:rPr>
                <w:rFonts w:hint="eastAsia"/>
              </w:rPr>
              <w:t xml:space="preserve">隐含波动率和</w:t>
            </w:r>
            <w:r>
              <w:t xml:space="preserve"> 2017–2026 </w:t>
            </w:r>
            <w:r>
              <w:rPr>
                <w:rFonts w:hint="eastAsia"/>
              </w:rPr>
              <w:t xml:space="preserve">历史同长度窗口验证数量级、事件极端性与风险环境。</w:t>
            </w:r>
          </w:p>
        </w:tc>
        <w:tc>
          <w:tcPr/>
          <w:p>
            <w:pPr>
              <w:pStyle w:val="Compact"/>
              <w:jc w:val="left"/>
            </w:pPr>
            <w:r>
              <w:rPr>
                <w:rFonts w:hint="eastAsia"/>
              </w:rPr>
              <w:t xml:space="preserve">外部数据用于数量级校验和约束；JODI</w:t>
            </w:r>
            <w:r>
              <w:t xml:space="preserve"> </w:t>
            </w:r>
            <w:r>
              <w:rPr>
                <w:rFonts w:hint="eastAsia"/>
              </w:rPr>
              <w:t xml:space="preserve">按多国上报口径解释，附件价格仍是短期拟合目标。</w:t>
            </w:r>
          </w:p>
        </w:tc>
      </w:tr>
    </w:tbl>
    <w:bookmarkEnd w:id="17"/>
    <w:p>
      <w:pPr>
        <w:pStyle w:val="BodyText"/>
      </w:pPr>
      <w:r>
        <w:rPr>
          <w:rFonts w:hint="eastAsia"/>
          <w:b/>
          <w:bCs/>
        </w:rPr>
        <w:t xml:space="preserve">关键结论</w:t>
      </w:r>
      <w:r>
        <w:rPr>
          <w:rFonts w:hint="eastAsia"/>
        </w:rPr>
        <w:t xml:space="preserve">本文的识别逻辑是</w:t>
      </w:r>
      <w:r>
        <w:rPr>
          <w:rFonts w:hint="eastAsia"/>
        </w:rPr>
        <w:t xml:space="preserve">“反事实压力—机制缓冲—鲁棒性检验—条件外推”</w:t>
      </w:r>
      <w:r>
        <w:rPr>
          <w:rFonts w:hint="eastAsia"/>
        </w:rPr>
        <w:t xml:space="preserve">：先说明为什么会有高价压力，再说明哪些机制压低价格，并用基准、消融、敏感性和历史窗口检验排除单纯曲线拟合。</w:t>
      </w:r>
    </w:p>
    <w:bookmarkEnd w:id="18"/>
    <w:bookmarkStart w:id="19" w:name="文献依据与建模约束"/>
    <w:p>
      <w:pPr>
        <w:pStyle w:val="Heading2"/>
      </w:pPr>
      <w:r>
        <w:rPr>
          <w:rFonts w:hint="eastAsia"/>
        </w:rPr>
        <w:t xml:space="preserve">文献依据与建模约束</w:t>
      </w:r>
    </w:p>
    <w:p>
      <w:pPr>
        <w:pStyle w:val="FirstParagraph"/>
      </w:pPr>
      <w:r>
        <w:rPr>
          <w:rFonts w:hint="eastAsia"/>
        </w:rPr>
        <w:t xml:space="preserve">本文将文献调研转化为可执行的建模约束。Kilian（2009）和</w:t>
      </w:r>
      <w:r>
        <w:t xml:space="preserve"> </w:t>
      </w:r>
      <w:r>
        <w:rPr>
          <w:rFonts w:hint="eastAsia"/>
        </w:rPr>
        <w:t xml:space="preserve">Hamilton（2009）表明，油价冲击不能只由当期供应缺口解释，还需要区分供给、需求、预防性需求和宏观环境；Kilian</w:t>
      </w:r>
      <w:r>
        <w:t xml:space="preserve"> </w:t>
      </w:r>
      <w:r>
        <w:rPr>
          <w:rFonts w:hint="eastAsia"/>
        </w:rPr>
        <w:t xml:space="preserve">与</w:t>
      </w:r>
      <w:r>
        <w:t xml:space="preserve"> </w:t>
      </w:r>
      <w:r>
        <w:rPr>
          <w:rFonts w:hint="eastAsia"/>
        </w:rPr>
        <w:t xml:space="preserve">Murphy（2014）进一步说明库存和投机性需求会影响油价路径。因此，本文将传统供需模型定位为低弹性反事实上界，而不是最终预测模型。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Vigfusson（2013）指出，原油价格预测必须与无变化预测、随机游走等强基准比较，并明确预测期限和不确定性边界。因此，本文在短期部分设置上一日价格朴素基准、漂移随机游走和滚动</w:t>
      </w:r>
      <w:r>
        <w:t xml:space="preserve"> </w:t>
      </w:r>
      <w:r>
        <w:rPr>
          <w:rFonts w:hint="eastAsia"/>
        </w:rPr>
        <w:t xml:space="preserve">ARIMA；在长期部分不把中性线写成逐日真实价格预测，而是同时给出三情景中心路径、蒙特卡洛扇形区间和状态转移尾部风险。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释放能够影响油价，但其作用通常是临时削峰和稳定预期，不能被写成完全抵消供应中断的万能机制。因此，本文把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等（2019）说明地缘风险更适合解释油价波动和尾部风险。由于</w:t>
      </w:r>
      <w:r>
        <w:t xml:space="preserve"> GPR </w:t>
      </w:r>
      <w:r>
        <w:rPr>
          <w:rFonts w:hint="eastAsia"/>
        </w:rPr>
        <w:t xml:space="preserve">来自新闻文本，本文将其作为外部风险校验和滞后检验变量，不进入短期同步拟合。进一步地，本文接入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隐含波动率，将更接近市场交易定价的风险变量用于长期风险权重和不确定性强度约束，而非短期方向预测因子。</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传统基准与综合机制递推模型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w:t>
            </w:r>
            <w:r>
              <w:t xml:space="preserve"> OVX </w:t>
            </w:r>
            <w:r>
              <w:rPr>
                <w:rFonts w:hint="eastAsia"/>
              </w:rPr>
              <w:t xml:space="preserve">波动风险</w:t>
            </w:r>
          </w:p>
        </w:tc>
        <w:tc>
          <w:tcPr/>
          <w:p>
            <w:pPr>
              <w:pStyle w:val="Compact"/>
              <w:jc w:val="left"/>
            </w:pPr>
            <w:r>
              <w:t xml:space="preserve">GPR </w:t>
            </w:r>
            <w:r>
              <w:rPr>
                <w:rFonts w:hint="eastAsia"/>
              </w:rPr>
              <w:t xml:space="preserve">适合做风险校验，OVX</w:t>
            </w:r>
            <w:r>
              <w:t xml:space="preserve"> </w:t>
            </w:r>
            <w:r>
              <w:rPr>
                <w:rFonts w:hint="eastAsia"/>
              </w:rPr>
              <w:t xml:space="preserve">适合做市场隐含波动率约束，二者均不宜同步解释同日或同月油价方向</w:t>
            </w:r>
          </w:p>
        </w:tc>
        <w:tc>
          <w:tcPr/>
          <w:p>
            <w:pPr>
              <w:pStyle w:val="Compact"/>
              <w:jc w:val="left"/>
            </w:pPr>
            <w:r>
              <w:rPr>
                <w:rFonts w:hint="eastAsia"/>
              </w:rPr>
              <w:t xml:space="preserve">滞后</w:t>
            </w:r>
            <w:r>
              <w:t xml:space="preserve"> GPR </w:t>
            </w:r>
            <w:r>
              <w:rPr>
                <w:rFonts w:hint="eastAsia"/>
              </w:rPr>
              <w:t xml:space="preserve">检验、OVX</w:t>
            </w:r>
            <w:r>
              <w:t xml:space="preserve"> </w:t>
            </w:r>
            <w:r>
              <w:rPr>
                <w:rFonts w:hint="eastAsia"/>
              </w:rPr>
              <w:t xml:space="preserve">滞后波动检验和长期尾部风险解释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长期结果应报告情景、区间和尾部概率，不夸大单点预测</w:t>
            </w:r>
          </w:p>
        </w:tc>
        <w:tc>
          <w:tcPr/>
          <w:p>
            <w:pPr>
              <w:pStyle w:val="Compact"/>
              <w:jc w:val="left"/>
            </w:pPr>
            <w:r>
              <w:rPr>
                <w:rFonts w:hint="eastAsia"/>
              </w:rPr>
              <w:t xml:space="preserve">三情景、蒙特卡洛和状态转移情景树</w:t>
            </w:r>
          </w:p>
        </w:tc>
      </w:tr>
    </w:tbl>
    <w:bookmarkEnd w:id="19"/>
    <w:bookmarkEnd w:id="20"/>
    <w:bookmarkStart w:id="32" w:name="数据处理与描述性分析"/>
    <w:p>
      <w:pPr>
        <w:pStyle w:val="Heading1"/>
      </w:pPr>
      <w:r>
        <w:rPr>
          <w:rFonts w:hint="eastAsia"/>
        </w:rPr>
        <w:t xml:space="preserve">数据处理与描述性分析</w:t>
      </w:r>
    </w:p>
    <w:bookmarkStart w:id="27"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为增强长期情景预测的外部约束，本文进一步补充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需要说明的是，这些数据均为美国口径，不能直接等同全球战略储备、全球商业库存或全球供给恢复能力；本文将其用于校验长期模型的数量级和叙述边界，而不是粗暴替换赛题给定的全球冲击参数。</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该外部数据带来三个约束。第一，美国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BodyText"/>
      </w:pPr>
      <w:r>
        <w:rPr>
          <w:rFonts w:hint="eastAsia"/>
        </w:rPr>
        <w:t xml:space="preserve">为补强全球口径约束，本文进一步接入</w:t>
      </w:r>
      <w:r>
        <w:t xml:space="preserve"> JODI Oil World Database。JODI </w:t>
      </w:r>
      <w:r>
        <w:rPr>
          <w:rFonts w:hint="eastAsia"/>
        </w:rPr>
        <w:t xml:space="preserve">数据由国际能源论坛协调，汇集多国官方上报的月度石油数据。本文下载</w:t>
      </w:r>
      <w:r>
        <w:t xml:space="preserve"> 2025 </w:t>
      </w:r>
      <w:r>
        <w:rPr>
          <w:rFonts w:hint="eastAsia"/>
        </w:rPr>
        <w:t xml:space="preserve">年完整年度</w:t>
      </w:r>
      <w:r>
        <w:t xml:space="preserve"> CSV </w:t>
      </w:r>
      <w:r>
        <w:rPr>
          <w:rFonts w:hint="eastAsia"/>
        </w:rPr>
        <w:t xml:space="preserve">和</w:t>
      </w:r>
      <w:r>
        <w:t xml:space="preserve"> 2026 </w:t>
      </w:r>
      <w:r>
        <w:rPr>
          <w:rFonts w:hint="eastAsia"/>
        </w:rPr>
        <w:t xml:space="preserve">年当前年度</w:t>
      </w:r>
      <w:r>
        <w:t xml:space="preserve"> </w:t>
      </w:r>
      <w:r>
        <w:rPr>
          <w:rFonts w:hint="eastAsia"/>
        </w:rPr>
        <w:t xml:space="preserve">CSV，抽取一次石油和二次石油中的产量、库存、进出口、油品需求与炼厂产出。由于</w:t>
      </w:r>
      <w:r>
        <w:t xml:space="preserve"> JODI </w:t>
      </w:r>
      <w:r>
        <w:rPr>
          <w:rFonts w:hint="eastAsia"/>
        </w:rPr>
        <w:t xml:space="preserve">存在国家覆盖差异和发布滞后，本文不把它写成完整全球总量，而称为</w:t>
      </w:r>
      <w:r>
        <w:rPr>
          <w:rFonts w:hint="eastAsia"/>
        </w:rPr>
        <w:t xml:space="preserve">“多国上报口径”</w:t>
      </w:r>
      <w:r>
        <w:rPr>
          <w:rFonts w:hint="eastAsia"/>
        </w:rPr>
        <w:t xml:space="preserve">；所有变化量均采用</w:t>
      </w:r>
      <w:r>
        <w:t xml:space="preserve"> 2026 </w:t>
      </w:r>
      <w:r>
        <w:rPr>
          <w:rFonts w:hint="eastAsia"/>
        </w:rPr>
        <w:t xml:space="preserve">年</w:t>
      </w:r>
      <w:r>
        <w:t xml:space="preserve"> 2 </w:t>
      </w:r>
      <w:r>
        <w:rPr>
          <w:rFonts w:hint="eastAsia"/>
        </w:rPr>
        <w:t xml:space="preserve">月已上报国家/地区作为同口径样本，再回看这些国家/地区在</w:t>
      </w:r>
      <w:r>
        <w:t xml:space="preserve"> 2025 </w:t>
      </w:r>
      <w:r>
        <w:rPr>
          <w:rFonts w:hint="eastAsia"/>
        </w:rPr>
        <w:t xml:space="preserve">年</w:t>
      </w:r>
      <w:r>
        <w:t xml:space="preserve"> 2 </w:t>
      </w:r>
      <w:r>
        <w:rPr>
          <w:rFonts w:hint="eastAsia"/>
        </w:rPr>
        <w:t xml:space="preserve">月和</w:t>
      </w:r>
      <w:r>
        <w:t xml:space="preserve"> 2025 </w:t>
      </w:r>
      <w:r>
        <w:rPr>
          <w:rFonts w:hint="eastAsia"/>
        </w:rPr>
        <w:t xml:space="preserve">年</w:t>
      </w:r>
      <w:r>
        <w:t xml:space="preserve"> 12 </w:t>
      </w:r>
      <w:r>
        <w:rPr>
          <w:rFonts w:hint="eastAsia"/>
        </w:rPr>
        <w:t xml:space="preserve">月的数值。</w:t>
      </w:r>
    </w:p>
    <w:p>
      <w:pPr>
        <w:pStyle w:val="TableCaption"/>
      </w:pPr>
      <w:r>
        <w:t xml:space="preserve">JODI </w:t>
      </w:r>
      <w:r>
        <w:rPr>
          <w:rFonts w:hint="eastAsia"/>
        </w:rPr>
        <w:t xml:space="preserve">多国口径外生约束摘要</w:t>
      </w:r>
    </w:p>
    <w:tbl>
      <w:tblPr>
        <w:tblStyle w:val="Table"/>
        <w:tblW w:type="auto" w:w="0"/>
        <w:tblLook w:firstRow="1" w:lastRow="0" w:firstColumn="0" w:lastColumn="0" w:noHBand="0" w:noVBand="0" w:val="0020"/>
        <w:tblCaption w:val="JODI 多国口径外生约束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月份</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right"/>
            </w:pPr>
            <w:r>
              <w:rPr>
                <w:rFonts w:hint="eastAsia"/>
              </w:rPr>
              <w:t xml:space="preserve">同口径较上年末变化</w:t>
            </w:r>
          </w:p>
        </w:tc>
      </w:tr>
      <w:tr>
        <w:tc>
          <w:tcPr/>
          <w:p>
            <w:pPr>
              <w:pStyle w:val="Compact"/>
              <w:jc w:val="left"/>
            </w:pPr>
            <w:r>
              <w:rPr>
                <w:rFonts w:hint="eastAsia"/>
              </w:rPr>
              <w:t xml:space="preserve">原油及凝析油产量</w:t>
            </w:r>
          </w:p>
        </w:tc>
        <w:tc>
          <w:tcPr/>
          <w:p>
            <w:pPr>
              <w:pStyle w:val="Compact"/>
              <w:jc w:val="right"/>
            </w:pPr>
            <w:r>
              <w:t xml:space="preserve">2026-02</w:t>
            </w:r>
          </w:p>
        </w:tc>
        <w:tc>
          <w:tcPr/>
          <w:p>
            <w:pPr>
              <w:pStyle w:val="Compact"/>
              <w:jc w:val="right"/>
            </w:pPr>
            <w:r>
              <w:t xml:space="preserve">51456.97</w:t>
            </w:r>
          </w:p>
        </w:tc>
        <w:tc>
          <w:tcPr/>
          <w:p>
            <w:pPr>
              <w:pStyle w:val="Compact"/>
              <w:jc w:val="right"/>
            </w:pPr>
            <w:r>
              <w:t xml:space="preserve">KBD</w:t>
            </w:r>
          </w:p>
        </w:tc>
        <w:tc>
          <w:tcPr/>
          <w:p>
            <w:pPr>
              <w:pStyle w:val="Compact"/>
              <w:jc w:val="right"/>
            </w:pPr>
            <w:r>
              <w:t xml:space="preserve">108.39</w:t>
            </w:r>
          </w:p>
        </w:tc>
      </w:tr>
      <w:tr>
        <w:tc>
          <w:tcPr/>
          <w:p>
            <w:pPr>
              <w:pStyle w:val="Compact"/>
              <w:jc w:val="left"/>
            </w:pPr>
            <w:r>
              <w:rPr>
                <w:rFonts w:hint="eastAsia"/>
              </w:rPr>
              <w:t xml:space="preserve">原油及凝析油期末库存</w:t>
            </w:r>
          </w:p>
        </w:tc>
        <w:tc>
          <w:tcPr/>
          <w:p>
            <w:pPr>
              <w:pStyle w:val="Compact"/>
              <w:jc w:val="right"/>
            </w:pPr>
            <w:r>
              <w:t xml:space="preserve">2026-02</w:t>
            </w:r>
          </w:p>
        </w:tc>
        <w:tc>
          <w:tcPr/>
          <w:p>
            <w:pPr>
              <w:pStyle w:val="Compact"/>
              <w:jc w:val="right"/>
            </w:pPr>
            <w:r>
              <w:t xml:space="preserve">2203133.02</w:t>
            </w:r>
          </w:p>
        </w:tc>
        <w:tc>
          <w:tcPr/>
          <w:p>
            <w:pPr>
              <w:pStyle w:val="Compact"/>
              <w:jc w:val="right"/>
            </w:pPr>
            <w:r>
              <w:t xml:space="preserve">KBBL</w:t>
            </w:r>
          </w:p>
        </w:tc>
        <w:tc>
          <w:tcPr/>
          <w:p>
            <w:pPr>
              <w:pStyle w:val="Compact"/>
              <w:jc w:val="right"/>
            </w:pPr>
            <w:r>
              <w:t xml:space="preserve">20073.83</w:t>
            </w:r>
          </w:p>
        </w:tc>
      </w:tr>
      <w:tr>
        <w:tc>
          <w:tcPr/>
          <w:p>
            <w:pPr>
              <w:pStyle w:val="Compact"/>
              <w:jc w:val="left"/>
            </w:pPr>
            <w:r>
              <w:rPr>
                <w:rFonts w:hint="eastAsia"/>
              </w:rPr>
              <w:t xml:space="preserve">原油及凝析油进口</w:t>
            </w:r>
          </w:p>
        </w:tc>
        <w:tc>
          <w:tcPr/>
          <w:p>
            <w:pPr>
              <w:pStyle w:val="Compact"/>
              <w:jc w:val="right"/>
            </w:pPr>
            <w:r>
              <w:t xml:space="preserve">2026-02</w:t>
            </w:r>
          </w:p>
        </w:tc>
        <w:tc>
          <w:tcPr/>
          <w:p>
            <w:pPr>
              <w:pStyle w:val="Compact"/>
              <w:jc w:val="right"/>
            </w:pPr>
            <w:r>
              <w:t xml:space="preserve">26746.71</w:t>
            </w:r>
          </w:p>
        </w:tc>
        <w:tc>
          <w:tcPr/>
          <w:p>
            <w:pPr>
              <w:pStyle w:val="Compact"/>
              <w:jc w:val="right"/>
            </w:pPr>
            <w:r>
              <w:t xml:space="preserve">KBD</w:t>
            </w:r>
          </w:p>
        </w:tc>
        <w:tc>
          <w:tcPr/>
          <w:p>
            <w:pPr>
              <w:pStyle w:val="Compact"/>
              <w:jc w:val="right"/>
            </w:pPr>
            <w:r>
              <w:t xml:space="preserve">-963.69</w:t>
            </w:r>
          </w:p>
        </w:tc>
      </w:tr>
      <w:tr>
        <w:tc>
          <w:tcPr/>
          <w:p>
            <w:pPr>
              <w:pStyle w:val="Compact"/>
              <w:jc w:val="left"/>
            </w:pPr>
            <w:r>
              <w:rPr>
                <w:rFonts w:hint="eastAsia"/>
              </w:rPr>
              <w:t xml:space="preserve">原油及凝析油出口</w:t>
            </w:r>
          </w:p>
        </w:tc>
        <w:tc>
          <w:tcPr/>
          <w:p>
            <w:pPr>
              <w:pStyle w:val="Compact"/>
              <w:jc w:val="right"/>
            </w:pPr>
            <w:r>
              <w:t xml:space="preserve">2026-02</w:t>
            </w:r>
          </w:p>
        </w:tc>
        <w:tc>
          <w:tcPr/>
          <w:p>
            <w:pPr>
              <w:pStyle w:val="Compact"/>
              <w:jc w:val="right"/>
            </w:pPr>
            <w:r>
              <w:t xml:space="preserve">22887.30</w:t>
            </w:r>
          </w:p>
        </w:tc>
        <w:tc>
          <w:tcPr/>
          <w:p>
            <w:pPr>
              <w:pStyle w:val="Compact"/>
              <w:jc w:val="right"/>
            </w:pPr>
            <w:r>
              <w:t xml:space="preserve">KBD</w:t>
            </w:r>
          </w:p>
        </w:tc>
        <w:tc>
          <w:tcPr/>
          <w:p>
            <w:pPr>
              <w:pStyle w:val="Compact"/>
              <w:jc w:val="right"/>
            </w:pPr>
            <w:r>
              <w:t xml:space="preserve">-465.39</w:t>
            </w:r>
          </w:p>
        </w:tc>
      </w:tr>
      <w:tr>
        <w:tc>
          <w:tcPr/>
          <w:p>
            <w:pPr>
              <w:pStyle w:val="Compact"/>
              <w:jc w:val="left"/>
            </w:pPr>
            <w:r>
              <w:rPr>
                <w:rFonts w:hint="eastAsia"/>
              </w:rPr>
              <w:t xml:space="preserve">油品总需求</w:t>
            </w:r>
          </w:p>
        </w:tc>
        <w:tc>
          <w:tcPr/>
          <w:p>
            <w:pPr>
              <w:pStyle w:val="Compact"/>
              <w:jc w:val="right"/>
            </w:pPr>
            <w:r>
              <w:t xml:space="preserve">2026-02</w:t>
            </w:r>
          </w:p>
        </w:tc>
        <w:tc>
          <w:tcPr/>
          <w:p>
            <w:pPr>
              <w:pStyle w:val="Compact"/>
              <w:jc w:val="right"/>
            </w:pPr>
            <w:r>
              <w:t xml:space="preserve">52784.43</w:t>
            </w:r>
          </w:p>
        </w:tc>
        <w:tc>
          <w:tcPr/>
          <w:p>
            <w:pPr>
              <w:pStyle w:val="Compact"/>
              <w:jc w:val="right"/>
            </w:pPr>
            <w:r>
              <w:t xml:space="preserve">KBD</w:t>
            </w:r>
          </w:p>
        </w:tc>
        <w:tc>
          <w:tcPr/>
          <w:p>
            <w:pPr>
              <w:pStyle w:val="Compact"/>
              <w:jc w:val="right"/>
            </w:pPr>
            <w:r>
              <w:t xml:space="preserve">423.81</w:t>
            </w:r>
          </w:p>
        </w:tc>
      </w:tr>
      <w:tr>
        <w:tc>
          <w:tcPr/>
          <w:p>
            <w:pPr>
              <w:pStyle w:val="Compact"/>
              <w:jc w:val="left"/>
            </w:pPr>
            <w:r>
              <w:rPr>
                <w:rFonts w:hint="eastAsia"/>
              </w:rPr>
              <w:t xml:space="preserve">油品炼厂总产出</w:t>
            </w:r>
          </w:p>
        </w:tc>
        <w:tc>
          <w:tcPr/>
          <w:p>
            <w:pPr>
              <w:pStyle w:val="Compact"/>
              <w:jc w:val="right"/>
            </w:pPr>
            <w:r>
              <w:t xml:space="preserve">2026-02</w:t>
            </w:r>
          </w:p>
        </w:tc>
        <w:tc>
          <w:tcPr/>
          <w:p>
            <w:pPr>
              <w:pStyle w:val="Compact"/>
              <w:jc w:val="right"/>
            </w:pPr>
            <w:r>
              <w:t xml:space="preserve">54428.66</w:t>
            </w:r>
          </w:p>
        </w:tc>
        <w:tc>
          <w:tcPr/>
          <w:p>
            <w:pPr>
              <w:pStyle w:val="Compact"/>
              <w:jc w:val="right"/>
            </w:pPr>
            <w:r>
              <w:t xml:space="preserve">KBD</w:t>
            </w:r>
          </w:p>
        </w:tc>
        <w:tc>
          <w:tcPr/>
          <w:p>
            <w:pPr>
              <w:pStyle w:val="Compact"/>
              <w:jc w:val="right"/>
            </w:pPr>
            <w:r>
              <w:t xml:space="preserve">4316.20</w:t>
            </w:r>
          </w:p>
        </w:tc>
      </w:tr>
      <w:tr>
        <w:tc>
          <w:tcPr/>
          <w:p>
            <w:pPr>
              <w:pStyle w:val="Compact"/>
              <w:jc w:val="left"/>
            </w:pPr>
            <w:r>
              <w:rPr>
                <w:rFonts w:hint="eastAsia"/>
              </w:rPr>
              <w:t xml:space="preserve">油品期末库存</w:t>
            </w:r>
          </w:p>
        </w:tc>
        <w:tc>
          <w:tcPr/>
          <w:p>
            <w:pPr>
              <w:pStyle w:val="Compact"/>
              <w:jc w:val="right"/>
            </w:pPr>
            <w:r>
              <w:t xml:space="preserve">2026-02</w:t>
            </w:r>
          </w:p>
        </w:tc>
        <w:tc>
          <w:tcPr/>
          <w:p>
            <w:pPr>
              <w:pStyle w:val="Compact"/>
              <w:jc w:val="right"/>
            </w:pPr>
            <w:r>
              <w:t xml:space="preserve">1837991.05</w:t>
            </w:r>
          </w:p>
        </w:tc>
        <w:tc>
          <w:tcPr/>
          <w:p>
            <w:pPr>
              <w:pStyle w:val="Compact"/>
              <w:jc w:val="right"/>
            </w:pPr>
            <w:r>
              <w:t xml:space="preserve">KBBL</w:t>
            </w:r>
          </w:p>
        </w:tc>
        <w:tc>
          <w:tcPr/>
          <w:p>
            <w:pPr>
              <w:pStyle w:val="Compact"/>
              <w:jc w:val="right"/>
            </w:pPr>
            <w:r>
              <w:t xml:space="preserve">49713.86</w:t>
            </w:r>
          </w:p>
        </w:tc>
      </w:tr>
    </w:tbl>
    <w:p>
      <w:pPr>
        <w:pStyle w:val="BodyText"/>
      </w:pPr>
      <w:r>
        <w:t xml:space="preserve">JODI </w:t>
      </w:r>
      <w:r>
        <w:rPr>
          <w:rFonts w:hint="eastAsia"/>
        </w:rPr>
        <w:t xml:space="preserve">数据对长期模型提供了更强的外部边界：第一，非海湾供给恢复和需求调整应理解为多国系统的缓慢响应，而不是某个国家单独变量；第二，库存缓冲应同时区分原油库存和成品油库存，不能只用美国商业库存代表全球库存；第三，2026</w:t>
      </w:r>
      <w:r>
        <w:t xml:space="preserve"> </w:t>
      </w:r>
      <w:r>
        <w:rPr>
          <w:rFonts w:hint="eastAsia"/>
        </w:rPr>
        <w:t xml:space="preserve">年</w:t>
      </w:r>
      <w:r>
        <w:t xml:space="preserve"> 2 </w:t>
      </w:r>
      <w:r>
        <w:rPr>
          <w:rFonts w:hint="eastAsia"/>
        </w:rPr>
        <w:t xml:space="preserve">月可得数据只到冲突发生前，因此它适合作为长期外推的先验约束，不适合作为</w:t>
      </w:r>
      <w:r>
        <w:t xml:space="preserve"> 3–5 </w:t>
      </w:r>
      <w:r>
        <w:rPr>
          <w:rFonts w:hint="eastAsia"/>
        </w:rPr>
        <w:t xml:space="preserve">月短期拟合的同步解释变量。</w:t>
      </w:r>
    </w:p>
    <w:p>
      <w:pPr>
        <w:pStyle w:val="BodyText"/>
      </w:pPr>
      <w:r>
        <w:rPr>
          <w:rFonts w:hint="eastAsia"/>
        </w:rPr>
        <w:t xml:space="preserve">在此基础上，本文进一步整理</w:t>
      </w:r>
      <w:r>
        <w:t xml:space="preserve"> OPEC Monthly Oil Market Report </w:t>
      </w:r>
      <w:r>
        <w:rPr>
          <w:rFonts w:hint="eastAsia"/>
        </w:rPr>
        <w:t xml:space="preserve">中的全球供需平衡表。与</w:t>
      </w:r>
      <w:r>
        <w:t xml:space="preserve"> EIA、JODI </w:t>
      </w:r>
      <w:r>
        <w:rPr>
          <w:rFonts w:hint="eastAsia"/>
        </w:rPr>
        <w:t xml:space="preserve">不同，OPEC</w:t>
      </w:r>
      <w:r>
        <w:t xml:space="preserve"> </w:t>
      </w:r>
      <w:r>
        <w:rPr>
          <w:rFonts w:hint="eastAsia"/>
        </w:rPr>
        <w:t xml:space="preserve">表给出的是全球正常情景下的年度和季度供需基线，适合约束</w:t>
      </w:r>
      <w:r>
        <w:t xml:space="preserve"> 60–180 </w:t>
      </w:r>
      <w:r>
        <w:rPr>
          <w:rFonts w:hint="eastAsia"/>
        </w:rPr>
        <w:t xml:space="preserve">天长期外推中的需求背景、非</w:t>
      </w:r>
      <w:r>
        <w:t xml:space="preserve"> DoC </w:t>
      </w:r>
      <w:r>
        <w:rPr>
          <w:rFonts w:hint="eastAsia"/>
        </w:rPr>
        <w:t xml:space="preserve">供给恢复和</w:t>
      </w:r>
      <w:r>
        <w:t xml:space="preserve"> DoC </w:t>
      </w:r>
      <w:r>
        <w:rPr>
          <w:rFonts w:hint="eastAsia"/>
        </w:rPr>
        <w:t xml:space="preserve">原油需求差额尾部压力。</w:t>
      </w:r>
    </w:p>
    <w:p>
      <w:pPr>
        <w:pStyle w:val="TableCaption"/>
      </w:pPr>
      <w:r>
        <w:t xml:space="preserve">OPEC </w:t>
      </w:r>
      <w:r>
        <w:rPr>
          <w:rFonts w:hint="eastAsia"/>
        </w:rPr>
        <w:t xml:space="preserve">全球供需平衡表关键约束</w:t>
      </w:r>
    </w:p>
    <w:tbl>
      <w:tblPr>
        <w:tblStyle w:val="Table"/>
        <w:tblW w:type="auto" w:w="0"/>
        <w:tblLook w:firstRow="1" w:lastRow="0" w:firstColumn="0" w:lastColumn="0" w:noHBand="0" w:noVBand="0" w:val="0020"/>
        <w:tblCaption w:val="OPEC 全球供需平衡表关键约束"/>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left"/>
            </w:pPr>
            <w:r>
              <w:rPr>
                <w:rFonts w:hint="eastAsia"/>
              </w:rPr>
              <w:t xml:space="preserve">模型含义</w:t>
            </w:r>
          </w:p>
        </w:tc>
      </w:tr>
      <w:tr>
        <w:tc>
          <w:tcPr/>
          <w:p>
            <w:pPr>
              <w:pStyle w:val="Compact"/>
              <w:jc w:val="left"/>
            </w:pPr>
            <w:r>
              <w:t xml:space="preserve">2026 </w:t>
            </w:r>
            <w:r>
              <w:rPr>
                <w:rFonts w:hint="eastAsia"/>
              </w:rPr>
              <w:t xml:space="preserve">年世界石油需求增量</w:t>
            </w:r>
          </w:p>
        </w:tc>
        <w:tc>
          <w:tcPr/>
          <w:p>
            <w:pPr>
              <w:pStyle w:val="Compact"/>
              <w:jc w:val="right"/>
            </w:pPr>
            <w:r>
              <w:t xml:space="preserve">1.40</w:t>
            </w:r>
          </w:p>
        </w:tc>
        <w:tc>
          <w:tcPr/>
          <w:p>
            <w:pPr>
              <w:pStyle w:val="Compact"/>
              <w:jc w:val="right"/>
            </w:pPr>
            <w:r>
              <w:t xml:space="preserve">mb/d</w:t>
            </w:r>
          </w:p>
        </w:tc>
        <w:tc>
          <w:tcPr/>
          <w:p>
            <w:pPr>
              <w:pStyle w:val="Compact"/>
              <w:jc w:val="left"/>
            </w:pPr>
            <w:r>
              <w:rPr>
                <w:rFonts w:hint="eastAsia"/>
              </w:rPr>
              <w:t xml:space="preserve">长期需求背景仍增长，需求收缩不能设得过强</w:t>
            </w:r>
          </w:p>
        </w:tc>
      </w:tr>
      <w:tr>
        <w:tc>
          <w:tcPr/>
          <w:p>
            <w:pPr>
              <w:pStyle w:val="Compact"/>
              <w:jc w:val="left"/>
            </w:pPr>
            <w:r>
              <w:t xml:space="preserve">2026 </w:t>
            </w:r>
            <w:r>
              <w:rPr>
                <w:rFonts w:hint="eastAsia"/>
              </w:rPr>
              <w:t xml:space="preserve">年非</w:t>
            </w:r>
            <w:r>
              <w:t xml:space="preserve"> DoC </w:t>
            </w:r>
            <w:r>
              <w:rPr>
                <w:rFonts w:hint="eastAsia"/>
              </w:rPr>
              <w:t xml:space="preserve">液体供给增量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外部供给有恢复能力，但远小于封锁冲击量级</w:t>
            </w:r>
          </w:p>
        </w:tc>
      </w:tr>
      <w:tr>
        <w:tc>
          <w:tcPr/>
          <w:p>
            <w:pPr>
              <w:pStyle w:val="Compact"/>
              <w:jc w:val="left"/>
            </w:pPr>
            <w:r>
              <w:t xml:space="preserve">2026 </w:t>
            </w:r>
            <w:r>
              <w:rPr>
                <w:rFonts w:hint="eastAsia"/>
              </w:rPr>
              <w:t xml:space="preserve">年</w:t>
            </w:r>
            <w:r>
              <w:t xml:space="preserve"> DoC </w:t>
            </w:r>
            <w:r>
              <w:rPr>
                <w:rFonts w:hint="eastAsia"/>
              </w:rPr>
              <w:t xml:space="preserve">原油需求差额增量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对</w:t>
            </w:r>
            <w:r>
              <w:t xml:space="preserve"> DoC </w:t>
            </w:r>
            <w:r>
              <w:rPr>
                <w:rFonts w:hint="eastAsia"/>
              </w:rPr>
              <w:t xml:space="preserve">原油的压力仍上升，支持保留尾部风险</w:t>
            </w:r>
          </w:p>
        </w:tc>
      </w:tr>
      <w:tr>
        <w:tc>
          <w:tcPr/>
          <w:p>
            <w:pPr>
              <w:pStyle w:val="Compact"/>
              <w:jc w:val="left"/>
            </w:pPr>
            <w:r>
              <w:t xml:space="preserve">2026 </w:t>
            </w:r>
            <w:r>
              <w:rPr>
                <w:rFonts w:hint="eastAsia"/>
              </w:rPr>
              <w:t xml:space="preserve">年</w:t>
            </w:r>
            <w:r>
              <w:t xml:space="preserve"> DoC </w:t>
            </w:r>
            <w:r>
              <w:rPr>
                <w:rFonts w:hint="eastAsia"/>
              </w:rPr>
              <w:t xml:space="preserve">原油需求差额峰值</w:t>
            </w:r>
          </w:p>
        </w:tc>
        <w:tc>
          <w:tcPr/>
          <w:p>
            <w:pPr>
              <w:pStyle w:val="Compact"/>
              <w:jc w:val="right"/>
            </w:pPr>
            <w:r>
              <w:t xml:space="preserve">43.70</w:t>
            </w:r>
          </w:p>
        </w:tc>
        <w:tc>
          <w:tcPr/>
          <w:p>
            <w:pPr>
              <w:pStyle w:val="Compact"/>
              <w:jc w:val="right"/>
            </w:pPr>
            <w:r>
              <w:t xml:space="preserve">mb/d</w:t>
            </w:r>
          </w:p>
        </w:tc>
        <w:tc>
          <w:tcPr/>
          <w:p>
            <w:pPr>
              <w:pStyle w:val="Compact"/>
              <w:jc w:val="left"/>
            </w:pPr>
            <w:r>
              <w:rPr>
                <w:rFonts w:hint="eastAsia"/>
              </w:rPr>
              <w:t xml:space="preserve">下半年需求差额更高，长期模型需保留季节性压力</w:t>
            </w:r>
          </w:p>
        </w:tc>
      </w:tr>
      <w:tr>
        <w:tc>
          <w:tcPr/>
          <w:p>
            <w:pPr>
              <w:pStyle w:val="Compact"/>
              <w:jc w:val="left"/>
            </w:pPr>
            <w:r>
              <w:rPr>
                <w:rFonts w:hint="eastAsia"/>
              </w:rPr>
              <w:t xml:space="preserve">峰值高于年均</w:t>
            </w:r>
          </w:p>
        </w:tc>
        <w:tc>
          <w:tcPr/>
          <w:p>
            <w:pPr>
              <w:pStyle w:val="Compact"/>
              <w:jc w:val="right"/>
            </w:pPr>
            <w:r>
              <w:t xml:space="preserve">0.70</w:t>
            </w:r>
          </w:p>
        </w:tc>
        <w:tc>
          <w:tcPr/>
          <w:p>
            <w:pPr>
              <w:pStyle w:val="Compact"/>
              <w:jc w:val="right"/>
            </w:pPr>
            <w:r>
              <w:t xml:space="preserve">mb/d</w:t>
            </w:r>
          </w:p>
        </w:tc>
        <w:tc>
          <w:tcPr/>
          <w:p>
            <w:pPr>
              <w:pStyle w:val="Compact"/>
              <w:jc w:val="left"/>
            </w:pPr>
            <w:r>
              <w:rPr>
                <w:rFonts w:hint="eastAsia"/>
              </w:rPr>
              <w:t xml:space="preserve">用于温和抬升尾部风险权重</w:t>
            </w:r>
          </w:p>
        </w:tc>
      </w:tr>
    </w:tbl>
    <w:p>
      <w:pPr>
        <w:pStyle w:val="BodyText"/>
      </w:pPr>
      <w:r>
        <w:t xml:space="preserve">OPEC </w:t>
      </w:r>
      <w:r>
        <w:rPr>
          <w:rFonts w:hint="eastAsia"/>
        </w:rPr>
        <w:t xml:space="preserve">表并不替代赛题冲击参数。它只说明：在没有霍尔木兹极端封锁的正常基线下，2026</w:t>
      </w:r>
      <w:r>
        <w:t xml:space="preserve"> </w:t>
      </w:r>
      <w:r>
        <w:rPr>
          <w:rFonts w:hint="eastAsia"/>
        </w:rPr>
        <w:t xml:space="preserve">年全球需求仍有增长、非</w:t>
      </w:r>
      <w:r>
        <w:t xml:space="preserve"> DoC </w:t>
      </w:r>
      <w:r>
        <w:rPr>
          <w:rFonts w:hint="eastAsia"/>
        </w:rPr>
        <w:t xml:space="preserve">供给恢复有限且下半年</w:t>
      </w:r>
      <w:r>
        <w:t xml:space="preserve"> DoC </w:t>
      </w:r>
      <w:r>
        <w:rPr>
          <w:rFonts w:hint="eastAsia"/>
        </w:rPr>
        <w:t xml:space="preserve">原油需求差额更高。因此，长期模型不能把价格回落解释成</w:t>
      </w:r>
      <w:r>
        <w:rPr>
          <w:rFonts w:hint="eastAsia"/>
        </w:rPr>
        <w:t xml:space="preserve">“全球需求自然塌陷”</w:t>
      </w:r>
      <w:r>
        <w:rPr>
          <w:rFonts w:hint="eastAsia"/>
        </w:rPr>
        <w:t xml:space="preserve">，而应解释为政策缓冲、供给恢复、需求弹性和风险溢价衰减共同作用后的条件路径。</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月度指数，作为地缘风险溢价的外部校验变量。由于</w:t>
      </w:r>
      <w:r>
        <w:t xml:space="preserve"> GPR </w:t>
      </w:r>
      <w:r>
        <w:rPr>
          <w:rFonts w:hint="eastAsia"/>
        </w:rPr>
        <w:t xml:space="preserve">由新闻文本构造，同月指数不直接进入短期拟合；详细滞后检验放在第</w:t>
      </w:r>
      <w:r>
        <w:t xml:space="preserve"> 9.5 </w:t>
      </w:r>
      <w:r>
        <w:rPr>
          <w:rFonts w:hint="eastAsia"/>
        </w:rPr>
        <w:t xml:space="preserve">节统一报告。与此同时，本文接入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隐含波动率。OVX</w:t>
      </w:r>
      <w:r>
        <w:t xml:space="preserve"> </w:t>
      </w:r>
      <w:r>
        <w:rPr>
          <w:rFonts w:hint="eastAsia"/>
        </w:rPr>
        <w:t xml:space="preserve">反映期权市场对未来约</w:t>
      </w:r>
      <w:r>
        <w:t xml:space="preserve"> 30 </w:t>
      </w:r>
      <w:r>
        <w:rPr>
          <w:rFonts w:hint="eastAsia"/>
        </w:rPr>
        <w:t xml:space="preserve">日油价波动的定价，冲突窗口均值为</w:t>
      </w:r>
      <w:r>
        <w:t xml:space="preserve"> </w:t>
      </w:r>
      <w:r>
        <w:rPr>
          <w:rFonts w:hint="eastAsia"/>
        </w:rPr>
        <w:t xml:space="preserve">87.07，最大值为</w:t>
      </w:r>
      <w:r>
        <w:t xml:space="preserve"> </w:t>
      </w:r>
      <w:r>
        <w:rPr>
          <w:rFonts w:hint="eastAsia"/>
        </w:rPr>
        <w:t xml:space="preserve">120.91，同长度历史窗口均值分位约</w:t>
      </w:r>
      <w:r>
        <w:t xml:space="preserve"> </w:t>
      </w:r>
      <w:r>
        <w:rPr>
          <w:rFonts w:hint="eastAsia"/>
        </w:rPr>
        <w:t xml:space="preserve">97.3%，因此适合进入长期风险权重和不确定性强度约束。</w:t>
      </w:r>
    </w:p>
    <w:p>
      <w:pPr>
        <w:pStyle w:val="BodyText"/>
      </w:pPr>
      <w:r>
        <w:rPr>
          <w:rFonts w:hint="eastAsia"/>
          <w:b/>
          <w:bCs/>
        </w:rPr>
        <w:t xml:space="preserve">关键结论</w:t>
      </w:r>
      <w:r>
        <w:rPr>
          <w:rFonts w:hint="eastAsia"/>
        </w:rPr>
        <w:t xml:space="preserve">数据使用遵循</w:t>
      </w:r>
      <w:r>
        <w:rPr>
          <w:rFonts w:hint="eastAsia"/>
        </w:rPr>
        <w:t xml:space="preserve">“附件真实价格为主、外部数据只做校验与长期约束”</w:t>
      </w:r>
      <w:r>
        <w:rPr>
          <w:rFonts w:hint="eastAsia"/>
        </w:rPr>
        <w:t xml:space="preserve">的原则。EIA</w:t>
      </w:r>
      <w:r>
        <w:t xml:space="preserve"> </w:t>
      </w:r>
      <w:r>
        <w:rPr>
          <w:rFonts w:hint="eastAsia"/>
        </w:rPr>
        <w:t xml:space="preserve">用于美国口径数量级校验，JODI</w:t>
      </w:r>
      <w:r>
        <w:t xml:space="preserve"> </w:t>
      </w:r>
      <w:r>
        <w:rPr>
          <w:rFonts w:hint="eastAsia"/>
        </w:rPr>
        <w:t xml:space="preserve">用于多国供需和库存约束，OPEC</w:t>
      </w:r>
      <w:r>
        <w:t xml:space="preserve"> </w:t>
      </w:r>
      <w:r>
        <w:rPr>
          <w:rFonts w:hint="eastAsia"/>
        </w:rPr>
        <w:t xml:space="preserve">用于全球供需平衡基线，GPR</w:t>
      </w:r>
      <w:r>
        <w:t xml:space="preserve"> </w:t>
      </w:r>
      <w:r>
        <w:rPr>
          <w:rFonts w:hint="eastAsia"/>
        </w:rPr>
        <w:t xml:space="preserve">用于地缘风险校验，OVX</w:t>
      </w:r>
      <w:r>
        <w:t xml:space="preserve"> </w:t>
      </w:r>
      <w:r>
        <w:rPr>
          <w:rFonts w:hint="eastAsia"/>
        </w:rPr>
        <w:t xml:space="preserve">用于市场隐含波动率约束；这些数据均不反向替代附件真实价格。</w:t>
      </w:r>
    </w:p>
    <w:p>
      <w:pPr>
        <w:pStyle w:val="CaptionedFigure"/>
      </w:pPr>
      <w:r>
        <w:drawing>
          <wp:inline>
            <wp:extent cx="4907280" cy="2453640"/>
            <wp:effectExtent b="0" l="0" r="0" t="0"/>
            <wp:docPr descr="" title="" id="22" name="Picture"/>
            <a:graphic>
              <a:graphicData uri="http://schemas.openxmlformats.org/drawingml/2006/picture">
                <pic:pic>
                  <pic:nvPicPr>
                    <pic:cNvPr descr="布伦特原油长期价格走势.png" id="23" name="Picture"/>
                    <pic:cNvPicPr>
                      <a:picLocks noChangeArrowheads="1" noChangeAspect="1"/>
                    </pic:cNvPicPr>
                  </pic:nvPicPr>
                  <pic:blipFill>
                    <a:blip r:embed="rId21"/>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布伦特原油期货主力合约收盘价长期走势。该图用于确认</w:t>
      </w:r>
      <w:r>
        <w:t xml:space="preserve"> 2026 </w:t>
      </w:r>
      <w:r>
        <w:rPr>
          <w:rFonts w:hint="eastAsia"/>
        </w:rPr>
        <w:t xml:space="preserve">冲突窗口不是孤立样本，而是处在</w:t>
      </w:r>
      <w:r>
        <w:t xml:space="preserve"> 2017–2026 </w:t>
      </w:r>
      <w:r>
        <w:rPr>
          <w:rFonts w:hint="eastAsia"/>
        </w:rPr>
        <w:t xml:space="preserve">年高波动能源价格背景下。</w:t>
      </w:r>
    </w:p>
    <w:p>
      <w:pPr>
        <w:pStyle w:val="CaptionedFigure"/>
      </w:pPr>
      <w:r>
        <w:drawing>
          <wp:inline>
            <wp:extent cx="4907280" cy="2453640"/>
            <wp:effectExtent b="0" l="0" r="0" t="0"/>
            <wp:docPr descr="" title="" id="25" name="Picture"/>
            <a:graphic>
              <a:graphicData uri="http://schemas.openxmlformats.org/drawingml/2006/picture">
                <pic:pic>
                  <pic:nvPicPr>
                    <pic:cNvPr descr="冲突窗口价格走势.png" id="26" name="Picture"/>
                    <pic:cNvPicPr>
                      <a:picLocks noChangeArrowheads="1" noChangeAspect="1"/>
                    </pic:cNvPicPr>
                  </pic:nvPicPr>
                  <pic:blipFill>
                    <a:blip r:embed="rId24"/>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冲突窗口内附件真实价格路径。价格在冲击后快速进入</w:t>
      </w:r>
      <w:r>
        <w:t xml:space="preserve"> 110–120 </w:t>
      </w:r>
      <w:r>
        <w:rPr>
          <w:rFonts w:hint="eastAsia"/>
        </w:rPr>
        <w:t xml:space="preserve">美元/桶平台，为短期动态递推模型提供直接拟合目标。</w:t>
      </w:r>
    </w:p>
    <w:bookmarkEnd w:id="27"/>
    <w:bookmarkStart w:id="31"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9" name="Picture"/>
            <a:graphic>
              <a:graphicData uri="http://schemas.openxmlformats.org/drawingml/2006/picture">
                <pic:pic>
                  <pic:nvPicPr>
                    <pic:cNvPr descr="布伦特收益率与波动率.png" id="30" name="Picture"/>
                    <pic:cNvPicPr>
                      <a:picLocks noChangeArrowheads="1" noChangeAspect="1"/>
                    </pic:cNvPicPr>
                  </pic:nvPicPr>
                  <pic:blipFill>
                    <a:blip r:embed="rId28"/>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收益率与滚动波动率。冲突窗口波动明显放大，说明模型评价不能只看价格水平，还需要检验残差结构、历史极端性和尾部风险。</w:t>
      </w:r>
    </w:p>
    <w:bookmarkEnd w:id="31"/>
    <w:bookmarkEnd w:id="32"/>
    <w:bookmarkStart w:id="36" w:name="模型假设与符号说明"/>
    <w:p>
      <w:pPr>
        <w:pStyle w:val="Heading1"/>
      </w:pPr>
      <w:r>
        <w:rPr>
          <w:rFonts w:hint="eastAsia"/>
        </w:rPr>
        <w:t xml:space="preserve">模型假设与符号说明</w:t>
      </w:r>
    </w:p>
    <w:bookmarkStart w:id="33"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33"/>
    <w:bookmarkStart w:id="34"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34"/>
    <w:bookmarkStart w:id="35"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校验；校准参数必须通过基准对比、消融实验和扰动检验；长期情景参数只用于</w:t>
      </w:r>
      <w:r>
        <w:t xml:space="preserve"> 60–180 </w:t>
      </w:r>
      <w:r>
        <w:rPr>
          <w:rFonts w:hint="eastAsia"/>
        </w:rPr>
        <w:t xml:space="preserve">天条件外推，不参与短期窗口的误差拟合；长期机制强度参数则必须显式命名，并进入敏感性分析。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官方外部校验量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SPR、商业库存、原油产量，JODI</w:t>
            </w:r>
            <w:r>
              <w:t xml:space="preserve"> </w:t>
            </w:r>
            <w:r>
              <w:rPr>
                <w:rFonts w:hint="eastAsia"/>
              </w:rPr>
              <w:t xml:space="preserve">多国月度石油数据，OPEC</w:t>
            </w:r>
            <w:r>
              <w:t xml:space="preserve"> </w:t>
            </w:r>
            <w:r>
              <w:rPr>
                <w:rFonts w:hint="eastAsia"/>
              </w:rPr>
              <w:t xml:space="preserve">全球供需平衡表，Caldara-Iacoviello</w:t>
            </w:r>
            <w:r>
              <w:t xml:space="preserve"> GPR </w:t>
            </w:r>
            <w:r>
              <w:rPr>
                <w:rFonts w:hint="eastAsia"/>
              </w:rPr>
              <w:t xml:space="preserve">指数，Cboe/FRED</w:t>
            </w:r>
            <w:r>
              <w:t xml:space="preserve"> OVX </w:t>
            </w:r>
            <w:r>
              <w:rPr>
                <w:rFonts w:hint="eastAsia"/>
              </w:rPr>
              <w:t xml:space="preserve">隐含波动率</w:t>
            </w:r>
          </w:p>
        </w:tc>
        <w:tc>
          <w:tcPr/>
          <w:p>
            <w:pPr>
              <w:pStyle w:val="Compact"/>
              <w:jc w:val="left"/>
            </w:pPr>
            <w:r>
              <w:rPr>
                <w:rFonts w:hint="eastAsia"/>
              </w:rPr>
              <w:t xml:space="preserve">只用于校验长期约束、数量级和风险高位事实，不替代附件真实价格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在固定机制结构内校准，并接受消融、扰动和结构稳定性检验</w:t>
            </w:r>
          </w:p>
        </w:tc>
      </w:tr>
      <w:tr>
        <w:tc>
          <w:tcPr/>
          <w:p>
            <w:pPr>
              <w:pStyle w:val="Compact"/>
              <w:jc w:val="left"/>
            </w:pPr>
            <w:r>
              <w:rPr>
                <w:rFonts w:hint="eastAsia"/>
              </w:rPr>
              <w:t xml:space="preserve">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冲击不确定性占比、制度风险占比、信心恢复后风险底座、过剩供给回归强度、封锁风险衰减速度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：低弹性仍用于线性需求反事实基准，解释为什么静态模型会给出</w:t>
      </w:r>
      <w:r>
        <w:t xml:space="preserve"> 278–337 </w:t>
      </w:r>
      <w:r>
        <w:rPr>
          <w:rFonts w:hint="eastAsia"/>
        </w:rPr>
        <w:t xml:space="preserve">美元/桶的高价压力；常弹性需求口径只作为机械上界参照。</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明确归类为行为校准参数，并在结构稳定性检验中单独报告：当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长期外推中的若干机制系数也需要单独说明。例如冲击不确定性占比、制度风险占比、过剩供给回归强度和封锁风险衰减速度并非</w:t>
      </w:r>
      <w:r>
        <w:t xml:space="preserve"> EIA、JODI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长期判断主要来自机制组合，而不是某一个隐藏常数。</w:t>
      </w:r>
    </w:p>
    <w:bookmarkEnd w:id="35"/>
    <w:bookmarkEnd w:id="36"/>
    <w:bookmarkStart w:id="42" w:name="传统供需基准模型"/>
    <w:p>
      <w:pPr>
        <w:pStyle w:val="Heading1"/>
      </w:pPr>
      <w:r>
        <w:rPr>
          <w:rFonts w:hint="eastAsia"/>
        </w:rPr>
        <w:t xml:space="preserve">传统供需基准模型</w:t>
      </w:r>
    </w:p>
    <w:bookmarkStart w:id="37"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的理论价格压力。它不是最终预测模型，而是反事实参照：如果市场只按低短期弹性吸收供应中断，那么静态供需框架会给出多高的价格压力。</w:t>
      </w:r>
    </w:p>
    <w:p>
      <w:pPr>
        <w:pStyle w:val="BodyText"/>
      </w:pPr>
      <w:r>
        <w:rPr>
          <w:rFonts w:hint="eastAsia"/>
        </w:rPr>
        <w:t xml:space="preserve">本文主口径采用线性需求曲线假设。设局部反需求函数为</w:t>
      </w:r>
      <w:r>
        <w:t xml:space="preserve"> </w:t>
      </w:r>
      <m:oMath>
        <m:r>
          <m:t>P</m:t>
        </m:r>
        <m:r>
          <m:rPr>
            <m:sty m:val="p"/>
          </m:rPr>
          <m:t>=</m:t>
        </m:r>
        <m:r>
          <m:t>a</m:t>
        </m:r>
        <m:r>
          <m:rPr>
            <m:sty m:val="p"/>
          </m:rPr>
          <m:t>−</m:t>
        </m:r>
        <m:r>
          <m:t>b</m:t>
        </m:r>
        <m:r>
          <m:t>Q</m:t>
        </m:r>
      </m:oMath>
      <w:r>
        <w:rPr>
          <w:rFonts w:hint="eastAsia"/>
        </w:rPr>
        <w:t xml:space="preserve">，并在战前均衡点</w:t>
      </w:r>
      <w:r>
        <w:t xml:space="preserve"> </w:t>
      </w:r>
      <m:oMath>
        <m:sSub>
          <m:e>
            <m:r>
              <m:t>P</m:t>
            </m:r>
          </m:e>
          <m:sub>
            <m:r>
              <m:t>0</m:t>
            </m:r>
          </m:sub>
        </m:sSub>
        <m:r>
          <m:rPr>
            <m:sty m:val="p"/>
          </m:rPr>
          <m:t>,</m:t>
        </m:r>
        <m:sSub>
          <m:e>
            <m:r>
              <m:t>D</m:t>
            </m:r>
          </m:e>
          <m:sub>
            <m:r>
              <m:t>0</m:t>
            </m:r>
          </m:sub>
        </m:sSub>
      </m:oMath>
      <w:r>
        <w:t xml:space="preserve"> </w:t>
      </w:r>
      <w:r>
        <w:rPr>
          <w:rFonts w:hint="eastAsia"/>
        </w:rPr>
        <w:t xml:space="preserve">处使用题面给出的短期点弹性</w:t>
      </w:r>
      <w:r>
        <w:t xml:space="preserve"> </w:t>
      </w:r>
      <m:oMath>
        <m:r>
          <m:t>ε</m:t>
        </m:r>
      </m:oMath>
      <w:r>
        <w:t xml:space="preserve"> </w:t>
      </w:r>
      <w:r>
        <w:rPr>
          <w:rFonts w:hint="eastAsia"/>
        </w:rPr>
        <w:t xml:space="preserve">标定斜率。当供应中断量为</w:t>
      </w:r>
      <w:r>
        <w:t xml:space="preserve"> </w:t>
      </w:r>
      <m:oMath>
        <m:r>
          <m:t>I</m:t>
        </m:r>
      </m:oMath>
      <w:r>
        <w:t xml:space="preserve"> </w:t>
      </w:r>
      <w:r>
        <w:rPr>
          <w:rFonts w:hint="eastAsia"/>
        </w:rPr>
        <w:t xml:space="preserve">时，线性需求反事实价格为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需要说明的是，上式不是常弹性需求函数的一阶</w:t>
      </w:r>
      <w:r>
        <w:t xml:space="preserve"> Taylor </w:t>
      </w:r>
      <w:r>
        <w:rPr>
          <w:rFonts w:hint="eastAsia"/>
        </w:rPr>
        <w:t xml:space="preserve">近似，而是线性需求反事实基准的主口径。选择线性需求，是因为它隐含消费者边际支付意愿随消费量下降；若采用常弹性需求</w:t>
      </w:r>
      <w:r>
        <w:t xml:space="preserve"> </w:t>
      </w:r>
      <m:oMath>
        <m:r>
          <m:t>Q</m:t>
        </m:r>
        <m:r>
          <m:rPr>
            <m:sty m:val="p"/>
          </m:rPr>
          <m:t>=</m:t>
        </m:r>
        <m:r>
          <m:t>A</m:t>
        </m:r>
        <m:sSup>
          <m:e>
            <m:r>
              <m:t>P</m:t>
            </m:r>
          </m:e>
          <m:sup>
            <m:r>
              <m:t>ε</m:t>
            </m:r>
          </m:sup>
        </m:sSup>
      </m:oMath>
      <w:r>
        <w:rPr>
          <w:rFonts w:hint="eastAsia"/>
        </w:rPr>
        <w:t xml:space="preserve">，在</w:t>
      </w:r>
      <w:r>
        <w:t xml:space="preserve"> </w:t>
      </w:r>
      <m:oMath>
        <m:r>
          <m:t>ε</m:t>
        </m:r>
        <m:r>
          <m:rPr>
            <m:sty m:val="p"/>
          </m:rPr>
          <m:t>=</m:t>
        </m:r>
        <m:r>
          <m:rPr>
            <m:sty m:val="p"/>
          </m:rPr>
          <m:t>−</m:t>
        </m:r>
        <m:r>
          <m:t>0.05</m:t>
        </m:r>
      </m:oMath>
      <w:r>
        <w:t xml:space="preserve"> </w:t>
      </w:r>
      <w:r>
        <w:rPr>
          <w:rFonts w:hint="eastAsia"/>
        </w:rPr>
        <w:t xml:space="preserve">且供应缺口较大时会给出极高的机械上界：</w:t>
      </w:r>
    </w:p>
    <w:p>
      <w:pPr>
        <w:pStyle w:val="BodyText"/>
      </w:pPr>
      <m:oMathPara>
        <m:oMathParaPr>
          <m:jc m:val="center"/>
        </m:oMathParaPr>
        <m:oMath>
          <m:sSub>
            <m:e>
              <m:r>
                <m:t>P</m:t>
              </m:r>
            </m:e>
            <m:sub>
              <m:r>
                <m:rPr>
                  <m:sty m:val="p"/>
                </m:rPr>
                <m:t>c</m:t>
              </m:r>
              <m:r>
                <m:rPr>
                  <m:sty m:val="p"/>
                </m:rPr>
                <m:t>e</m:t>
              </m:r>
            </m:sub>
          </m:sSub>
          <m:r>
            <m:rPr>
              <m:sty m:val="p"/>
            </m:rPr>
            <m:t>=</m:t>
          </m:r>
          <m:sSub>
            <m:e>
              <m:r>
                <m:t>P</m:t>
              </m:r>
            </m:e>
            <m:sub>
              <m:r>
                <m:t>0</m:t>
              </m:r>
            </m:sub>
          </m:sSub>
          <m:sSup>
            <m:e>
              <m:d>
                <m:dPr>
                  <m:begChr m:val="("/>
                  <m:sepChr m:val=""/>
                  <m:endChr m:val=")"/>
                  <m:grow/>
                </m:dPr>
                <m:e>
                  <m:r>
                    <m:t>1</m:t>
                  </m:r>
                  <m:r>
                    <m:rPr>
                      <m:sty m:val="p"/>
                    </m:rPr>
                    <m:t>−</m:t>
                  </m:r>
                  <m:f>
                    <m:fPr>
                      <m:type m:val="bar"/>
                    </m:fPr>
                    <m:num>
                      <m:r>
                        <m:t>I</m:t>
                      </m:r>
                    </m:num>
                    <m:den>
                      <m:sSub>
                        <m:e>
                          <m:r>
                            <m:t>D</m:t>
                          </m:r>
                        </m:e>
                        <m:sub>
                          <m:r>
                            <m:t>0</m:t>
                          </m:r>
                        </m:sub>
                      </m:sSub>
                    </m:den>
                  </m:f>
                </m:e>
              </m:d>
            </m:e>
            <m:sup>
              <m:r>
                <m:t>1</m:t>
              </m:r>
              <m:r>
                <m:rPr>
                  <m:sty m:val="p"/>
                </m:rPr>
                <m:t>/</m:t>
              </m:r>
              <m:r>
                <m:t>ε</m:t>
              </m:r>
            </m:sup>
          </m:sSup>
          <m:r>
            <m:rPr>
              <m:sty m:val="p"/>
            </m:rPr>
            <m:t>.</m:t>
          </m:r>
        </m:oMath>
      </m:oMathPara>
    </w:p>
    <w:p>
      <w:pPr>
        <w:pStyle w:val="FirstParagraph"/>
      </w:pPr>
      <w:r>
        <w:rPr>
          <w:rFonts w:hint="eastAsia"/>
        </w:rPr>
        <w:t xml:space="preserve">本文同时计算</w:t>
      </w:r>
      <w:r>
        <w:t xml:space="preserve"> </w:t>
      </w:r>
      <m:oMath>
        <m:sSub>
          <m:e>
            <m:r>
              <m:t>P</m:t>
            </m:r>
          </m:e>
          <m:sub>
            <m:r>
              <m:rPr>
                <m:sty m:val="p"/>
              </m:rPr>
              <m:t>c</m:t>
            </m:r>
            <m:r>
              <m:rPr>
                <m:sty m:val="p"/>
              </m:rPr>
              <m:t>e</m:t>
            </m:r>
          </m:sub>
        </m:sSub>
      </m:oMath>
      <w:r>
        <w:t xml:space="preserve"> </w:t>
      </w:r>
      <w:r>
        <w:rPr>
          <w:rFonts w:hint="eastAsia"/>
        </w:rPr>
        <w:t xml:space="preserve">作为稳健性参照，但不将其作为主图结论。两个口径的共同作用，是证明传统低弹性供需框架会显著高估现实价格，而不是精确预测冲突窗口逐日油价。</w:t>
      </w:r>
    </w:p>
    <w:p>
      <w:pPr>
        <w:pStyle w:val="BodyText"/>
      </w:pPr>
      <w:r>
        <w:rPr>
          <w:rFonts w:hint="eastAsia"/>
        </w:rPr>
        <w:t xml:space="preserve">这一反事实基准需要被严格限定在</w:t>
      </w:r>
      <w:r>
        <w:rPr>
          <w:rFonts w:hint="eastAsia"/>
        </w:rPr>
        <w:t xml:space="preserve">“静态、局部、常参数”</w:t>
      </w:r>
      <w:r>
        <w:rPr>
          <w:rFonts w:hint="eastAsia"/>
        </w:rPr>
        <w:t xml:space="preserve">的解释范围内。真实原油需求曲线不会在高价区间无限线性外推：当价格接近某一需求窒息价格时，消费、炼厂开工、政策干预和替代运输都会发生非线性调整。因此，278–337</w:t>
      </w:r>
      <w:r>
        <w:t xml:space="preserve"> </w:t>
      </w:r>
      <w:r>
        <w:rPr>
          <w:rFonts w:hint="eastAsia"/>
        </w:rPr>
        <w:t xml:space="preserve">美元/桶以及常弹性口径下更高的数值，只用于度量题面低短期弹性与初期物理缺口可能造成的最大边际压力，并不表示现实市场价格会真实到达该区间。</w:t>
      </w:r>
    </w:p>
    <w:bookmarkEnd w:id="37"/>
    <w:bookmarkStart w:id="41" w:name="基准模型结果"/>
    <w:p>
      <w:pPr>
        <w:pStyle w:val="Heading2"/>
      </w:pPr>
      <w:r>
        <w:rPr>
          <w:rFonts w:hint="eastAsia"/>
        </w:rPr>
        <w:t xml:space="preserve">基准模型结果</w:t>
      </w:r>
    </w:p>
    <w:p>
      <w:pPr>
        <w:pStyle w:val="TableCaption"/>
      </w:pPr>
      <w:r>
        <w:rPr>
          <w:rFonts w:hint="eastAsia"/>
        </w:rPr>
        <w:t xml:space="preserve">传统供需反事实基准模型结果</w:t>
      </w:r>
    </w:p>
    <w:tbl>
      <w:tblPr>
        <w:tblStyle w:val="Table"/>
        <w:tblW w:type="auto" w:w="0"/>
        <w:tblLook w:firstRow="1" w:lastRow="0" w:firstColumn="0" w:lastColumn="0" w:noHBand="0" w:noVBand="0" w:val="0020"/>
        <w:tblCaption w:val="传统供需反事实基准模型结果"/>
      </w:tblPr>
      <w:tblGrid>
        <w:gridCol w:w="1584"/>
        <w:gridCol w:w="1584"/>
        <w:gridCol w:w="1584"/>
        <w:gridCol w:w="1584"/>
        <w:gridCol w:w="1584"/>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线性需求价格</w:t>
            </w:r>
          </w:p>
        </w:tc>
        <w:tc>
          <w:tcPr/>
          <w:p>
            <w:pPr>
              <w:pStyle w:val="Compact"/>
              <w:jc w:val="right"/>
            </w:pPr>
            <w:r>
              <w:rPr>
                <w:rFonts w:hint="eastAsia"/>
              </w:rPr>
              <w:t xml:space="preserve">常弹性上界</w:t>
            </w:r>
          </w:p>
        </w:tc>
        <w:tc>
          <w:tcPr/>
          <w:p>
            <w:pPr>
              <w:pStyle w:val="Compact"/>
              <w:jc w:val="right"/>
            </w:pPr>
            <w:r>
              <w:rPr>
                <w:rFonts w:hint="eastAsia"/>
              </w:rPr>
              <w:t xml:space="preserve">线性倍数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1494.86</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2393.23</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3875.19</w:t>
            </w:r>
          </w:p>
        </w:tc>
        <w:tc>
          <w:tcPr/>
          <w:p>
            <w:pPr>
              <w:pStyle w:val="Compact"/>
              <w:jc w:val="right"/>
            </w:pPr>
            <w:r>
              <w:t xml:space="preserve">2.95</w:t>
            </w:r>
          </w:p>
        </w:tc>
      </w:tr>
    </w:tbl>
    <w:p>
      <w:pPr>
        <w:pStyle w:val="CaptionedFigure"/>
      </w:pPr>
      <w:r>
        <w:drawing>
          <wp:inline>
            <wp:extent cx="4693920" cy="2560320"/>
            <wp:effectExtent b="0" l="0" r="0" t="0"/>
            <wp:docPr descr="" title="" id="39" name="Picture"/>
            <a:graphic>
              <a:graphicData uri="http://schemas.openxmlformats.org/drawingml/2006/picture">
                <pic:pic>
                  <pic:nvPicPr>
                    <pic:cNvPr descr="传统供需基准与真实价格对比.png" id="40" name="Picture"/>
                    <pic:cNvPicPr>
                      <a:picLocks noChangeArrowheads="1" noChangeAspect="1"/>
                    </pic:cNvPicPr>
                  </pic:nvPicPr>
                  <pic:blipFill>
                    <a:blip r:embed="rId38"/>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传统供需基准模型与附件真实价格对比。低弹性静态模型明显高估现实价格，因此后续必须引入</w:t>
      </w:r>
      <w:r>
        <w:t xml:space="preserve"> </w:t>
      </w:r>
      <w:r>
        <w:rPr>
          <w:rFonts w:hint="eastAsia"/>
        </w:rPr>
        <w:t xml:space="preserve">SPR、库存、绕道、需求收缩和市场预期修复等动态缓冲机制。</w:t>
      </w:r>
    </w:p>
    <w:p>
      <w:pPr>
        <w:pStyle w:val="BodyText"/>
      </w:pPr>
      <w:r>
        <w:rPr>
          <w:rFonts w:hint="eastAsia"/>
        </w:rPr>
        <w:t xml:space="preserve">结果显示，线性需求反事实基准给出的</w:t>
      </w:r>
      <w:r>
        <w:t xml:space="preserve"> 278–337 </w:t>
      </w:r>
      <w:r>
        <w:rPr>
          <w:rFonts w:hint="eastAsia"/>
        </w:rPr>
        <w:t xml:space="preserve">美元/桶显著高于附件冲突窗口最高收盘价</w:t>
      </w:r>
      <w:r>
        <w:t xml:space="preserve"> 114.06 </w:t>
      </w:r>
      <w:r>
        <w:rPr>
          <w:rFonts w:hint="eastAsia"/>
        </w:rPr>
        <w:t xml:space="preserve">美元/桶；常弹性机械上界更高，达到</w:t>
      </w:r>
      <w:r>
        <w:t xml:space="preserve"> 1495–3875 </w:t>
      </w:r>
      <w:r>
        <w:rPr>
          <w:rFonts w:hint="eastAsia"/>
        </w:rPr>
        <w:t xml:space="preserve">美元/桶。两个口径的意义不在于给出可交易的真实价格预测，而在于说明：若忽略库存、SPR、绕道运输、需求非线性调整和市场预期修复，静态低弹性供需模型会系统性高估现实价格。后续综合机制递推模型正是在这一边界上引入动态缓冲与价格形成机制。</w:t>
      </w:r>
    </w:p>
    <w:bookmarkEnd w:id="41"/>
    <w:bookmarkEnd w:id="42"/>
    <w:bookmarkStart w:id="49"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模型以赛题给定的供应中断、SPR、商业库存、绕道运输和恐慌情绪为基础，并纳入能够通过消融实验和敏感性分析检验的价格形成因素。其目标是在附件冲突窗口内解释真实价格路径，并为后续</w:t>
      </w:r>
      <w:r>
        <w:t xml:space="preserve"> 60–180 </w:t>
      </w:r>
      <w:r>
        <w:rPr>
          <w:rFonts w:hint="eastAsia"/>
        </w:rPr>
        <w:t xml:space="preserve">天情景外推提供统一机制基础。</w:t>
      </w:r>
    </w:p>
    <w:p>
      <w:pPr>
        <w:pStyle w:val="CaptionedFigure"/>
      </w:pPr>
      <w:r>
        <w:drawing>
          <wp:inline>
            <wp:extent cx="5120640" cy="5212079"/>
            <wp:effectExtent b="0" l="0" r="0" t="0"/>
            <wp:docPr descr="" title="" id="44" name="Picture"/>
            <a:graphic>
              <a:graphicData uri="http://schemas.openxmlformats.org/drawingml/2006/picture">
                <pic:pic>
                  <pic:nvPicPr>
                    <pic:cNvPr descr="综合机制递推模型结构图.png" id="45" name="Picture"/>
                    <pic:cNvPicPr>
                      <a:picLocks noChangeArrowheads="1" noChangeAspect="1"/>
                    </pic:cNvPicPr>
                  </pic:nvPicPr>
                  <pic:blipFill>
                    <a:blip r:embed="rId43"/>
                    <a:stretch>
                      <a:fillRect/>
                    </a:stretch>
                  </pic:blipFill>
                  <pic:spPr bwMode="auto">
                    <a:xfrm>
                      <a:off x="0" y="0"/>
                      <a:ext cx="5120640" cy="5212079"/>
                    </a:xfrm>
                    <a:prstGeom prst="rect">
                      <a:avLst/>
                    </a:prstGeom>
                    <a:noFill/>
                    <a:ln w="9525">
                      <a:noFill/>
                      <a:headEnd/>
                      <a:tailEnd/>
                    </a:ln>
                  </pic:spPr>
                </pic:pic>
              </a:graphicData>
            </a:graphic>
          </wp:inline>
        </w:drawing>
      </w:r>
    </w:p>
    <w:p>
      <w:pPr>
        <w:pStyle w:val="ImageCaption"/>
      </w:pPr>
      <w:r>
        <w:rPr>
          <w:rFonts w:hint="eastAsia"/>
        </w:rPr>
        <w:t xml:space="preserve">综合机制递推模型结构。物理供需层决定剩余缺口，市场价格形成层完成风险再定价，长期情景层刻画条件区间和尾部风险。</w:t>
      </w:r>
    </w:p>
    <w:p>
      <w:pPr>
        <w:pStyle w:val="BodyText"/>
      </w:pPr>
      <w:r>
        <w:rPr>
          <w:rFonts w:hint="eastAsia"/>
          <w:b/>
          <w:bCs/>
        </w:rPr>
        <w:t xml:space="preserve">关键结论</w:t>
      </w:r>
      <w:r>
        <w:rPr>
          <w:rFonts w:hint="eastAsia"/>
        </w:rPr>
        <w:t xml:space="preserve">主模型分为两层：物理供需层负责回答</w:t>
      </w:r>
      <w:r>
        <w:rPr>
          <w:rFonts w:hint="eastAsia"/>
        </w:rPr>
        <w:t xml:space="preserve">“缺口还剩多少”</w:t>
      </w:r>
      <w:r>
        <w:rPr>
          <w:rFonts w:hint="eastAsia"/>
        </w:rPr>
        <w:t xml:space="preserve">，市场价格形成层负责回答</w:t>
      </w:r>
      <w:r>
        <w:rPr>
          <w:rFonts w:hint="eastAsia"/>
        </w:rPr>
        <w:t xml:space="preserve">“市场如何给剩余缺口和制度风险定价”</w:t>
      </w:r>
      <w:r>
        <w:rPr>
          <w:rFonts w:hint="eastAsia"/>
        </w:rPr>
        <w:t xml:space="preserve">。两层分开写，使价格平台能够被分解为物理缓冲、风险溢价和预期修复的共同结果。</w:t>
      </w:r>
    </w:p>
    <w:bookmarkStart w:id="46" w:name="fig:tikz-feedback-loop"/>
    <w:tbl>
      <w:tblPr>
        <w:tblStyle w:val="FigureTable"/>
        <w:tblW w:type="auto" w:w="0"/>
        <w:jc w:val="center"/>
        <w:tblLook w:firstRow="0" w:lastRow="0" w:firstColumn="0" w:lastColumn="0"/>
      </w:tblPr>
      <w:tblGrid/>
    </w:tbl>
    <w:p>
      <w:pPr>
        <w:pStyle w:val="ImageCaption"/>
      </w:pPr>
      <w:r>
        <w:rPr>
          <w:rFonts w:hint="eastAsia"/>
        </w:rPr>
        <w:t xml:space="preserve">短期价格形成反馈回路。红色方向表示冲击和风险溢价推高价格，绿色方向表示政策缓冲、绕道运输、需求收缩和预期修复压低价格。该图强调</w:t>
      </w:r>
      <w:r>
        <w:t xml:space="preserve"> 110–120 </w:t>
      </w:r>
      <w:r>
        <w:rPr>
          <w:rFonts w:hint="eastAsia"/>
        </w:rPr>
        <w:t xml:space="preserve">美元/桶平台是多重反馈共同作用的结果，而不是外生价格上限。</w:t>
      </w:r>
    </w:p>
    <w:bookmarkEnd w:id="46"/>
    <w:bookmarkStart w:id="47"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47"/>
    <w:bookmarkStart w:id="48"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w:r>
        <w:rPr>
          <w:rFonts w:hint="eastAsia"/>
        </w:rPr>
        <w:t xml:space="preserve">为降低方程结构的任意性，本文采用一个极简的异质性交易者线性化框架。参考</w:t>
      </w:r>
      <w:r>
        <w:t xml:space="preserve"> </w:t>
      </w:r>
      <w:r>
        <w:rPr>
          <w:rFonts w:hint="eastAsia"/>
        </w:rPr>
        <w:t xml:space="preserve">Kilian（2009）、Hamilton（2009）以及</w:t>
      </w:r>
      <w:r>
        <w:t xml:space="preserve"> Kilian </w:t>
      </w:r>
      <w:r>
        <w:rPr>
          <w:rFonts w:hint="eastAsia"/>
        </w:rPr>
        <w:t xml:space="preserve">与</w:t>
      </w:r>
      <w:r>
        <w:t xml:space="preserve"> </w:t>
      </w:r>
      <w:r>
        <w:rPr>
          <w:rFonts w:hint="eastAsia"/>
        </w:rPr>
        <w:t xml:space="preserve">Murphy（2014）关于物理供给、预防性需求、库存和投机性需求的分解，假设期货市场的边际定价者由两类主体构成：一类是基于炼厂采购、套期保值和现货短缺进行定价的供需交易者，另一类是基于封锁持续时间、航运保险、政策协调和风险偏好进行定价的风险交易者。令第</w:t>
      </w:r>
      <w:r>
        <w:t xml:space="preserve"> </w:t>
      </w:r>
      <m:oMath>
        <m:r>
          <m:t>t</m:t>
        </m:r>
      </m:oMath>
      <w:r>
        <w:t xml:space="preserve"> </w:t>
      </w:r>
      <w:r>
        <w:rPr>
          <w:rFonts w:hint="eastAsia"/>
        </w:rPr>
        <w:t xml:space="preserve">日相对目标价格偏离满足局部线性近似：</w:t>
      </w:r>
    </w:p>
    <w:p>
      <w:pPr>
        <w:pStyle w:val="BodyText"/>
      </w:pPr>
      <m:oMathPara>
        <m:oMathParaPr>
          <m:jc m:val="center"/>
        </m:oMathParaPr>
        <m:oMath>
          <m:f>
            <m:fPr>
              <m:type m:val="bar"/>
            </m:fPr>
            <m:num>
              <m:sSubSup>
                <m:e>
                  <m:r>
                    <m:t>P</m:t>
                  </m:r>
                </m:e>
                <m:sub>
                  <m:r>
                    <m:t>t</m:t>
                  </m:r>
                </m:sub>
                <m:sup>
                  <m:r>
                    <m:rPr>
                      <m:sty m:val="p"/>
                    </m:rPr>
                    <m:t>*</m:t>
                  </m:r>
                </m:sup>
              </m:sSubSup>
              <m:r>
                <m:rPr>
                  <m:sty m:val="p"/>
                </m:rPr>
                <m:t>−</m:t>
              </m:r>
              <m:sSub>
                <m:e>
                  <m:r>
                    <m:t>P</m:t>
                  </m:r>
                </m:e>
                <m:sub>
                  <m:r>
                    <m:t>0</m:t>
                  </m:r>
                </m:sub>
              </m:sSub>
            </m:num>
            <m:den>
              <m:sSub>
                <m:e>
                  <m:r>
                    <m:t>P</m:t>
                  </m:r>
                </m:e>
                <m:sub>
                  <m:r>
                    <m:t>0</m:t>
                  </m:r>
                </m:sub>
              </m:sSub>
            </m:den>
          </m:f>
          <m:r>
            <m:rPr>
              <m:sty m:val="p"/>
            </m:rPr>
            <m:t>≈</m:t>
          </m:r>
          <m:sSub>
            <m:e>
              <m:r>
                <m:t>a</m:t>
              </m:r>
            </m:e>
            <m:sub>
              <m:r>
                <m:t>G</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a</m:t>
              </m:r>
            </m:e>
            <m:sub>
              <m:r>
                <m:t>B</m:t>
              </m:r>
            </m:sub>
          </m:sSub>
          <m:f>
            <m:fPr>
              <m:type m:val="bar"/>
            </m:fPr>
            <m:num>
              <m:r>
                <m:t>I</m:t>
              </m:r>
            </m:num>
            <m:den>
              <m:sSub>
                <m:e>
                  <m:r>
                    <m:t>D</m:t>
                  </m:r>
                </m:e>
                <m:sub>
                  <m:r>
                    <m:t>0</m:t>
                  </m:r>
                </m:sub>
              </m:sSub>
            </m:den>
          </m:f>
          <m:sSub>
            <m:e>
              <m:r>
                <m:t>Z</m:t>
              </m:r>
            </m:e>
            <m:sub>
              <m:r>
                <m:t>t</m:t>
              </m:r>
            </m:sub>
          </m:sSub>
          <m:r>
            <m:rPr>
              <m:sty m:val="p"/>
            </m:rPr>
            <m:t>+</m:t>
          </m:r>
          <m:sSub>
            <m:e>
              <m:r>
                <m:t>a</m:t>
              </m:r>
            </m:e>
            <m:sub>
              <m:r>
                <m:t>U</m:t>
              </m:r>
            </m:sub>
          </m:sSub>
          <m:sSub>
            <m:e>
              <m:r>
                <m:t>U</m:t>
              </m:r>
            </m:e>
            <m:sub>
              <m:r>
                <m:t>t</m:t>
              </m:r>
            </m:sub>
          </m:sSub>
          <m:r>
            <m:rPr>
              <m:sty m:val="p"/>
            </m:rPr>
            <m:t>+</m:t>
          </m:r>
          <m:sSub>
            <m:e>
              <m:r>
                <m:t>a</m:t>
              </m:r>
            </m:e>
            <m:sub>
              <m:r>
                <m:t>F</m:t>
              </m:r>
            </m:sub>
          </m:sSub>
          <m:sSub>
            <m:e>
              <m:r>
                <m:t>F</m:t>
              </m:r>
            </m:e>
            <m:sub>
              <m:r>
                <m:t>t</m:t>
              </m:r>
            </m:sub>
          </m:sSub>
          <m:r>
            <m:rPr>
              <m:sty m:val="p"/>
            </m:rPr>
            <m:t>−</m:t>
          </m:r>
          <m:sSub>
            <m:e>
              <m:r>
                <m:t>a</m:t>
              </m:r>
            </m:e>
            <m:sub>
              <m:r>
                <m:t>H</m:t>
              </m:r>
            </m:sub>
          </m:sSub>
          <m:f>
            <m:fPr>
              <m:type m:val="bar"/>
            </m:fPr>
            <m:num>
              <m:sSub>
                <m:e>
                  <m:r>
                    <m:t>H</m:t>
                  </m:r>
                </m:e>
                <m:sub>
                  <m:r>
                    <m:t>t</m:t>
                  </m:r>
                </m:sub>
              </m:sSub>
            </m:num>
            <m:den>
              <m:sSub>
                <m:e>
                  <m:r>
                    <m:t>P</m:t>
                  </m:r>
                </m:e>
                <m:sub>
                  <m:r>
                    <m:t>0</m:t>
                  </m:r>
                </m:sub>
              </m:sSub>
            </m:den>
          </m:f>
          <m:r>
            <m:rPr>
              <m:sty m:val="p"/>
            </m:rPr>
            <m:t>−</m:t>
          </m:r>
          <m:sSub>
            <m:e>
              <m:r>
                <m:t>a</m:t>
              </m:r>
            </m:e>
            <m:sub>
              <m:r>
                <m:t>L</m:t>
              </m:r>
            </m:sub>
          </m:sSub>
          <m:f>
            <m:fPr>
              <m:type m:val="bar"/>
            </m:fPr>
            <m:num>
              <m:sSub>
                <m:e>
                  <m:r>
                    <m:t>L</m:t>
                  </m:r>
                </m:e>
                <m:sub>
                  <m:r>
                    <m:t>t</m:t>
                  </m:r>
                </m:sub>
              </m:sSub>
            </m:num>
            <m:den>
              <m:sSub>
                <m:e>
                  <m:r>
                    <m:t>P</m:t>
                  </m:r>
                </m:e>
                <m:sub>
                  <m:r>
                    <m:t>0</m:t>
                  </m:r>
                </m:sub>
              </m:sSub>
            </m:den>
          </m:f>
          <m:r>
            <m:rPr>
              <m:sty m:val="p"/>
            </m:rPr>
            <m:t>.</m:t>
          </m:r>
        </m:oMath>
      </m:oMathPara>
    </w:p>
    <w:p>
      <w:pPr>
        <w:pStyle w:val="FirstParagraph"/>
      </w:pPr>
      <w:r>
        <w:rPr>
          <w:rFonts w:hint="eastAsia"/>
        </w:rPr>
        <w:t xml:space="preserve">其中</w:t>
      </w:r>
      <w:r>
        <w:t xml:space="preserve"> </w:t>
      </w:r>
      <m:oMath>
        <m:sSub>
          <m:e>
            <m:r>
              <m:t>G</m:t>
            </m:r>
          </m:e>
          <m:sub>
            <m:r>
              <m:t>t</m:t>
            </m:r>
          </m:sub>
        </m:sSub>
      </m:oMath>
      <w:r>
        <w:t xml:space="preserve"> </w:t>
      </w:r>
      <w:r>
        <w:rPr>
          <w:rFonts w:hint="eastAsia"/>
        </w:rPr>
        <w:t xml:space="preserve">表示剩余物理缺口，</w:t>
      </w:r>
      <m:oMath>
        <m:sSub>
          <m:e>
            <m:r>
              <m:t>Z</m:t>
            </m:r>
          </m:e>
          <m:sub>
            <m:r>
              <m:t>t</m:t>
            </m:r>
          </m:sub>
        </m:sSub>
      </m:oMath>
      <w:r>
        <w:t xml:space="preserve"> </w:t>
      </w:r>
      <w:r>
        <w:rPr>
          <w:rFonts w:hint="eastAsia"/>
        </w:rPr>
        <w:t xml:space="preserve">表示封锁风险被市场吸收后的有效强度，</w:t>
      </w:r>
      <m:oMath>
        <m:sSub>
          <m:e>
            <m:r>
              <m:t>U</m:t>
            </m:r>
          </m:e>
          <m:sub>
            <m:r>
              <m:t>t</m:t>
            </m:r>
          </m:sub>
        </m:sSub>
      </m:oMath>
      <w:r>
        <w:t xml:space="preserve"> </w:t>
      </w:r>
      <w:r>
        <w:rPr>
          <w:rFonts w:hint="eastAsia"/>
        </w:rPr>
        <w:t xml:space="preserve">表示持续封锁带来的制度不确定性，</w:t>
      </w:r>
      <m:oMath>
        <m:sSub>
          <m:e>
            <m:r>
              <m:t>F</m:t>
            </m:r>
          </m:e>
          <m:sub>
            <m:r>
              <m:t>t</m:t>
            </m:r>
          </m:sub>
        </m:sSub>
      </m:oMath>
      <w:r>
        <w:t xml:space="preserve"> </w:t>
      </w:r>
      <w:r>
        <w:rPr>
          <w:rFonts w:hint="eastAsia"/>
        </w:rPr>
        <w:t xml:space="preserve">表示恐慌情绪强度，</w:t>
      </w:r>
      <m:oMath>
        <m:sSub>
          <m:e>
            <m:r>
              <m:t>H</m:t>
            </m:r>
          </m:e>
          <m:sub>
            <m:r>
              <m:t>t</m:t>
            </m:r>
          </m:sub>
        </m:sSub>
      </m:oMath>
      <w:r>
        <w:t xml:space="preserve"> </w:t>
      </w:r>
      <w:r>
        <w:rPr>
          <w:rFonts w:hint="eastAsia"/>
        </w:rPr>
        <w:t xml:space="preserve">与</w:t>
      </w:r>
      <w:r>
        <w:t xml:space="preserve"> </w:t>
      </w:r>
      <m:oMath>
        <m:sSub>
          <m:e>
            <m:r>
              <m:t>L</m:t>
            </m:r>
          </m:e>
          <m:sub>
            <m:r>
              <m:t>t</m:t>
            </m:r>
          </m:sub>
        </m:sSub>
      </m:oMath>
      <w:r>
        <w:t xml:space="preserve"> </w:t>
      </w:r>
      <w:r>
        <w:rPr>
          <w:rFonts w:hint="eastAsia"/>
        </w:rPr>
        <w:t xml:space="preserve">分别表示缓冲确认和预期修复带来的折价。这个表达式可理解为对两类交易者超额需求函数在战前均衡点附近做一阶展开：物理缺口和风险预防性需求推高价格，政策可信度和运输修复预期降低风险溢价。因此，后续目标价格的线性加总并非任意拼接，而是局部均衡价格的一阶近似。</w:t>
      </w:r>
    </w:p>
    <w:p>
      <w:pPr>
        <w:pStyle w:val="BodyText"/>
      </w:pPr>
      <w:r>
        <w:rPr>
          <w:rFonts w:hint="eastAsia"/>
        </w:rPr>
        <w:t xml:space="preserve">具体时间函数来自三个建模约束。第一，剩余物理缺口和风险溢价分开建模，以对应油价冲击中文献强调的供给、预防性需求和库存渠道。第二，题面给出恐慌情绪放大持续</w:t>
      </w:r>
      <w:r>
        <w:t xml:space="preserve"> 1–2 </w:t>
      </w:r>
      <w:r>
        <w:rPr>
          <w:rFonts w:hint="eastAsia"/>
        </w:rPr>
        <w:t xml:space="preserve">周，故风险溢价的建立项采用</w:t>
      </w:r>
      <w:r>
        <w:t xml:space="preserve"> </w:t>
      </w:r>
      <m:oMath>
        <m:r>
          <m:t>1</m:t>
        </m:r>
        <m:r>
          <m:rPr>
            <m:sty m:val="p"/>
          </m:rPr>
          <m:t>−</m:t>
        </m:r>
        <m:sSup>
          <m:e>
            <m:r>
              <m:t>e</m:t>
            </m:r>
          </m:e>
          <m:sup>
            <m:r>
              <m:rPr>
                <m:sty m:val="p"/>
              </m:rPr>
              <m:t>−</m:t>
            </m:r>
            <m:r>
              <m:t>t</m:t>
            </m:r>
            <m:r>
              <m:rPr>
                <m:sty m:val="p"/>
              </m:rPr>
              <m:t>/</m:t>
            </m:r>
            <m:r>
              <m:t>7</m:t>
            </m:r>
          </m:sup>
        </m:sSup>
      </m:oMath>
      <w:r>
        <w:t xml:space="preserve"> </w:t>
      </w:r>
      <w:r>
        <w:rPr>
          <w:rFonts w:hint="eastAsia"/>
        </w:rPr>
        <w:t xml:space="preserve">表示约一周尺度的信息吸收，指数衰减项表示市场在观察到</w:t>
      </w:r>
      <w:r>
        <w:t xml:space="preserve"> </w:t>
      </w:r>
      <w:r>
        <w:rPr>
          <w:rFonts w:hint="eastAsia"/>
        </w:rPr>
        <w:t xml:space="preserve">SPR、库存和绕道修复后逐步消化制度风险。第三，政策缓冲并非瞬时被市场完全相信，缓冲确认折价和预期修复折价分别刻画政策可信度形成与运输修复预期对目标价格的向下修正。由此得到的指数项对应</w:t>
      </w:r>
      <w:r>
        <w:rPr>
          <w:rFonts w:hint="eastAsia"/>
        </w:rPr>
        <w:t xml:space="preserve">“冲击建立–风险消化–缓冲确认”</w:t>
      </w:r>
      <w:r>
        <w:rPr>
          <w:rFonts w:hint="eastAsia"/>
        </w:rPr>
        <w:t xml:space="preserve">三类时间过程。</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sSub>
                    <m:e>
                      <m:r>
                        <m:t>κ</m:t>
                      </m:r>
                    </m:e>
                    <m:sub>
                      <m:r>
                        <m:t>B</m:t>
                      </m:r>
                    </m:sub>
                  </m:sSub>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为物理缺口向期货目标价格传导的价格形成系数，对应上式中的</w:t>
      </w:r>
      <w:r>
        <w:t xml:space="preserve"> </w:t>
      </w:r>
      <m:oMath>
        <m:sSub>
          <m:e>
            <m:r>
              <m:t>a</m:t>
            </m:r>
          </m:e>
          <m:sub>
            <m:r>
              <m:t>G</m:t>
            </m:r>
          </m:sub>
        </m:sSub>
      </m:oMath>
      <w:r>
        <w:rPr>
          <w:rFonts w:hint="eastAsia"/>
        </w:rPr>
        <w:t xml:space="preserve">，不替代题面需求弹性；</w:t>
      </w:r>
      <m:oMath>
        <m:sSub>
          <m:e>
            <m:r>
              <m:t>κ</m:t>
            </m:r>
          </m:e>
          <m:sub>
            <m:r>
              <m:t>B</m:t>
            </m:r>
          </m:sub>
        </m:sSub>
        <m:r>
          <m:rPr>
            <m:sty m:val="p"/>
          </m:rPr>
          <m:t>=</m:t>
        </m:r>
        <m:r>
          <m:t>0.004</m:t>
        </m:r>
      </m:oMath>
      <w:r>
        <w:t xml:space="preserve"> </w:t>
      </w:r>
      <w:r>
        <w:rPr>
          <w:rFonts w:hint="eastAsia"/>
        </w:rPr>
        <w:t xml:space="preserve">为封锁风险溢价的日度衰减速度，表示市场逐步吸收封锁制度风险的速度；</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r>
            <m:t> </m:t>
          </m:r>
          <m:sSub>
            <m:e>
              <m:r>
                <m:t>γ</m:t>
              </m:r>
            </m:e>
            <m:sub>
              <m:r>
                <m:t>F</m:t>
              </m:r>
            </m:sub>
          </m:sSub>
          <m:r>
            <m:rPr>
              <m:sty m:val="p"/>
            </m:rPr>
            <m:t>=</m:t>
          </m:r>
          <m:r>
            <m:t>2.5</m:t>
          </m:r>
          <m:r>
            <m:rPr>
              <m:sty m:val="p"/>
            </m:rPr>
            <m:t>.</m:t>
          </m:r>
        </m:oMath>
      </m:oMathPara>
    </w:p>
    <w:p>
      <w:pPr>
        <w:pStyle w:val="FirstParagraph"/>
      </w:pPr>
      <w:r>
        <w:rPr>
          <w:rFonts w:hint="eastAsia"/>
        </w:rPr>
        <w:t xml:space="preserve">该结构保留了题面中的离散递推思想，同时允许期货市场对风险和预期做再定价。恐慌动量项</w:t>
      </w:r>
      <w:r>
        <w:t xml:space="preserve"> </w:t>
      </w:r>
      <m:oMath>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oMath>
      <w:r>
        <w:t xml:space="preserve"> </w:t>
      </w:r>
      <w:r>
        <w:rPr>
          <w:rFonts w:hint="eastAsia"/>
        </w:rPr>
        <w:t xml:space="preserve">只刻画恐慌强度快速变化时的一次性日度调整，不替代恐慌溢价本身；若恐慌强度稳定，则该项为零。风险溢价、缓冲确认折价和预期修复折价均需要同时满足经济含义清晰、方向可解释、消融后误差明显恶化以及扰动后结论保持稳定四个条件，才保留在主模型中。</w:t>
      </w:r>
    </w:p>
    <w:p>
      <w:pPr>
        <w:pStyle w:val="BodyText"/>
      </w:pPr>
      <w:r>
        <w:rPr>
          <w:rFonts w:hint="eastAsia"/>
        </w:rPr>
        <w:t xml:space="preserve">从微观直觉看，式中的物理缺口项对应炼厂和贸易商面对短缺时愿意支付的边际溢价；风险项对应持有库存、安排绕道运输和承担航运保险风险所要求的补偿；折价项对应政策缓冲被观察到后，市场降低预防性持有需求和投机性风险溢价。本文没有直接建立完整的微观效用最大化模型，而是采用与能源冲击文献一致的结构化简形式，并通过基准对比、机制消融和扰动检验约束其自由度。</w:t>
      </w:r>
    </w:p>
    <w:p>
      <w:pPr>
        <w:pStyle w:val="BodyText"/>
      </w:pPr>
      <w:r>
        <w:rPr>
          <w:rFonts w:hint="eastAsia"/>
        </w:rPr>
        <w:t xml:space="preserve">算法</w:t>
      </w:r>
      <w:r>
        <w:t xml:space="preserve"> </w:t>
      </w:r>
      <w:r>
        <w:rPr>
          <w:rFonts w:hint="eastAsia"/>
        </w:rPr>
        <w:t xml:space="preserve">1综合机制递推模型的日度更新流程</w:t>
      </w:r>
      <w:r>
        <w:t xml:space="preserve"> </w:t>
      </w:r>
      <w:r>
        <w:rPr>
          <w:rFonts w:hint="eastAsia"/>
          <w:b/>
          <w:bCs/>
        </w:rPr>
        <w:t xml:space="preserve">输入：</w:t>
      </w:r>
      <w:r>
        <w:rPr>
          <w:rFonts w:hint="eastAsia"/>
        </w:rPr>
        <w:t xml:space="preserve">初始价格</w:t>
      </w:r>
      <w:r>
        <w:t xml:space="preserve"> </w:t>
      </w:r>
      <m:oMath>
        <m:sSub>
          <m:e>
            <m:r>
              <m:t>P</m:t>
            </m:r>
          </m:e>
          <m:sub>
            <m:r>
              <m:t>0</m:t>
            </m:r>
          </m:sub>
        </m:sSub>
      </m:oMath>
      <w:r>
        <w:rPr>
          <w:rFonts w:hint="eastAsia"/>
        </w:rPr>
        <w:t xml:space="preserve">，基准供需</w:t>
      </w:r>
      <w:r>
        <w:t xml:space="preserve"> </w:t>
      </w:r>
      <m:oMath>
        <m:sSub>
          <m:e>
            <m:r>
              <m:t>D</m:t>
            </m:r>
          </m:e>
          <m:sub>
            <m:r>
              <m:t>0</m:t>
            </m:r>
          </m:sub>
        </m:sSub>
        <m:r>
          <m:rPr>
            <m:sty m:val="p"/>
          </m:rPr>
          <m:t>,</m:t>
        </m:r>
        <m:sSub>
          <m:e>
            <m:r>
              <m:t>S</m:t>
            </m:r>
          </m:e>
          <m:sub>
            <m:r>
              <m:t>0</m:t>
            </m:r>
          </m:sub>
        </m:sSub>
      </m:oMath>
      <w:r>
        <w:rPr>
          <w:rFonts w:hint="eastAsia"/>
        </w:rPr>
        <w:t xml:space="preserve">，供应中断</w:t>
      </w:r>
      <w:r>
        <w:t xml:space="preserve"> </w:t>
      </w:r>
      <m:oMath>
        <m:r>
          <m:t>I</m:t>
        </m:r>
      </m:oMath>
      <w:r>
        <w:rPr>
          <w:rFonts w:hint="eastAsia"/>
        </w:rPr>
        <w:t xml:space="preserve">，SPR、库存、绕道、恐慌与风险参数。</w:t>
      </w:r>
      <w:r>
        <w:br/>
      </w:r>
      <w:r>
        <w:rPr>
          <w:rFonts w:hint="eastAsia"/>
          <w:b/>
          <w:bCs/>
        </w:rPr>
        <w:t xml:space="preserve">输出：</w:t>
      </w:r>
      <w:r>
        <w:rPr>
          <w:rFonts w:hint="eastAsia"/>
        </w:rPr>
        <w:t xml:space="preserve">冲突窗口内的日度模拟价格</w:t>
      </w:r>
      <w:r>
        <w:t xml:space="preserve"> </w:t>
      </w:r>
      <m:oMath>
        <m:sSub>
          <m:e>
            <m:acc>
              <m:accPr>
                <m:chr m:val="̂"/>
              </m:accPr>
              <m:e>
                <m:r>
                  <m:t>P</m:t>
                </m:r>
              </m:e>
            </m:acc>
          </m:e>
          <m:sub>
            <m:r>
              <m:t>t</m:t>
            </m:r>
          </m:sub>
        </m:sSub>
      </m:oMath>
      <w:r>
        <w:t xml:space="preserve"> </w:t>
      </w:r>
      <w:r>
        <w:rPr>
          <w:rFonts w:hint="eastAsia"/>
        </w:rPr>
        <w:t xml:space="preserve">及机制贡献序列。</w:t>
      </w:r>
    </w:p>
    <w:p>
      <w:pPr>
        <w:numPr>
          <w:ilvl w:val="0"/>
          <w:numId w:val="1004"/>
        </w:numPr>
      </w:pPr>
      <w:r>
        <w:rPr>
          <w:rFonts w:hint="eastAsia"/>
        </w:rPr>
        <w:t xml:space="preserve">初始化</w:t>
      </w:r>
      <w:r>
        <w:t xml:space="preserve"> </w:t>
      </w:r>
      <m:oMath>
        <m:sSub>
          <m:e>
            <m:acc>
              <m:accPr>
                <m:chr m:val="̂"/>
              </m:accPr>
              <m:e>
                <m:r>
                  <m:t>P</m:t>
                </m:r>
              </m:e>
            </m:acc>
          </m:e>
          <m:sub>
            <m:r>
              <m:t>0</m:t>
            </m:r>
          </m:sub>
        </m:sSub>
        <m:r>
          <m:rPr>
            <m:sty m:val="p"/>
          </m:rPr>
          <m:t>=</m:t>
        </m:r>
        <m:sSub>
          <m:e>
            <m:r>
              <m:t>P</m:t>
            </m:r>
          </m:e>
          <m:sub>
            <m:r>
              <m:t>0</m:t>
            </m:r>
          </m:sub>
        </m:sSub>
      </m:oMath>
      <w:r>
        <w:rPr>
          <w:rFonts w:hint="eastAsia"/>
        </w:rPr>
        <w:t xml:space="preserve">，商业库存</w:t>
      </w:r>
      <w:r>
        <w:t xml:space="preserve"> </w:t>
      </w:r>
      <m:oMath>
        <m:sSub>
          <m:e>
            <m:r>
              <m:t>K</m:t>
            </m:r>
          </m:e>
          <m:sub>
            <m:r>
              <m:t>0</m:t>
            </m:r>
          </m:sub>
        </m:sSub>
      </m:oMath>
      <w:r>
        <w:rPr>
          <w:rFonts w:hint="eastAsia"/>
        </w:rPr>
        <w:t xml:space="preserve">，恐慌强度</w:t>
      </w:r>
      <w:r>
        <w:t xml:space="preserve"> </w:t>
      </w:r>
      <m:oMath>
        <m:sSub>
          <m:e>
            <m:r>
              <m:t>F</m:t>
            </m:r>
          </m:e>
          <m:sub>
            <m:r>
              <m:t>0</m:t>
            </m:r>
          </m:sub>
        </m:sSub>
      </m:oMath>
      <w:r>
        <w:t xml:space="preserve">。</w:t>
      </w:r>
    </w:p>
    <w:p>
      <w:pPr>
        <w:numPr>
          <w:ilvl w:val="0"/>
          <w:numId w:val="1004"/>
        </w:numPr>
      </w:pPr>
      <w:r>
        <w:rPr>
          <w:rFonts w:hint="eastAsia"/>
        </w:rPr>
        <w:t xml:space="preserve">对</w:t>
      </w:r>
      <w:r>
        <w:t xml:space="preserve"> </w:t>
      </w:r>
      <m:oMath>
        <m:r>
          <m:t>t</m:t>
        </m:r>
        <m:r>
          <m:rPr>
            <m:sty m:val="p"/>
          </m:rPr>
          <m:t>=</m:t>
        </m:r>
        <m:r>
          <m:t>1</m:t>
        </m:r>
        <m:r>
          <m:rPr>
            <m:sty m:val="p"/>
          </m:rPr>
          <m:t>,</m:t>
        </m:r>
        <m:r>
          <m:rPr>
            <m:sty m:val="p"/>
          </m:rPr>
          <m:t>…</m:t>
        </m:r>
        <m:r>
          <m:rPr>
            <m:sty m:val="p"/>
          </m:rPr>
          <m:t>,</m:t>
        </m:r>
        <m:r>
          <m:t>T</m:t>
        </m:r>
      </m:oMath>
      <w:r>
        <w:t xml:space="preserve"> </w:t>
      </w:r>
      <w:r>
        <w:rPr>
          <w:rFonts w:hint="eastAsia"/>
        </w:rPr>
        <w:t xml:space="preserve">逐日递推：</w:t>
      </w:r>
    </w:p>
    <w:p>
      <w:pPr>
        <w:numPr>
          <w:ilvl w:val="0"/>
          <w:numId w:val="1004"/>
        </w:numPr>
      </w:pPr>
      <w:r>
        <w:rPr>
          <w:rFonts w:hint="eastAsia"/>
        </w:rPr>
        <w:t xml:space="preserve">根据上一日模拟价格和短期弹性计算有效需求</w:t>
      </w:r>
      <w:r>
        <w:t xml:space="preserve"> </w:t>
      </w:r>
      <m:oMath>
        <m:sSub>
          <m:e>
            <m:r>
              <m:t>D</m:t>
            </m:r>
          </m:e>
          <m:sub>
            <m:r>
              <m:t>t</m:t>
            </m:r>
          </m:sub>
        </m:sSub>
      </m:oMath>
      <w:r>
        <w:t xml:space="preserve">。</w:t>
      </w:r>
    </w:p>
    <w:p>
      <w:pPr>
        <w:numPr>
          <w:ilvl w:val="0"/>
          <w:numId w:val="1004"/>
        </w:numPr>
      </w:pPr>
      <w:r>
        <w:rPr>
          <w:rFonts w:hint="eastAsia"/>
        </w:rPr>
        <w:t xml:space="preserve">计算不含库存的有效供给</w:t>
      </w:r>
      <w:r>
        <w:t xml:space="preserve"> </w:t>
      </w: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oMath>
      <w:r>
        <w:t xml:space="preserve">。</w:t>
      </w:r>
    </w:p>
    <w:p>
      <w:pPr>
        <w:numPr>
          <w:ilvl w:val="0"/>
          <w:numId w:val="1004"/>
        </w:numPr>
      </w:pPr>
      <w:r>
        <w:rPr>
          <w:rFonts w:hint="eastAsia"/>
        </w:rPr>
        <w:t xml:space="preserve">在日释放上限和剩余库存约束下计算商业库存缓冲</w:t>
      </w:r>
      <w:r>
        <w:t xml:space="preserve"> </w:t>
      </w:r>
      <m:oMath>
        <m:sSub>
          <m:e>
            <m:r>
              <m:t>B</m:t>
            </m:r>
          </m:e>
          <m:sub>
            <m:r>
              <m:t>t</m:t>
            </m:r>
          </m:sub>
        </m:sSub>
      </m:oMath>
      <w:r>
        <w:t xml:space="preserve">。</w:t>
      </w:r>
    </w:p>
    <w:p>
      <w:pPr>
        <w:numPr>
          <w:ilvl w:val="0"/>
          <w:numId w:val="1004"/>
        </w:numPr>
      </w:pPr>
      <w:r>
        <w:rPr>
          <w:rFonts w:hint="eastAsia"/>
        </w:rPr>
        <w:t xml:space="preserve">得到剩余缺口</w:t>
      </w:r>
      <w:r>
        <w:t xml:space="preserve"> </w:t>
      </w: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oMath>
      <w:r>
        <w:t xml:space="preserve">。</w:t>
      </w:r>
    </w:p>
    <w:p>
      <w:pPr>
        <w:numPr>
          <w:ilvl w:val="0"/>
          <w:numId w:val="1004"/>
        </w:numPr>
      </w:pPr>
      <w:r>
        <w:rPr>
          <w:rFonts w:hint="eastAsia"/>
        </w:rPr>
        <w:t xml:space="preserve">由</w:t>
      </w:r>
      <w:r>
        <w:t xml:space="preserve"> </w:t>
      </w:r>
      <m:oMath>
        <m:sSub>
          <m:e>
            <m:r>
              <m:t>G</m:t>
            </m:r>
          </m:e>
          <m:sub>
            <m:r>
              <m:t>t</m:t>
            </m:r>
          </m:sub>
        </m:sSub>
      </m:oMath>
      <w:r>
        <w:rPr>
          <w:rFonts w:hint="eastAsia"/>
        </w:rPr>
        <w:t xml:space="preserve">、风险溢价、制度不确定性、恐慌强度、缓冲确认和预期修复计算目标价格</w:t>
      </w:r>
      <w:r>
        <w:t xml:space="preserve"> </w:t>
      </w:r>
      <m:oMath>
        <m:sSubSup>
          <m:e>
            <m:r>
              <m:t>P</m:t>
            </m:r>
          </m:e>
          <m:sub>
            <m:r>
              <m:t>t</m:t>
            </m:r>
          </m:sub>
          <m:sup>
            <m:r>
              <m:rPr>
                <m:sty m:val="p"/>
              </m:rPr>
              <m:t>*</m:t>
            </m:r>
          </m:sup>
        </m:sSubSup>
      </m:oMath>
      <w:r>
        <w:t xml:space="preserve">。</w:t>
      </w:r>
    </w:p>
    <w:p>
      <w:pPr>
        <w:numPr>
          <w:ilvl w:val="0"/>
          <w:numId w:val="1004"/>
        </w:numPr>
      </w:pPr>
      <w:r>
        <w:rPr>
          <w:rFonts w:hint="eastAsia"/>
        </w:rPr>
        <w:t xml:space="preserve">递推更新</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numPr>
          <w:ilvl w:val="0"/>
          <w:numId w:val="1004"/>
        </w:numPr>
      </w:pPr>
      <w:r>
        <w:rPr>
          <w:rFonts w:hint="eastAsia"/>
        </w:rPr>
        <w:t xml:space="preserve">记录物理缺口、风险溢价、政策缓冲和预期折价的边际贡献。</w:t>
      </w:r>
    </w:p>
    <w:bookmarkEnd w:id="48"/>
    <w:bookmarkEnd w:id="49"/>
    <w:bookmarkStart w:id="113" w:name="参数校准与模型检验"/>
    <w:p>
      <w:pPr>
        <w:pStyle w:val="Heading1"/>
      </w:pPr>
      <w:r>
        <w:rPr>
          <w:rFonts w:hint="eastAsia"/>
        </w:rPr>
        <w:t xml:space="preserve">参数校准与模型检验</w:t>
      </w:r>
    </w:p>
    <w:bookmarkStart w:id="63" w:name="模型校准与拟合表现"/>
    <w:p>
      <w:pPr>
        <w:pStyle w:val="Heading2"/>
      </w:pPr>
      <w:r>
        <w:rPr>
          <w:rFonts w:hint="eastAsia"/>
        </w:rPr>
        <w:t xml:space="preserve">模型校准与拟合表现</w:t>
      </w:r>
    </w:p>
    <w:bookmarkStart w:id="54" w:name="多目标校准"/>
    <w:p>
      <w:pPr>
        <w:pStyle w:val="Heading3"/>
      </w:pPr>
      <w:r>
        <w:rPr>
          <w:rFonts w:hint="eastAsia"/>
        </w:rPr>
        <w:t xml:space="preserve">多目标校准</w:t>
      </w:r>
    </w:p>
    <w:p>
      <w:pPr>
        <w:pStyle w:val="FirstParagraph"/>
      </w:pPr>
      <w:r>
        <w:rPr>
          <w:rFonts w:hint="eastAsia"/>
        </w:rPr>
        <w:t xml:space="preserve">本文采用多目标校准函数，同时约束总体</w:t>
      </w:r>
      <w:r>
        <w:t xml:space="preserve"> </w:t>
      </w:r>
      <w:r>
        <w:rPr>
          <w:rFonts w:hint="eastAsia"/>
        </w:rPr>
        <w:t xml:space="preserve">RMSE、峰值、末日价格和局部阶段解释能力：</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bookmarkStart w:id="53" w:name="fig:candidate-tradeoff-bubble"/>
    <w:p>
      <w:pPr>
        <w:pStyle w:val="CaptionedFigure"/>
      </w:pPr>
      <w:r>
        <w:drawing>
          <wp:inline>
            <wp:extent cx="4587240" cy="3077972"/>
            <wp:effectExtent b="0" l="0" r="0" t="0"/>
            <wp:docPr descr="" title="" id="51" name="Picture"/>
            <a:graphic>
              <a:graphicData uri="http://schemas.openxmlformats.org/drawingml/2006/picture">
                <pic:pic>
                  <pic:nvPicPr>
                    <pic:cNvPr descr="候选模型权衡气泡图.png" id="52" name="Picture"/>
                    <pic:cNvPicPr>
                      <a:picLocks noChangeArrowheads="1" noChangeAspect="1"/>
                    </pic:cNvPicPr>
                  </pic:nvPicPr>
                  <pic:blipFill>
                    <a:blip r:embed="rId50"/>
                    <a:stretch>
                      <a:fillRect/>
                    </a:stretch>
                  </pic:blipFill>
                  <pic:spPr bwMode="auto">
                    <a:xfrm>
                      <a:off x="0" y="0"/>
                      <a:ext cx="4587240" cy="3077972"/>
                    </a:xfrm>
                    <a:prstGeom prst="rect">
                      <a:avLst/>
                    </a:prstGeom>
                    <a:noFill/>
                    <a:ln w="9525">
                      <a:noFill/>
                      <a:headEnd/>
                      <a:tailEnd/>
                    </a:ln>
                  </pic:spPr>
                </pic:pic>
              </a:graphicData>
            </a:graphic>
          </wp:inline>
        </w:drawing>
      </w:r>
    </w:p>
    <w:p>
      <w:pPr>
        <w:pStyle w:val="ImageCaption"/>
      </w:pPr>
      <w:r>
        <w:rPr>
          <w:rFonts w:hint="eastAsia"/>
        </w:rPr>
        <w:t xml:space="preserve">短期候选模型的精度与平台解释权衡。横轴为整体</w:t>
      </w:r>
      <w:r>
        <w:t xml:space="preserve"> </w:t>
      </w:r>
      <w:r>
        <w:rPr>
          <w:rFonts w:hint="eastAsia"/>
        </w:rPr>
        <w:t xml:space="preserve">RMSE，纵轴为高价平台</w:t>
      </w:r>
      <w:r>
        <w:t xml:space="preserve"> </w:t>
      </w:r>
      <w:r>
        <w:rPr>
          <w:rFonts w:hint="eastAsia"/>
        </w:rPr>
        <w:t xml:space="preserve">RMSE，气泡大小表示低价回落段误差；理想候选位于左下角且气泡较小。该图说明本文选择的综合最优模型不是单纯追求某一项误差最低，而是在整体拟合、高价平台解释和低价回落刻画之间取得平衡。</w:t>
      </w:r>
    </w:p>
    <w:bookmarkEnd w:id="53"/>
    <w:p>
      <w:pPr>
        <w:pStyle w:val="BodyText"/>
      </w:pPr>
      <w:r>
        <w:t xml:space="preserve">l S[table-format=4.3] l S[table-format=3.3]</w:t>
      </w:r>
      <w:r>
        <w:t xml:space="preserve"> </w:t>
      </w:r>
      <w:r>
        <w:rPr>
          <w:rFonts w:hint="eastAsia"/>
        </w:rPr>
        <w:t xml:space="preserve">参数</w:t>
      </w:r>
      <w:r>
        <w:t xml:space="preserve"> &amp;</w:t>
      </w:r>
      <w:r>
        <w:t xml:space="preserve"> </w:t>
      </w:r>
      <w:r>
        <w:rPr>
          <w:rFonts w:hint="eastAsia"/>
        </w:rPr>
        <w:t xml:space="preserve">数值</w:t>
      </w:r>
      <w:r>
        <w:t xml:space="preserve"> </w:t>
      </w:r>
      <w:r>
        <w:t xml:space="preserve">&amp; </w:t>
      </w:r>
      <w:r>
        <w:rPr>
          <w:rFonts w:hint="eastAsia"/>
        </w:rPr>
        <w:t xml:space="preserve">参数</w:t>
      </w:r>
      <w:r>
        <w:t xml:space="preserve"> &amp;</w:t>
      </w:r>
      <w:r>
        <w:t xml:space="preserve"> </w:t>
      </w:r>
      <w:r>
        <w:rPr>
          <w:rFonts w:hint="eastAsia"/>
        </w:rPr>
        <w:t xml:space="preserve">数值</w:t>
      </w:r>
      <w:r>
        <w:br/>
      </w:r>
      <w:r>
        <w:rPr>
          <w:rFonts w:hint="eastAsia"/>
        </w:rPr>
        <w:t xml:space="preserve">供应中断量</w:t>
      </w:r>
      <w:r>
        <w:t xml:space="preserve"> &amp; 1493 &amp; SPR </w:t>
      </w:r>
      <w:r>
        <w:rPr>
          <w:rFonts w:hint="eastAsia"/>
        </w:rPr>
        <w:t xml:space="preserve">释放上限</w:t>
      </w:r>
      <w:r>
        <w:t xml:space="preserve"> &amp; 670</w:t>
      </w:r>
      <w:r>
        <w:br/>
      </w:r>
      <w:r>
        <w:t xml:space="preserve">SPR </w:t>
      </w:r>
      <w:r>
        <w:rPr>
          <w:rFonts w:hint="eastAsia"/>
        </w:rPr>
        <w:t xml:space="preserve">启动延迟</w:t>
      </w:r>
      <w:r>
        <w:t xml:space="preserve"> &amp; 3 &amp; </w:t>
      </w:r>
      <w:r>
        <w:rPr>
          <w:rFonts w:hint="eastAsia"/>
        </w:rPr>
        <w:t xml:space="preserve">绕道启动日</w:t>
      </w:r>
      <w:r>
        <w:t xml:space="preserve"> &amp; 8</w:t>
      </w:r>
      <w:r>
        <w:br/>
      </w:r>
      <w:r>
        <w:rPr>
          <w:rFonts w:hint="eastAsia"/>
        </w:rPr>
        <w:t xml:space="preserve">绕道能力上限</w:t>
      </w:r>
      <w:r>
        <w:t xml:space="preserve"> &amp; 237 &amp; </w:t>
      </w:r>
      <w:r>
        <w:rPr>
          <w:rFonts w:hint="eastAsia"/>
        </w:rPr>
        <w:t xml:space="preserve">长期需求弹性</w:t>
      </w:r>
      <w:r>
        <w:t xml:space="preserve"> &amp; -0.25</w:t>
      </w:r>
      <w:r>
        <w:br/>
      </w:r>
      <w:r>
        <w:rPr>
          <w:rFonts w:hint="eastAsia"/>
        </w:rPr>
        <w:t xml:space="preserve">恐慌初始强度</w:t>
      </w:r>
      <w:r>
        <w:t xml:space="preserve"> &amp; 0.12 &amp; </w:t>
      </w:r>
      <w:r>
        <w:rPr>
          <w:rFonts w:hint="eastAsia"/>
        </w:rPr>
        <w:t xml:space="preserve">恐慌衰减速度</w:t>
      </w:r>
      <w:r>
        <w:t xml:space="preserve"> &amp; 0.11</w:t>
      </w:r>
      <w:r>
        <w:br/>
      </w:r>
      <w:r>
        <w:rPr>
          <w:rFonts w:hint="eastAsia"/>
        </w:rPr>
        <w:t xml:space="preserve">库存日缓冲上限</w:t>
      </w:r>
      <w:r>
        <w:t xml:space="preserve"> &amp; 250 &amp; </w:t>
      </w:r>
      <w:r>
        <w:rPr>
          <w:rFonts w:hint="eastAsia"/>
        </w:rPr>
        <w:t xml:space="preserve">价格传导系数</w:t>
      </w:r>
      <w:r>
        <w:t xml:space="preserve"> </w:t>
      </w:r>
      <m:oMath>
        <m:r>
          <m:t>ϕ</m:t>
        </m:r>
      </m:oMath>
      <w:r>
        <w:t xml:space="preserve"> </w:t>
      </w:r>
      <w:r>
        <w:t xml:space="preserve">&amp; 0.028</w:t>
      </w:r>
      <w:r>
        <w:br/>
      </w:r>
      <w:r>
        <w:rPr>
          <w:rFonts w:hint="eastAsia"/>
        </w:rPr>
        <w:t xml:space="preserve">调整速度</w:t>
      </w:r>
      <w:r>
        <w:t xml:space="preserve"> </w:t>
      </w:r>
      <m:oMath>
        <m:r>
          <m:t>v</m:t>
        </m:r>
      </m:oMath>
      <w:r>
        <w:t xml:space="preserve"> </w:t>
      </w:r>
      <w:r>
        <w:t xml:space="preserve">&amp; 0.344 &amp; </w:t>
      </w:r>
      <w:r>
        <w:rPr>
          <w:rFonts w:hint="eastAsia"/>
        </w:rPr>
        <w:t xml:space="preserve">风险权重</w:t>
      </w:r>
      <w:r>
        <w:t xml:space="preserve"> </w:t>
      </w:r>
      <m:oMath>
        <m:r>
          <m:t>β</m:t>
        </m:r>
      </m:oMath>
      <w:r>
        <w:t xml:space="preserve"> </w:t>
      </w:r>
      <w:r>
        <w:t xml:space="preserve">&amp; 2.462</w:t>
      </w:r>
      <w:r>
        <w:br/>
      </w:r>
      <w:r>
        <w:rPr>
          <w:rFonts w:hint="eastAsia"/>
        </w:rPr>
        <w:t xml:space="preserve">不确定性/制度风险强度</w:t>
      </w:r>
      <w:r>
        <w:t xml:space="preserve"> &amp; 0.247 &amp; </w:t>
      </w:r>
      <w:r>
        <w:rPr>
          <w:rFonts w:hint="eastAsia"/>
        </w:rPr>
        <w:t xml:space="preserve">库存响应系数</w:t>
      </w:r>
      <w:r>
        <w:t xml:space="preserve"> &amp; 0.666</w:t>
      </w:r>
      <w:r>
        <w:br/>
      </w:r>
      <w:r>
        <w:rPr>
          <w:rFonts w:hint="eastAsia"/>
        </w:rPr>
        <w:t xml:space="preserve">缓冲确认强度</w:t>
      </w:r>
      <w:r>
        <w:t xml:space="preserve"> &amp; 0.220 &amp; </w:t>
      </w:r>
      <w:r>
        <w:rPr>
          <w:rFonts w:hint="eastAsia"/>
        </w:rPr>
        <w:t xml:space="preserve">预期修复强度</w:t>
      </w:r>
      <w:r>
        <w:t xml:space="preserve"> &amp; 0.240</w:t>
      </w:r>
      <w:r>
        <w:br/>
      </w:r>
    </w:p>
    <w:p>
      <w:pPr>
        <w:pStyle w:val="BodyText"/>
      </w:pPr>
      <w:r>
        <w:rPr>
          <w:rFonts w:hint="eastAsia"/>
        </w:rPr>
        <w:t xml:space="preserve">注：供应中断量、SPR</w:t>
      </w:r>
      <w:r>
        <w:t xml:space="preserve"> </w:t>
      </w:r>
      <w:r>
        <w:rPr>
          <w:rFonts w:hint="eastAsia"/>
        </w:rPr>
        <w:t xml:space="preserve">释放上限、绕道能力上限和库存日缓冲上限的单位为万桶/日；其余无量纲参数用于刻画行为强度、调整速度或弹性。</w:t>
      </w:r>
    </w:p>
    <w:p>
      <w:pPr>
        <w:pStyle w:val="BodyText"/>
      </w:pPr>
      <w:r>
        <w:rPr>
          <w:rFonts w:hint="eastAsia"/>
        </w:rPr>
        <w:t xml:space="preserve">表中参数可分为两类理解：供应中断量、SPR</w:t>
      </w:r>
      <w:r>
        <w:t xml:space="preserve"> </w:t>
      </w:r>
      <w:r>
        <w:rPr>
          <w:rFonts w:hint="eastAsia"/>
        </w:rPr>
        <w:t xml:space="preserve">上限、绕道能力、库存缓冲和需求弹性受题面范围约束；风险权重、价格调整速度、缓冲确认和预期修复强度属于行为价格形成参数，必须依赖数据校准和鲁棒性检验。本文后续所有模型评价均围绕这一区分展开，校准参数只在相应机制语境下解释。</w:t>
      </w:r>
    </w:p>
    <w:p>
      <w:pPr>
        <w:pStyle w:val="BodyText"/>
      </w:pPr>
      <w:r>
        <w:rPr>
          <w:rFonts w:hint="eastAsia"/>
        </w:rPr>
        <w:t xml:space="preserve">其中，供应中断量</w:t>
      </w:r>
      <w:r>
        <w:t xml:space="preserve"> 1493 </w:t>
      </w:r>
      <w:r>
        <w:rPr>
          <w:rFonts w:hint="eastAsia"/>
        </w:rPr>
        <w:t xml:space="preserve">万桶/日是在赛题给定中断范围内由短期冲突窗口校准得到的中心情景值，不等同于官方观测到的实际中断量。本文将其作为模型参数使用，并在长期乐观、中性、悲观情景以及蒙特卡洛抽样中覆盖</w:t>
      </w:r>
      <w:r>
        <w:t xml:space="preserve"> 1400–1800 </w:t>
      </w:r>
      <w:r>
        <w:rPr>
          <w:rFonts w:hint="eastAsia"/>
        </w:rPr>
        <w:t xml:space="preserve">万桶/日的扰动区间。</w:t>
      </w:r>
    </w:p>
    <w:bookmarkEnd w:id="54"/>
    <w:bookmarkStart w:id="62" w:name="拟合结果"/>
    <w:p>
      <w:pPr>
        <w:pStyle w:val="Heading3"/>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BodyText"/>
      </w:pPr>
      <w:r>
        <w:rPr>
          <w:rFonts w:hint="eastAsia"/>
          <w:b/>
          <w:bCs/>
        </w:rPr>
        <w:t xml:space="preserve">关键结论</w:t>
      </w:r>
      <w:r>
        <w:rPr>
          <w:rFonts w:hint="eastAsia"/>
        </w:rPr>
        <w:t xml:space="preserve">短期模型的核心价值不是声称逐日交易预测，而是在极端冲突窗口内同时解释前期冲击、中期平台和后期再定价，并且优于朴素上一日基准。</w:t>
      </w:r>
    </w:p>
    <w:bookmarkStart w:id="58" w:name="fig:short-term-fit"/>
    <w:p>
      <w:pPr>
        <w:pStyle w:val="CaptionedFigure"/>
      </w:pPr>
      <w:r>
        <w:drawing>
          <wp:inline>
            <wp:extent cx="4907280" cy="2587474"/>
            <wp:effectExtent b="0" l="0" r="0" t="0"/>
            <wp:docPr descr="" title="" id="56" name="Picture"/>
            <a:graphic>
              <a:graphicData uri="http://schemas.openxmlformats.org/drawingml/2006/picture">
                <pic:pic>
                  <pic:nvPicPr>
                    <pic:cNvPr descr="短期模型拟合效果.png" id="57" name="Picture"/>
                    <pic:cNvPicPr>
                      <a:picLocks noChangeArrowheads="1" noChangeAspect="1"/>
                    </pic:cNvPicPr>
                  </pic:nvPicPr>
                  <pic:blipFill>
                    <a:blip r:embed="rId55"/>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短期动态模型拟合效果。模型较好刻画了前期冲击、中期平台和后期再定价，是本文解释</w:t>
      </w:r>
      <w:r>
        <w:t xml:space="preserve"> 110–120 </w:t>
      </w:r>
      <w:r>
        <w:rPr>
          <w:rFonts w:hint="eastAsia"/>
        </w:rPr>
        <w:t xml:space="preserve">美元/桶价格平台的核心证据图。</w:t>
      </w:r>
    </w:p>
    <w:bookmarkEnd w:id="58"/>
    <w:p>
      <w:pPr>
        <w:pStyle w:val="BodyText"/>
      </w:pPr>
      <w:r>
        <w:t xml:space="preserve">l S[table-format=2.0] S[table-format=1.2] S[table-format=1.2] S[table-format=1.2]</w:t>
      </w:r>
      <w:r>
        <w:t xml:space="preserve"> </w:t>
      </w:r>
      <w:r>
        <w:rPr>
          <w:rFonts w:hint="eastAsia"/>
        </w:rPr>
        <w:t xml:space="preserve">分段</w:t>
      </w:r>
      <w:r>
        <w:t xml:space="preserve"> &amp;</w:t>
      </w:r>
      <w:r>
        <w:t xml:space="preserve"> </w:t>
      </w:r>
      <w:r>
        <w:rPr>
          <w:rFonts w:hint="eastAsia"/>
        </w:rPr>
        <w:t xml:space="preserve">样本数</w:t>
      </w:r>
      <w:r>
        <w:t xml:space="preserve"> </w:t>
      </w:r>
      <w:r>
        <w:t xml:space="preserve">&amp;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rPr>
          <w:rFonts w:hint="eastAsia"/>
        </w:rPr>
        <w:t xml:space="preserve">最大绝对误差</w:t>
      </w:r>
      <w:r>
        <w:br/>
      </w:r>
      <w:r>
        <w:rPr>
          <w:rFonts w:hint="eastAsia"/>
        </w:rPr>
        <w:t xml:space="preserve">全窗口</w:t>
      </w:r>
      <w:r>
        <w:t xml:space="preserve"> &amp; 46 &amp; 3.44 &amp; 2.85 &amp; 7.43</w:t>
      </w:r>
      <w:r>
        <w:br/>
      </w:r>
      <w:r>
        <w:rPr>
          <w:rFonts w:hint="eastAsia"/>
        </w:rPr>
        <w:t xml:space="preserve">前期冲击</w:t>
      </w:r>
      <w:r>
        <w:t xml:space="preserve"> &amp; 11 &amp; 3.14 &amp; 2.72 &amp; 5.91</w:t>
      </w:r>
      <w:r>
        <w:br/>
      </w:r>
      <w:r>
        <w:rPr>
          <w:rFonts w:hint="eastAsia"/>
        </w:rPr>
        <w:t xml:space="preserve">中期平台</w:t>
      </w:r>
      <w:r>
        <w:t xml:space="preserve"> &amp; 14 &amp; 4.39 &amp; 3.72 &amp; 7.43</w:t>
      </w:r>
      <w:r>
        <w:br/>
      </w:r>
      <w:r>
        <w:rPr>
          <w:rFonts w:hint="eastAsia"/>
        </w:rPr>
        <w:t xml:space="preserve">后期再定价</w:t>
      </w:r>
      <w:r>
        <w:t xml:space="preserve"> &amp; 21 &amp; 2.81 &amp; 2.35 &amp; 5.24</w:t>
      </w:r>
      <w:r>
        <w:br/>
      </w:r>
      <w:r>
        <w:rPr>
          <w:rFonts w:hint="eastAsia"/>
        </w:rPr>
        <w:t xml:space="preserve">高价平台</w:t>
      </w:r>
      <w:r>
        <w:t xml:space="preserve"> &amp; 4 &amp; 2.83 &amp; 2.34 &amp; 3.91</w:t>
      </w:r>
      <w:r>
        <w:br/>
      </w:r>
      <w:r>
        <w:rPr>
          <w:rFonts w:hint="eastAsia"/>
        </w:rPr>
        <w:t xml:space="preserve">低价回落</w:t>
      </w:r>
      <w:r>
        <w:t xml:space="preserve"> &amp; 21 &amp; 3.38 &amp; 2.94 &amp; 5.91</w:t>
      </w:r>
      <w:r>
        <w:br/>
      </w:r>
    </w:p>
    <w:p>
      <w:pPr>
        <w:pStyle w:val="CaptionedFigure"/>
      </w:pPr>
      <w:r>
        <w:drawing>
          <wp:inline>
            <wp:extent cx="4907280" cy="2765921"/>
            <wp:effectExtent b="0" l="0" r="0" t="0"/>
            <wp:docPr descr="" title="" id="60" name="Picture"/>
            <a:graphic>
              <a:graphicData uri="http://schemas.openxmlformats.org/drawingml/2006/picture">
                <pic:pic>
                  <pic:nvPicPr>
                    <pic:cNvPr descr="短期模型机制贡献.png" id="61" name="Picture"/>
                    <pic:cNvPicPr>
                      <a:picLocks noChangeArrowheads="1" noChangeAspect="1"/>
                    </pic:cNvPicPr>
                  </pic:nvPicPr>
                  <pic:blipFill>
                    <a:blip r:embed="rId59"/>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短期模型机制贡献分解。风险溢价解释价格快速进入高位平台，缓冲确认和预期修复解释后期回落，展示不同机制对价格路径的边际作用。</w:t>
      </w:r>
    </w:p>
    <w:bookmarkEnd w:id="62"/>
    <w:bookmarkEnd w:id="63"/>
    <w:bookmarkStart w:id="74" w:name="基准对比与统计检验"/>
    <w:p>
      <w:pPr>
        <w:pStyle w:val="Heading2"/>
      </w:pPr>
      <w:r>
        <w:rPr>
          <w:rFonts w:hint="eastAsia"/>
        </w:rPr>
        <w:t xml:space="preserve">基准对比与统计检验</w:t>
      </w:r>
    </w:p>
    <w:bookmarkStart w:id="73" w:name="基准对比与滞后检验"/>
    <w:p>
      <w:pPr>
        <w:pStyle w:val="Heading3"/>
      </w:pPr>
      <w:r>
        <w:rPr>
          <w:rFonts w:hint="eastAsia"/>
        </w:rPr>
        <w:t xml:space="preserve">基准对比与滞后检验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CaptionedFigure"/>
      </w:pPr>
      <w:r>
        <w:drawing>
          <wp:inline>
            <wp:extent cx="4907280" cy="4218758"/>
            <wp:effectExtent b="0" l="0" r="0" t="0"/>
            <wp:docPr descr="" title="" id="65" name="Picture"/>
            <a:graphic>
              <a:graphicData uri="http://schemas.openxmlformats.org/drawingml/2006/picture">
                <pic:pic>
                  <pic:nvPicPr>
                    <pic:cNvPr descr="评审质疑防御框架图.png" id="66" name="Picture"/>
                    <pic:cNvPicPr>
                      <a:picLocks noChangeArrowheads="1" noChangeAspect="1"/>
                    </pic:cNvPicPr>
                  </pic:nvPicPr>
                  <pic:blipFill>
                    <a:blip r:embed="rId64"/>
                    <a:stretch>
                      <a:fillRect/>
                    </a:stretch>
                  </pic:blipFill>
                  <pic:spPr bwMode="auto">
                    <a:xfrm>
                      <a:off x="0" y="0"/>
                      <a:ext cx="4907280" cy="4218758"/>
                    </a:xfrm>
                    <a:prstGeom prst="rect">
                      <a:avLst/>
                    </a:prstGeom>
                    <a:noFill/>
                    <a:ln w="9525">
                      <a:noFill/>
                      <a:headEnd/>
                      <a:tailEnd/>
                    </a:ln>
                  </pic:spPr>
                </pic:pic>
              </a:graphicData>
            </a:graphic>
          </wp:inline>
        </w:drawing>
      </w:r>
    </w:p>
    <w:p>
      <w:pPr>
        <w:pStyle w:val="ImageCaption"/>
      </w:pPr>
      <w:r>
        <w:rPr>
          <w:rFonts w:hint="eastAsia"/>
        </w:rPr>
        <w:t xml:space="preserve">模型鲁棒性检验框架。每类潜在风险都对应可复现的检验、图表或校验输出。</w:t>
      </w:r>
    </w:p>
    <w:p>
      <w:pPr>
        <w:pStyle w:val="BodyText"/>
      </w:pPr>
      <w:r>
        <w:t xml:space="preserve">l S[table-format=1.2] S[table-format=1.2] S[table-format=1.2] S[table-format=2.1]</w:t>
      </w:r>
      <w:r>
        <w:t xml:space="preserve"> </w:t>
      </w:r>
      <w:r>
        <w:rPr>
          <w:rFonts w:hint="eastAsia"/>
        </w:rPr>
        <w:t xml:space="preserve">模型</w:t>
      </w:r>
      <w:r>
        <w:t xml:space="preserve"> &amp;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t xml:space="preserve">MAPE(%)</w:t>
      </w:r>
      <w:r>
        <w:t xml:space="preserve"> </w:t>
      </w:r>
      <w:r>
        <w:t xml:space="preserve">&amp;</w:t>
      </w:r>
      <w:r>
        <w:t xml:space="preserve"> </w:t>
      </w:r>
      <w:r>
        <w:rPr>
          <w:rFonts w:hint="eastAsia"/>
        </w:rPr>
        <w:t xml:space="preserve">方向命中率(%)</w:t>
      </w:r>
      <w:r>
        <w:br/>
      </w:r>
      <w:r>
        <w:rPr>
          <w:rFonts w:hint="eastAsia"/>
        </w:rPr>
        <w:t xml:space="preserve">本文短期动态模型</w:t>
      </w:r>
      <w:r>
        <w:t xml:space="preserve"> &amp; 3.44 &amp; 2.85 &amp; 2.86 &amp; 64.4</w:t>
      </w:r>
      <w:r>
        <w:br/>
      </w:r>
      <w:r>
        <w:rPr>
          <w:rFonts w:hint="eastAsia"/>
        </w:rPr>
        <w:t xml:space="preserve">朴素上一日基准</w:t>
      </w:r>
      <w:r>
        <w:t xml:space="preserve"> &amp; 4.47 &amp; 3.57 &amp; 3.54 &amp; 46.7</w:t>
      </w:r>
      <w:r>
        <w:br/>
      </w:r>
      <w:r>
        <w:rPr>
          <w:rFonts w:hint="eastAsia"/>
        </w:rPr>
        <w:t xml:space="preserve">三日均值基准</w:t>
      </w:r>
      <w:r>
        <w:t xml:space="preserve"> &amp; 5.18 &amp; 4.16 &amp; 4.15 &amp; 44.4</w:t>
      </w:r>
      <w:r>
        <w:br/>
      </w:r>
      <w:r>
        <w:rPr>
          <w:rFonts w:hint="eastAsia"/>
        </w:rPr>
        <w:t xml:space="preserve">漂移随机游走基准</w:t>
      </w:r>
      <w:r>
        <w:t xml:space="preserve"> &amp; 4.84 &amp; 3.94 &amp; 3.91 &amp; 46.7</w:t>
      </w:r>
      <w:r>
        <w:br/>
      </w:r>
      <w:r>
        <w:rPr>
          <w:rFonts w:hint="eastAsia"/>
        </w:rPr>
        <w:t xml:space="preserve">滚动</w:t>
      </w:r>
      <w:r>
        <w:t xml:space="preserve"> ARIMA(1,1,0) </w:t>
      </w:r>
      <w:r>
        <w:rPr>
          <w:rFonts w:hint="eastAsia"/>
        </w:rPr>
        <w:t xml:space="preserve">基准</w:t>
      </w:r>
      <w:r>
        <w:t xml:space="preserve"> &amp; 4.53 &amp; 3.67 &amp; 3.63 &amp; 46.7</w:t>
      </w:r>
      <w:r>
        <w:br/>
      </w:r>
    </w:p>
    <w:p>
      <w:pPr>
        <w:pStyle w:val="BodyText"/>
      </w:pPr>
      <w:r>
        <w:rPr>
          <w:rFonts w:hint="eastAsia"/>
        </w:rPr>
        <w:t xml:space="preserve">注：RMSE</w:t>
      </w:r>
      <w:r>
        <w:t xml:space="preserve"> </w:t>
      </w:r>
      <w:r>
        <w:rPr>
          <w:rFonts w:hint="eastAsia"/>
        </w:rPr>
        <w:t xml:space="preserve">与</w:t>
      </w:r>
      <w:r>
        <w:t xml:space="preserve"> MAE </w:t>
      </w:r>
      <w:r>
        <w:rPr>
          <w:rFonts w:hint="eastAsia"/>
        </w:rPr>
        <w:t xml:space="preserve">单位为美元/桶；MAPE</w:t>
      </w:r>
      <w:r>
        <w:t xml:space="preserve"> </w:t>
      </w:r>
      <w:r>
        <w:rPr>
          <w:rFonts w:hint="eastAsia"/>
        </w:rPr>
        <w:t xml:space="preserve">与方向命中率以百分比计。数字列采用小数点对齐，便于横向比较。</w:t>
      </w:r>
    </w:p>
    <w:p>
      <w:pPr>
        <w:pStyle w:val="CaptionedFigure"/>
      </w:pPr>
      <w:r>
        <w:drawing>
          <wp:inline>
            <wp:extent cx="4587240" cy="2533904"/>
            <wp:effectExtent b="0" l="0" r="0" t="0"/>
            <wp:docPr descr="" title="" id="68" name="Picture"/>
            <a:graphic>
              <a:graphicData uri="http://schemas.openxmlformats.org/drawingml/2006/picture">
                <pic:pic>
                  <pic:nvPicPr>
                    <pic:cNvPr descr="短期模型基准对比.png" id="69" name="Picture"/>
                    <pic:cNvPicPr>
                      <a:picLocks noChangeArrowheads="1" noChangeAspect="1"/>
                    </pic:cNvPicPr>
                  </pic:nvPicPr>
                  <pic:blipFill>
                    <a:blip r:embed="rId67"/>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图</w:t>
      </w:r>
      <w:r>
        <w:t xml:space="preserve"> </w:t>
      </w:r>
      <w:hyperlink w:anchor="fig:short-term-fit">
        <w:r>
          <w:rPr>
            <w:rStyle w:val="Hyperlink"/>
          </w:rPr>
          <w:t xml:space="preserve">4</w:t>
        </w:r>
      </w:hyperlink>
      <w:r>
        <w:t xml:space="preserve"> </w:t>
      </w:r>
      <w:r>
        <w:rPr>
          <w:rFonts w:hint="eastAsia"/>
        </w:rPr>
        <w:t xml:space="preserve">展示了短期主模型的路径拟合结果。为排除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71" name="Picture"/>
            <a:graphic>
              <a:graphicData uri="http://schemas.openxmlformats.org/drawingml/2006/picture">
                <pic:pic>
                  <pic:nvPicPr>
                    <pic:cNvPr descr="短期模型滞后平移检验.png" id="72" name="Picture"/>
                    <pic:cNvPicPr>
                      <a:picLocks noChangeArrowheads="1" noChangeAspect="1"/>
                    </pic:cNvPicPr>
                  </pic:nvPicPr>
                  <pic:blipFill>
                    <a:blip r:embed="rId70"/>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检验。原始位置误差最低，说明拟合曲线不是简单把昨日真实价格滞后搬到今日。</w:t>
      </w:r>
    </w:p>
    <w:bookmarkEnd w:id="73"/>
    <w:bookmarkEnd w:id="74"/>
    <w:bookmarkStart w:id="94" w:name="模型鲁棒性与稳定性评估"/>
    <w:p>
      <w:pPr>
        <w:pStyle w:val="Heading2"/>
      </w:pPr>
      <w:r>
        <w:rPr>
          <w:rFonts w:hint="eastAsia"/>
        </w:rPr>
        <w:t xml:space="preserve">模型鲁棒性与稳定性评估</w:t>
      </w:r>
    </w:p>
    <w:bookmarkStart w:id="78" w:name="结构稳定性检验"/>
    <w:p>
      <w:pPr>
        <w:pStyle w:val="Heading3"/>
      </w:pPr>
      <w:r>
        <w:rPr>
          <w:rFonts w:hint="eastAsia"/>
        </w:rPr>
        <w:t xml:space="preserve">结构稳定性检验</w:t>
      </w:r>
    </w:p>
    <w:p>
      <w:pPr>
        <w:pStyle w:val="FirstParagraph"/>
      </w:pPr>
      <w:r>
        <w:rPr>
          <w:rFonts w:hint="eastAsia"/>
        </w:rPr>
        <w:t xml:space="preserve">由于冲突窗口只有</w:t>
      </w:r>
      <w:r>
        <w:t xml:space="preserve"> 46 </w:t>
      </w:r>
      <w:r>
        <w:rPr>
          <w:rFonts w:hint="eastAsia"/>
        </w:rPr>
        <w:t xml:space="preserve">个交易日，而校准参数较多，本文进一步进行参数扰动与结构边界检验。结果显示，在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美元/桶区间；递推结构检查也确认模型未将</w:t>
      </w:r>
      <w:r>
        <w:t xml:space="preserve"> 120 </w:t>
      </w:r>
      <w:r>
        <w:rPr>
          <w:rFonts w:hint="eastAsia"/>
        </w:rPr>
        <w:t xml:space="preserve">美元作为外生价格上限。本文因此将模型定位为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76" name="Picture"/>
            <a:graphic>
              <a:graphicData uri="http://schemas.openxmlformats.org/drawingml/2006/picture">
                <pic:pic>
                  <pic:nvPicPr>
                    <pic:cNvPr descr="短期模型过拟合压力测试.png" id="77" name="Picture"/>
                    <pic:cNvPicPr>
                      <a:picLocks noChangeArrowheads="1" noChangeAspect="1"/>
                    </pic:cNvPicPr>
                  </pic:nvPicPr>
                  <pic:blipFill>
                    <a:blip r:embed="rId75"/>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短期模型参数扰动检验。多数扰动样本仍保持在合理价格平台附近，说明</w:t>
      </w:r>
      <w:r>
        <w:t xml:space="preserve"> 110–120 </w:t>
      </w:r>
      <w:r>
        <w:rPr>
          <w:rFonts w:hint="eastAsia"/>
        </w:rPr>
        <w:t xml:space="preserve">美元/桶平台不依赖唯一参数点。</w:t>
      </w:r>
    </w:p>
    <w:bookmarkEnd w:id="78"/>
    <w:bookmarkStart w:id="82" w:name="分段误差与残差诊断"/>
    <w:p>
      <w:pPr>
        <w:pStyle w:val="Heading3"/>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80" name="Picture"/>
            <a:graphic>
              <a:graphicData uri="http://schemas.openxmlformats.org/drawingml/2006/picture">
                <pic:pic>
                  <pic:nvPicPr>
                    <pic:cNvPr descr="短期模型残差诊断增强.png" id="81" name="Picture"/>
                    <pic:cNvPicPr>
                      <a:picLocks noChangeArrowheads="1" noChangeAspect="1"/>
                    </pic:cNvPicPr>
                  </pic:nvPicPr>
                  <pic:blipFill>
                    <a:blip r:embed="rId79"/>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82"/>
    <w:bookmarkStart w:id="86" w:name="时间轴语义与删块稳健性复核"/>
    <w:p>
      <w:pPr>
        <w:pStyle w:val="Heading3"/>
      </w:pPr>
      <w:r>
        <w:rPr>
          <w:rFonts w:hint="eastAsia"/>
        </w:rPr>
        <w:t xml:space="preserve">时间轴语义与删块稳健性复核</w:t>
      </w:r>
    </w:p>
    <w:p>
      <w:pPr>
        <w:pStyle w:val="FirstParagraph"/>
      </w:pPr>
      <w:r>
        <w:rPr>
          <w:rFonts w:hint="eastAsia"/>
        </w:rPr>
        <w:t xml:space="preserve">短期递推中的</w:t>
      </w:r>
      <w:r>
        <w:t xml:space="preserve"> SPR </w:t>
      </w:r>
      <w:r>
        <w:rPr>
          <w:rFonts w:hint="eastAsia"/>
        </w:rPr>
        <w:t xml:space="preserve">释放、绕道恢复、需求收缩和恐慌衰减都依赖时间变量。若将每一行交易日都视为等间隔一步，可能低估周末和节假日期间政策与运输机制的实际推进；若采用日历日差，则相邻交易行在周末后会出现</w:t>
      </w:r>
      <w:r>
        <w:t xml:space="preserve"> 3 </w:t>
      </w:r>
      <w:r>
        <w:rPr>
          <w:rFonts w:hint="eastAsia"/>
        </w:rPr>
        <w:t xml:space="preserve">天跳变。为避免时间轴选择成为隐藏建模假设，本文在不重新调参的条件下，对同一组最优参数分别采用日历日口径和交易日序号口径进行复算。</w:t>
      </w:r>
    </w:p>
    <w:p>
      <w:pPr>
        <w:pStyle w:val="TableCaption"/>
      </w:pPr>
      <w:r>
        <w:rPr>
          <w:rFonts w:hint="eastAsia"/>
        </w:rPr>
        <w:t xml:space="preserve">短期模型时间轴口径对比</w:t>
      </w:r>
    </w:p>
    <w:tbl>
      <w:tblPr>
        <w:tblStyle w:val="Table"/>
        <w:tblW w:type="auto" w:w="0"/>
        <w:tblLook w:firstRow="1" w:lastRow="0" w:firstColumn="0" w:lastColumn="0" w:noHBand="0" w:noVBand="0" w:val="0020"/>
        <w:tblCaption w:val="短期模型时间轴口径对比"/>
      </w:tblPr>
      <w:tblGrid>
        <w:gridCol w:w="1584"/>
        <w:gridCol w:w="1584"/>
        <w:gridCol w:w="1584"/>
        <w:gridCol w:w="1584"/>
        <w:gridCol w:w="1584"/>
      </w:tblGrid>
      <w:tr>
        <w:trPr>
          <w:tblHeader w:val="on"/>
        </w:trPr>
        <w:tc>
          <w:tcPr/>
          <w:p>
            <w:pPr>
              <w:pStyle w:val="Compact"/>
              <w:jc w:val="left"/>
            </w:pPr>
            <w:r>
              <w:rPr>
                <w:rFonts w:hint="eastAsia"/>
              </w:rPr>
              <w:t xml:space="preserve">时间轴口径</w:t>
            </w:r>
          </w:p>
        </w:tc>
        <w:tc>
          <w:tcPr/>
          <w:p>
            <w:pPr>
              <w:pStyle w:val="Compact"/>
              <w:jc w:val="right"/>
            </w:pPr>
            <w:r>
              <w:rPr>
                <w:rFonts w:hint="eastAsia"/>
              </w:rPr>
              <w:t xml:space="preserve">最大时间索引</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综合得分</w:t>
            </w:r>
          </w:p>
        </w:tc>
      </w:tr>
      <w:tr>
        <w:tc>
          <w:tcPr/>
          <w:p>
            <w:pPr>
              <w:pStyle w:val="Compact"/>
              <w:jc w:val="left"/>
            </w:pPr>
            <w:r>
              <w:rPr>
                <w:rFonts w:hint="eastAsia"/>
              </w:rPr>
              <w:t xml:space="preserve">日历日口径</w:t>
            </w:r>
          </w:p>
        </w:tc>
        <w:tc>
          <w:tcPr/>
          <w:p>
            <w:pPr>
              <w:pStyle w:val="Compact"/>
              <w:jc w:val="right"/>
            </w:pPr>
            <w:r>
              <w:t xml:space="preserve">64</w:t>
            </w:r>
          </w:p>
        </w:tc>
        <w:tc>
          <w:tcPr/>
          <w:p>
            <w:pPr>
              <w:pStyle w:val="Compact"/>
              <w:jc w:val="right"/>
            </w:pPr>
            <w:r>
              <w:t xml:space="preserve">3.440</w:t>
            </w:r>
          </w:p>
        </w:tc>
        <w:tc>
          <w:tcPr/>
          <w:p>
            <w:pPr>
              <w:pStyle w:val="Compact"/>
              <w:jc w:val="right"/>
            </w:pPr>
            <w:r>
              <w:t xml:space="preserve">2.855</w:t>
            </w:r>
          </w:p>
        </w:tc>
        <w:tc>
          <w:tcPr/>
          <w:p>
            <w:pPr>
              <w:pStyle w:val="Compact"/>
              <w:jc w:val="right"/>
            </w:pPr>
            <w:r>
              <w:t xml:space="preserve">6.638</w:t>
            </w:r>
          </w:p>
        </w:tc>
      </w:tr>
      <w:tr>
        <w:tc>
          <w:tcPr/>
          <w:p>
            <w:pPr>
              <w:pStyle w:val="Compact"/>
              <w:jc w:val="left"/>
            </w:pPr>
            <w:r>
              <w:rPr>
                <w:rFonts w:hint="eastAsia"/>
              </w:rPr>
              <w:t xml:space="preserve">交易日序号口径</w:t>
            </w:r>
          </w:p>
        </w:tc>
        <w:tc>
          <w:tcPr/>
          <w:p>
            <w:pPr>
              <w:pStyle w:val="Compact"/>
              <w:jc w:val="right"/>
            </w:pPr>
            <w:r>
              <w:t xml:space="preserve">45</w:t>
            </w:r>
          </w:p>
        </w:tc>
        <w:tc>
          <w:tcPr/>
          <w:p>
            <w:pPr>
              <w:pStyle w:val="Compact"/>
              <w:jc w:val="right"/>
            </w:pPr>
            <w:r>
              <w:t xml:space="preserve">7.075</w:t>
            </w:r>
          </w:p>
        </w:tc>
        <w:tc>
          <w:tcPr/>
          <w:p>
            <w:pPr>
              <w:pStyle w:val="Compact"/>
              <w:jc w:val="right"/>
            </w:pPr>
            <w:r>
              <w:t xml:space="preserve">5.631</w:t>
            </w:r>
          </w:p>
        </w:tc>
        <w:tc>
          <w:tcPr/>
          <w:p>
            <w:pPr>
              <w:pStyle w:val="Compact"/>
              <w:jc w:val="right"/>
            </w:pPr>
            <w:r>
              <w:t xml:space="preserve">19.365</w:t>
            </w:r>
          </w:p>
        </w:tc>
      </w:tr>
    </w:tbl>
    <w:p>
      <w:pPr>
        <w:pStyle w:val="BodyText"/>
      </w:pPr>
      <w:r>
        <w:rPr>
          <w:rFonts w:hint="eastAsia"/>
        </w:rPr>
        <w:t xml:space="preserve">结果显示，交易日序号口径在同参条件下明显恶化，尤其高价平台</w:t>
      </w:r>
      <w:r>
        <w:t xml:space="preserve"> RMSE </w:t>
      </w:r>
      <w:r>
        <w:rPr>
          <w:rFonts w:hint="eastAsia"/>
        </w:rPr>
        <w:t xml:space="preserve">升至</w:t>
      </w:r>
      <w:r>
        <w:t xml:space="preserve"> 15.22 </w:t>
      </w:r>
      <w:r>
        <w:rPr>
          <w:rFonts w:hint="eastAsia"/>
        </w:rPr>
        <w:t xml:space="preserve">美元/桶。因此，当前主模型保留日历日口径是合理的：封锁冲击、政策释放和运输恢复并不会在周末停止，按真实经过时间推进更符合机制解释题的语义。</w:t>
      </w:r>
    </w:p>
    <w:p>
      <w:pPr>
        <w:pStyle w:val="BodyText"/>
      </w:pPr>
      <w:r>
        <w:rPr>
          <w:rFonts w:hint="eastAsia"/>
        </w:rPr>
        <w:t xml:space="preserve">进一步地，本文将</w:t>
      </w:r>
      <w:r>
        <w:t xml:space="preserve"> 46 </w:t>
      </w:r>
      <w:r>
        <w:rPr>
          <w:rFonts w:hint="eastAsia"/>
        </w:rPr>
        <w:t xml:space="preserve">个交易日按时间顺序切分为</w:t>
      </w:r>
      <w:r>
        <w:t xml:space="preserve"> 5 </w:t>
      </w:r>
      <w:r>
        <w:rPr>
          <w:rFonts w:hint="eastAsia"/>
        </w:rPr>
        <w:t xml:space="preserve">个连续块，使用同一组参数检查各块误差。被删除块</w:t>
      </w:r>
      <w:r>
        <w:t xml:space="preserve"> RMSE </w:t>
      </w:r>
      <w:r>
        <w:rPr>
          <w:rFonts w:hint="eastAsia"/>
        </w:rPr>
        <w:t xml:space="preserve">分别为</w:t>
      </w:r>
      <w:r>
        <w:t xml:space="preserve"> 3.27、3.58、4.60、2.55 </w:t>
      </w:r>
      <w:r>
        <w:rPr>
          <w:rFonts w:hint="eastAsia"/>
        </w:rPr>
        <w:t xml:space="preserve">和</w:t>
      </w:r>
      <w:r>
        <w:t xml:space="preserve"> 2.84 </w:t>
      </w:r>
      <w:r>
        <w:rPr>
          <w:rFonts w:hint="eastAsia"/>
        </w:rPr>
        <w:t xml:space="preserve">美元/桶，标准差为</w:t>
      </w:r>
      <w:r>
        <w:t xml:space="preserve"> </w:t>
      </w:r>
      <w:r>
        <w:rPr>
          <w:rFonts w:hint="eastAsia"/>
        </w:rPr>
        <w:t xml:space="preserve">0.71。最难片段为</w:t>
      </w:r>
      <w:r>
        <w:t xml:space="preserve"> 2026 </w:t>
      </w:r>
      <w:r>
        <w:rPr>
          <w:rFonts w:hint="eastAsia"/>
        </w:rPr>
        <w:t xml:space="preserve">年</w:t>
      </w:r>
      <w:r>
        <w:t xml:space="preserve"> 3 </w:t>
      </w:r>
      <w:r>
        <w:rPr>
          <w:rFonts w:hint="eastAsia"/>
        </w:rPr>
        <w:t xml:space="preserve">月</w:t>
      </w:r>
      <w:r>
        <w:t xml:space="preserve"> 27 </w:t>
      </w:r>
      <w:r>
        <w:rPr>
          <w:rFonts w:hint="eastAsia"/>
        </w:rPr>
        <w:t xml:space="preserve">日至</w:t>
      </w:r>
      <w:r>
        <w:t xml:space="preserve"> 4 </w:t>
      </w:r>
      <w:r>
        <w:rPr>
          <w:rFonts w:hint="eastAsia"/>
        </w:rPr>
        <w:t xml:space="preserve">月</w:t>
      </w:r>
      <w:r>
        <w:t xml:space="preserve"> 9 </w:t>
      </w:r>
      <w:r>
        <w:rPr>
          <w:rFonts w:hint="eastAsia"/>
        </w:rPr>
        <w:t xml:space="preserve">日，RMSE</w:t>
      </w:r>
      <w:r>
        <w:t xml:space="preserve"> </w:t>
      </w:r>
      <w:r>
        <w:rPr>
          <w:rFonts w:hint="eastAsia"/>
        </w:rPr>
        <w:t xml:space="preserve">为</w:t>
      </w:r>
      <w:r>
        <w:t xml:space="preserve"> 4.60 </w:t>
      </w:r>
      <w:r>
        <w:rPr>
          <w:rFonts w:hint="eastAsia"/>
        </w:rPr>
        <w:t xml:space="preserve">美元/桶，说明模型的主要残余误差集中在中期平台再定价阶段，而不是平均分布在所有时期。</w:t>
      </w:r>
    </w:p>
    <w:p>
      <w:pPr>
        <w:pStyle w:val="CaptionedFigure"/>
      </w:pPr>
      <w:r>
        <w:drawing>
          <wp:inline>
            <wp:extent cx="4907280" cy="1890211"/>
            <wp:effectExtent b="0" l="0" r="0" t="0"/>
            <wp:docPr descr="" title="" id="84" name="Picture"/>
            <a:graphic>
              <a:graphicData uri="http://schemas.openxmlformats.org/drawingml/2006/picture">
                <pic:pic>
                  <pic:nvPicPr>
                    <pic:cNvPr descr="短期模型时间轴与删块稳健性.png" id="85" name="Picture"/>
                    <pic:cNvPicPr>
                      <a:picLocks noChangeArrowheads="1" noChangeAspect="1"/>
                    </pic:cNvPicPr>
                  </pic:nvPicPr>
                  <pic:blipFill>
                    <a:blip r:embed="rId83"/>
                    <a:stretch>
                      <a:fillRect/>
                    </a:stretch>
                  </pic:blipFill>
                  <pic:spPr bwMode="auto">
                    <a:xfrm>
                      <a:off x="0" y="0"/>
                      <a:ext cx="4907280" cy="1890211"/>
                    </a:xfrm>
                    <a:prstGeom prst="rect">
                      <a:avLst/>
                    </a:prstGeom>
                    <a:noFill/>
                    <a:ln w="9525">
                      <a:noFill/>
                      <a:headEnd/>
                      <a:tailEnd/>
                    </a:ln>
                  </pic:spPr>
                </pic:pic>
              </a:graphicData>
            </a:graphic>
          </wp:inline>
        </w:drawing>
      </w:r>
    </w:p>
    <w:p>
      <w:pPr>
        <w:pStyle w:val="ImageCaption"/>
      </w:pPr>
      <w:r>
        <w:rPr>
          <w:rFonts w:hint="eastAsia"/>
        </w:rPr>
        <w:t xml:space="preserve">短期模型时间轴与删块稳健性复核。左图比较日历日和交易日序号两种时间轴口径；右图展示同参删块后各片段误差。</w:t>
      </w:r>
    </w:p>
    <w:bookmarkEnd w:id="86"/>
    <w:bookmarkStart w:id="93" w:name="统计检验与-r-语言辅助定位"/>
    <w:p>
      <w:pPr>
        <w:pStyle w:val="Heading3"/>
      </w:pPr>
      <w:r>
        <w:rPr>
          <w:rFonts w:hint="eastAsia"/>
        </w:rPr>
        <w:t xml:space="preserve">统计检验与</w:t>
      </w:r>
      <w:r>
        <w:t xml:space="preserve"> R </w:t>
      </w:r>
      <w:r>
        <w:rPr>
          <w:rFonts w:hint="eastAsia"/>
        </w:rPr>
        <w:t xml:space="preserve">语言辅助定位</w:t>
      </w:r>
    </w:p>
    <w:p>
      <w:pPr>
        <w:pStyle w:val="FirstParagraph"/>
      </w:pPr>
      <w:r>
        <w:rPr>
          <w:rFonts w:hint="eastAsia"/>
        </w:rPr>
        <w:t xml:space="preserve">为进一步提高模型检验的严谨性，本文新增统计检验。该检验不改变短期主模型，只在剔除首日后构造可比较样本，将综合机制递推模型与朴素上一日基准进行误差和统计比较。之所以剔除首日，是因为朴素上一日基准需要上一交易日真实价格作为输入，首日没有可比预测值。因此，本节统计检验中的</w:t>
      </w:r>
      <w:r>
        <w:t xml:space="preserve"> RMSE </w:t>
      </w:r>
      <w:r>
        <w:rPr>
          <w:rFonts w:hint="eastAsia"/>
        </w:rPr>
        <w:t xml:space="preserve">与前文全窗口</w:t>
      </w:r>
      <w:r>
        <w:t xml:space="preserve"> RMSE </w:t>
      </w:r>
      <w:r>
        <w:rPr>
          <w:rFonts w:hint="eastAsia"/>
        </w:rPr>
        <w:t xml:space="preserve">略有差异。</w:t>
      </w:r>
    </w:p>
    <w:p>
      <w:pPr>
        <w:pStyle w:val="TableCaption"/>
      </w:pPr>
      <w:r>
        <w:rPr>
          <w:rFonts w:hint="eastAsia"/>
        </w:rPr>
        <w:t xml:space="preserve">短期模型统计检验结果</w:t>
      </w:r>
    </w:p>
    <w:tbl>
      <w:tblPr>
        <w:tblStyle w:val="Table"/>
        <w:tblW w:type="auto" w:w="0"/>
        <w:tblLook w:firstRow="1" w:lastRow="0" w:firstColumn="0" w:lastColumn="0" w:noHBand="0" w:noVBand="0" w:val="0020"/>
        <w:tblCaption w:val="短期模型统计检验结果"/>
      </w:tblPr>
      <w:tblGrid>
        <w:gridCol w:w="1980"/>
        <w:gridCol w:w="1980"/>
        <w:gridCol w:w="1980"/>
        <w:gridCol w:w="1980"/>
      </w:tblGrid>
      <w:tr>
        <w:trPr>
          <w:tblHeader w:val="on"/>
        </w:trPr>
        <w:tc>
          <w:tcPr/>
          <w:p>
            <w:pPr>
              <w:pStyle w:val="Compact"/>
              <w:jc w:val="left"/>
            </w:pPr>
            <w:r>
              <w:rPr>
                <w:rFonts w:hint="eastAsia"/>
              </w:rPr>
              <w:t xml:space="preserve">检验项</w:t>
            </w:r>
          </w:p>
        </w:tc>
        <w:tc>
          <w:tcPr/>
          <w:p>
            <w:pPr>
              <w:pStyle w:val="Compact"/>
              <w:jc w:val="right"/>
            </w:pPr>
            <w:r>
              <w:rPr>
                <w:rFonts w:hint="eastAsia"/>
              </w:rPr>
              <w:t xml:space="preserve">本文模型</w:t>
            </w:r>
          </w:p>
        </w:tc>
        <w:tc>
          <w:tcPr/>
          <w:p>
            <w:pPr>
              <w:pStyle w:val="Compact"/>
              <w:jc w:val="right"/>
            </w:pPr>
            <w:r>
              <w:rPr>
                <w:rFonts w:hint="eastAsia"/>
              </w:rPr>
              <w:t xml:space="preserve">对照或</w:t>
            </w:r>
            <w:r>
              <w:t xml:space="preserve"> p </w:t>
            </w:r>
            <w:r>
              <w:rPr>
                <w:rFonts w:hint="eastAsia"/>
              </w:rPr>
              <w:t xml:space="preserve">值</w:t>
            </w:r>
          </w:p>
        </w:tc>
        <w:tc>
          <w:tcPr/>
          <w:p>
            <w:pPr>
              <w:pStyle w:val="Compact"/>
              <w:jc w:val="left"/>
            </w:pPr>
            <w:r>
              <w:rPr>
                <w:rFonts w:hint="eastAsia"/>
              </w:rPr>
              <w:t xml:space="preserve">解释</w:t>
            </w:r>
          </w:p>
        </w:tc>
      </w:tr>
      <w:tr>
        <w:tc>
          <w:tcPr/>
          <w:p>
            <w:pPr>
              <w:pStyle w:val="Compact"/>
              <w:jc w:val="left"/>
            </w:pPr>
            <w:r>
              <w:t xml:space="preserve">RMSE</w:t>
            </w:r>
          </w:p>
        </w:tc>
        <w:tc>
          <w:tcPr/>
          <w:p>
            <w:pPr>
              <w:pStyle w:val="Compact"/>
              <w:jc w:val="right"/>
            </w:pPr>
            <w:r>
              <w:t xml:space="preserve">3.47</w:t>
            </w:r>
          </w:p>
        </w:tc>
        <w:tc>
          <w:tcPr/>
          <w:p>
            <w:pPr>
              <w:pStyle w:val="Compact"/>
              <w:jc w:val="right"/>
            </w:pPr>
            <w:r>
              <w:t xml:space="preserve">4.52</w:t>
            </w:r>
          </w:p>
        </w:tc>
        <w:tc>
          <w:tcPr/>
          <w:p>
            <w:pPr>
              <w:pStyle w:val="Compact"/>
              <w:jc w:val="left"/>
            </w:pPr>
            <w:r>
              <w:rPr>
                <w:rFonts w:hint="eastAsia"/>
              </w:rPr>
              <w:t xml:space="preserve">对照为朴素上一日基准，改善约</w:t>
            </w:r>
            <w:r>
              <w:t xml:space="preserve"> 23.2%</w:t>
            </w:r>
          </w:p>
        </w:tc>
      </w:tr>
      <w:tr>
        <w:tc>
          <w:tcPr/>
          <w:p>
            <w:pPr>
              <w:pStyle w:val="Compact"/>
              <w:jc w:val="left"/>
            </w:pPr>
            <w:r>
              <w:t xml:space="preserve">MAE</w:t>
            </w:r>
          </w:p>
        </w:tc>
        <w:tc>
          <w:tcPr/>
          <w:p>
            <w:pPr>
              <w:pStyle w:val="Compact"/>
              <w:jc w:val="right"/>
            </w:pPr>
            <w:r>
              <w:t xml:space="preserve">2.88</w:t>
            </w:r>
          </w:p>
        </w:tc>
        <w:tc>
          <w:tcPr/>
          <w:p>
            <w:pPr>
              <w:pStyle w:val="Compact"/>
              <w:jc w:val="right"/>
            </w:pPr>
            <w:r>
              <w:t xml:space="preserve">3.65</w:t>
            </w:r>
          </w:p>
        </w:tc>
        <w:tc>
          <w:tcPr/>
          <w:p>
            <w:pPr>
              <w:pStyle w:val="Compact"/>
              <w:jc w:val="left"/>
            </w:pPr>
            <w:r>
              <w:rPr>
                <w:rFonts w:hint="eastAsia"/>
              </w:rPr>
              <w:t xml:space="preserve">平均绝对误差低于朴素基准</w:t>
            </w:r>
          </w:p>
        </w:tc>
      </w:tr>
      <w:tr>
        <w:tc>
          <w:tcPr/>
          <w:p>
            <w:pPr>
              <w:pStyle w:val="Compact"/>
              <w:jc w:val="left"/>
            </w:pPr>
            <w:r>
              <w:t xml:space="preserve">MAPE</w:t>
            </w:r>
          </w:p>
        </w:tc>
        <w:tc>
          <w:tcPr/>
          <w:p>
            <w:pPr>
              <w:pStyle w:val="Compact"/>
              <w:jc w:val="right"/>
            </w:pPr>
            <w:r>
              <w:t xml:space="preserve">2.87%</w:t>
            </w:r>
          </w:p>
        </w:tc>
        <w:tc>
          <w:tcPr/>
          <w:p>
            <w:pPr>
              <w:pStyle w:val="Compact"/>
              <w:jc w:val="right"/>
            </w:pPr>
            <w:r>
              <w:t xml:space="preserve">3.62%</w:t>
            </w:r>
          </w:p>
        </w:tc>
        <w:tc>
          <w:tcPr/>
          <w:p>
            <w:pPr>
              <w:pStyle w:val="Compact"/>
              <w:jc w:val="left"/>
            </w:pPr>
            <w:r>
              <w:rPr>
                <w:rFonts w:hint="eastAsia"/>
              </w:rPr>
              <w:t xml:space="preserve">相对误差低于朴素基准</w:t>
            </w:r>
          </w:p>
        </w:tc>
      </w:tr>
      <w:tr>
        <w:tc>
          <w:tcPr/>
          <w:p>
            <w:pPr>
              <w:pStyle w:val="Compact"/>
              <w:jc w:val="left"/>
            </w:pPr>
            <w:r>
              <w:t xml:space="preserve">DM </w:t>
            </w:r>
            <w:r>
              <w:rPr>
                <w:rFonts w:hint="eastAsia"/>
              </w:rPr>
              <w:t xml:space="preserve">平方损失检验</w:t>
            </w:r>
          </w:p>
        </w:tc>
        <w:tc>
          <w:tcPr/>
          <w:p>
            <w:pPr>
              <w:pStyle w:val="Compact"/>
              <w:jc w:val="right"/>
            </w:pPr>
            <w:r>
              <w:t xml:space="preserve">-2.06</w:t>
            </w:r>
          </w:p>
        </w:tc>
        <w:tc>
          <w:tcPr/>
          <w:p>
            <w:pPr>
              <w:pStyle w:val="Compact"/>
              <w:jc w:val="right"/>
            </w:pPr>
            <w:r>
              <w:t xml:space="preserve">0.023</w:t>
            </w:r>
          </w:p>
        </w:tc>
        <w:tc>
          <w:tcPr/>
          <w:p>
            <w:pPr>
              <w:pStyle w:val="Compact"/>
              <w:jc w:val="left"/>
            </w:pPr>
            <w:r>
              <w:t xml:space="preserve">R </w:t>
            </w:r>
            <w:r>
              <w:rPr>
                <w:rFonts w:hint="eastAsia"/>
              </w:rPr>
              <w:t xml:space="preserve">独立复核下，单侧检验支持模型优于朴素基准</w:t>
            </w:r>
          </w:p>
        </w:tc>
      </w:tr>
      <w:tr>
        <w:tc>
          <w:tcPr/>
          <w:p>
            <w:pPr>
              <w:pStyle w:val="Compact"/>
              <w:jc w:val="left"/>
            </w:pPr>
            <w:r>
              <w:t xml:space="preserve">DM </w:t>
            </w:r>
            <w:r>
              <w:rPr>
                <w:rFonts w:hint="eastAsia"/>
              </w:rPr>
              <w:t xml:space="preserve">绝对损失检验</w:t>
            </w:r>
          </w:p>
        </w:tc>
        <w:tc>
          <w:tcPr/>
          <w:p>
            <w:pPr>
              <w:pStyle w:val="Compact"/>
              <w:jc w:val="right"/>
            </w:pPr>
            <w:r>
              <w:t xml:space="preserve">-1.68</w:t>
            </w:r>
          </w:p>
        </w:tc>
        <w:tc>
          <w:tcPr/>
          <w:p>
            <w:pPr>
              <w:pStyle w:val="Compact"/>
              <w:jc w:val="right"/>
            </w:pPr>
            <w:r>
              <w:t xml:space="preserve">0.050</w:t>
            </w:r>
          </w:p>
        </w:tc>
        <w:tc>
          <w:tcPr/>
          <w:p>
            <w:pPr>
              <w:pStyle w:val="Compact"/>
              <w:jc w:val="left"/>
            </w:pPr>
            <w:r>
              <w:rPr>
                <w:rFonts w:hint="eastAsia"/>
              </w:rPr>
              <w:t xml:space="preserve">绝对损失优势接近</w:t>
            </w:r>
            <w:r>
              <w:t xml:space="preserve"> 5% </w:t>
            </w:r>
            <w:r>
              <w:rPr>
                <w:rFonts w:hint="eastAsia"/>
              </w:rPr>
              <w:t xml:space="preserve">显著性边界，不作强显著性夸大</w:t>
            </w:r>
          </w:p>
        </w:tc>
      </w:tr>
      <w:tr>
        <w:tc>
          <w:tcPr/>
          <w:p>
            <w:pPr>
              <w:pStyle w:val="Compact"/>
              <w:jc w:val="left"/>
            </w:pPr>
            <w:r>
              <w:rPr>
                <w:rFonts w:hint="eastAsia"/>
              </w:rPr>
              <w:t xml:space="preserve">方向命中率</w:t>
            </w:r>
          </w:p>
        </w:tc>
        <w:tc>
          <w:tcPr/>
          <w:p>
            <w:pPr>
              <w:pStyle w:val="Compact"/>
              <w:jc w:val="right"/>
            </w:pPr>
            <w:r>
              <w:t xml:space="preserve">63.6%</w:t>
            </w:r>
          </w:p>
        </w:tc>
        <w:tc>
          <w:tcPr/>
          <w:p>
            <w:pPr>
              <w:pStyle w:val="Compact"/>
              <w:jc w:val="right"/>
            </w:pPr>
            <w:r>
              <w:t xml:space="preserve">0.048</w:t>
            </w:r>
          </w:p>
        </w:tc>
        <w:tc>
          <w:tcPr/>
          <w:p>
            <w:pPr>
              <w:pStyle w:val="Compact"/>
              <w:jc w:val="left"/>
            </w:pPr>
            <w:r>
              <w:rPr>
                <w:rFonts w:hint="eastAsia"/>
              </w:rPr>
              <w:t xml:space="preserve">相对随机</w:t>
            </w:r>
            <w:r>
              <w:t xml:space="preserve"> 50% </w:t>
            </w:r>
            <w:r>
              <w:rPr>
                <w:rFonts w:hint="eastAsia"/>
              </w:rPr>
              <w:t xml:space="preserve">的单侧二项检验</w:t>
            </w:r>
          </w:p>
        </w:tc>
      </w:tr>
      <w:tr>
        <w:tc>
          <w:tcPr/>
          <w:p>
            <w:pPr>
              <w:pStyle w:val="Compact"/>
              <w:jc w:val="left"/>
            </w:pPr>
            <w:r>
              <w:t xml:space="preserve">Ljung–Box lag10</w:t>
            </w:r>
          </w:p>
        </w:tc>
        <w:tc>
          <w:tcPr/>
          <w:p>
            <w:pPr>
              <w:pStyle w:val="Compact"/>
              <w:jc w:val="right"/>
            </w:pPr>
            <w:r>
              <w:t xml:space="preserve">10.92</w:t>
            </w:r>
          </w:p>
        </w:tc>
        <w:tc>
          <w:tcPr/>
          <w:p>
            <w:pPr>
              <w:pStyle w:val="Compact"/>
              <w:jc w:val="right"/>
            </w:pPr>
            <w:r>
              <w:t xml:space="preserve">0.364</w:t>
            </w:r>
          </w:p>
        </w:tc>
        <w:tc>
          <w:tcPr/>
          <w:p>
            <w:pPr>
              <w:pStyle w:val="Compact"/>
              <w:jc w:val="left"/>
            </w:pPr>
            <w:r>
              <w:rPr>
                <w:rFonts w:hint="eastAsia"/>
              </w:rPr>
              <w:t xml:space="preserve">未发现显著线性残差自相关</w:t>
            </w:r>
          </w:p>
        </w:tc>
      </w:tr>
      <w:tr>
        <w:tc>
          <w:tcPr/>
          <w:p>
            <w:pPr>
              <w:pStyle w:val="Compact"/>
              <w:jc w:val="left"/>
            </w:pPr>
            <w:r>
              <w:t xml:space="preserve">ARCH–LM lag5</w:t>
            </w:r>
          </w:p>
        </w:tc>
        <w:tc>
          <w:tcPr/>
          <w:p>
            <w:pPr>
              <w:pStyle w:val="Compact"/>
              <w:jc w:val="right"/>
            </w:pPr>
            <w:r>
              <w:t xml:space="preserve">5.22</w:t>
            </w:r>
          </w:p>
        </w:tc>
        <w:tc>
          <w:tcPr/>
          <w:p>
            <w:pPr>
              <w:pStyle w:val="Compact"/>
              <w:jc w:val="right"/>
            </w:pPr>
            <w:r>
              <w:t xml:space="preserve">0.389</w:t>
            </w:r>
          </w:p>
        </w:tc>
        <w:tc>
          <w:tcPr/>
          <w:p>
            <w:pPr>
              <w:pStyle w:val="Compact"/>
              <w:jc w:val="left"/>
            </w:pPr>
            <w:r>
              <w:rPr>
                <w:rFonts w:hint="eastAsia"/>
              </w:rPr>
              <w:t xml:space="preserve">未发现强条件异方差证据</w:t>
            </w:r>
          </w:p>
        </w:tc>
      </w:tr>
      <w:tr>
        <w:tc>
          <w:tcPr/>
          <w:p>
            <w:pPr>
              <w:pStyle w:val="Compact"/>
              <w:jc w:val="left"/>
            </w:pPr>
            <w:r>
              <w:t xml:space="preserve">Newey–West </w:t>
            </w:r>
            <w:r>
              <w:rPr>
                <w:rFonts w:hint="eastAsia"/>
              </w:rPr>
              <w:t xml:space="preserve">校准诊断</w:t>
            </w:r>
          </w:p>
        </w:tc>
        <w:tc>
          <w:tcPr/>
          <w:p>
            <w:pPr>
              <w:pStyle w:val="Compact"/>
              <w:jc w:val="right"/>
            </w:pPr>
            <w:r>
              <w:t xml:space="preserve">1.046</w:t>
            </w:r>
          </w:p>
        </w:tc>
        <w:tc>
          <w:tcPr/>
          <w:p>
            <w:pPr>
              <w:pStyle w:val="Compact"/>
              <w:jc w:val="right"/>
            </w:pPr>
            <m:oMath>
              <m:r>
                <m:rPr>
                  <m:sty m:val="p"/>
                </m:rPr>
                <m:t>&lt;</m:t>
              </m:r>
              <m:r>
                <m:t>0.001</m:t>
              </m:r>
            </m:oMath>
          </w:p>
        </w:tc>
        <w:tc>
          <w:tcPr/>
          <w:p>
            <w:pPr>
              <w:pStyle w:val="Compact"/>
              <w:jc w:val="left"/>
            </w:pPr>
            <w:r>
              <w:rPr>
                <w:rFonts w:hint="eastAsia"/>
              </w:rPr>
              <w:t xml:space="preserve">仅作拟合值与真实价格的刻画性校准诊断，不作为独立因果或样本外证明</w:t>
            </w:r>
          </w:p>
        </w:tc>
      </w:tr>
    </w:tbl>
    <w:p>
      <w:pPr>
        <w:pStyle w:val="CaptionedFigure"/>
      </w:pPr>
      <w:r>
        <w:drawing>
          <wp:inline>
            <wp:extent cx="4907280" cy="2826593"/>
            <wp:effectExtent b="0" l="0" r="0" t="0"/>
            <wp:docPr descr="" title="" id="88" name="Picture"/>
            <a:graphic>
              <a:graphicData uri="http://schemas.openxmlformats.org/drawingml/2006/picture">
                <pic:pic>
                  <pic:nvPicPr>
                    <pic:cNvPr descr="短期模型统计审计.png" id="89" name="Picture"/>
                    <pic:cNvPicPr>
                      <a:picLocks noChangeArrowheads="1" noChangeAspect="1"/>
                    </pic:cNvPicPr>
                  </pic:nvPicPr>
                  <pic:blipFill>
                    <a:blip r:embed="rId87"/>
                    <a:stretch>
                      <a:fillRect/>
                    </a:stretch>
                  </pic:blipFill>
                  <pic:spPr bwMode="auto">
                    <a:xfrm>
                      <a:off x="0" y="0"/>
                      <a:ext cx="4907280" cy="2826593"/>
                    </a:xfrm>
                    <a:prstGeom prst="rect">
                      <a:avLst/>
                    </a:prstGeom>
                    <a:noFill/>
                    <a:ln w="9525">
                      <a:noFill/>
                      <a:headEnd/>
                      <a:tailEnd/>
                    </a:ln>
                  </pic:spPr>
                </pic:pic>
              </a:graphicData>
            </a:graphic>
          </wp:inline>
        </w:drawing>
      </w:r>
    </w:p>
    <w:p>
      <w:pPr>
        <w:pStyle w:val="ImageCaption"/>
      </w:pPr>
      <w:r>
        <w:rPr>
          <w:rFonts w:hint="eastAsia"/>
        </w:rPr>
        <w:t xml:space="preserve">短期模型统计检验。图中展示残差序列、残差自相关、残差分布和相对朴素基准的平方损失差。</w:t>
      </w:r>
    </w:p>
    <w:p>
      <w:pPr>
        <w:pStyle w:val="BodyText"/>
      </w:pPr>
      <w:r>
        <w:rPr>
          <w:rFonts w:hint="eastAsia"/>
        </w:rPr>
        <w:t xml:space="preserve">分段统计也给出一个更细的判断：前段冲击吸收和后段预期修复阶段，本文模型相对朴素基准的</w:t>
      </w:r>
      <w:r>
        <w:t xml:space="preserve"> RMSE </w:t>
      </w:r>
      <w:r>
        <w:rPr>
          <w:rFonts w:hint="eastAsia"/>
        </w:rPr>
        <w:t xml:space="preserve">改善率分别约为</w:t>
      </w:r>
      <w:r>
        <w:t xml:space="preserve"> 33.4% </w:t>
      </w:r>
      <w:r>
        <w:rPr>
          <w:rFonts w:hint="eastAsia"/>
        </w:rPr>
        <w:t xml:space="preserve">和</w:t>
      </w:r>
      <w:r>
        <w:t xml:space="preserve"> </w:t>
      </w:r>
      <w:r>
        <w:rPr>
          <w:rFonts w:hint="eastAsia"/>
        </w:rPr>
        <w:t xml:space="preserve">34.1%；中段平台维持阶段改善率约为</w:t>
      </w:r>
      <w:r>
        <w:t xml:space="preserve"> </w:t>
      </w:r>
      <w:r>
        <w:rPr>
          <w:rFonts w:hint="eastAsia"/>
        </w:rPr>
        <w:t xml:space="preserve">3.9%，说明平台震荡期仍是后续优化重点。总体看，DM</w:t>
      </w:r>
      <w:r>
        <w:t xml:space="preserve"> </w:t>
      </w:r>
      <w:r>
        <w:rPr>
          <w:rFonts w:hint="eastAsia"/>
        </w:rPr>
        <w:t xml:space="preserve">检验和方向命中检验提供了支持性统计证据，但样本只有</w:t>
      </w:r>
      <w:r>
        <w:t xml:space="preserve"> 45 </w:t>
      </w:r>
      <w:r>
        <w:rPr>
          <w:rFonts w:hint="eastAsia"/>
        </w:rPr>
        <w:t xml:space="preserve">个可比较交易日，绝对损失</w:t>
      </w:r>
      <w:r>
        <w:t xml:space="preserve"> DM </w:t>
      </w:r>
      <w:r>
        <w:rPr>
          <w:rFonts w:hint="eastAsia"/>
        </w:rPr>
        <w:t xml:space="preserve">检验也接近显著性边界，因此本文不把它写成压倒性证明，而是作为基准对比、滞后检验和机制消融之外的补充验证。Newey–West</w:t>
      </w:r>
      <w:r>
        <w:t xml:space="preserve"> </w:t>
      </w:r>
      <w:r>
        <w:rPr>
          <w:rFonts w:hint="eastAsia"/>
        </w:rPr>
        <w:t xml:space="preserve">回归仅用于刻画拟合路径与真实价格的线性一致性，不被用作独立样本外预测能力或因果识别证明。</w:t>
      </w:r>
    </w:p>
    <w:p>
      <w:pPr>
        <w:pStyle w:val="BodyText"/>
      </w:pPr>
      <w:r>
        <w:t xml:space="preserve">R </w:t>
      </w:r>
      <w:r>
        <w:rPr>
          <w:rFonts w:hint="eastAsia"/>
        </w:rPr>
        <w:t xml:space="preserve">语言用于独立复核</w:t>
      </w:r>
      <w:r>
        <w:t xml:space="preserve"> </w:t>
      </w:r>
      <w:r>
        <w:rPr>
          <w:rFonts w:hint="eastAsia"/>
        </w:rPr>
        <w:t xml:space="preserve">DM、方向命中、Ljung–Box、ADF、ARCH/GARCH</w:t>
      </w:r>
      <w:r>
        <w:t xml:space="preserve"> </w:t>
      </w:r>
      <w:r>
        <w:rPr>
          <w:rFonts w:hint="eastAsia"/>
        </w:rPr>
        <w:t xml:space="preserve">和</w:t>
      </w:r>
      <w:r>
        <w:t xml:space="preserve"> Newey–West </w:t>
      </w:r>
      <w:r>
        <w:rPr>
          <w:rFonts w:hint="eastAsia"/>
        </w:rPr>
        <w:t xml:space="preserve">稳健校准回归等计量检验。R</w:t>
      </w:r>
      <w:r>
        <w:t xml:space="preserve"> </w:t>
      </w:r>
      <w:r>
        <w:rPr>
          <w:rFonts w:hint="eastAsia"/>
        </w:rPr>
        <w:t xml:space="preserve">复核显示，价格水平和对数价格不能拒绝单位根假设，而对数收益率可拒绝单位根假设；GARCH(1,1)</w:t>
      </w:r>
      <w:r>
        <w:t xml:space="preserve"> </w:t>
      </w:r>
      <w:r>
        <w:rPr>
          <w:rFonts w:hint="eastAsia"/>
        </w:rPr>
        <w:t xml:space="preserve">在短样本下提示波动持续性，但不替代机制递推主模型。除计量检验外，本文还使用</w:t>
      </w:r>
      <w:r>
        <w:t xml:space="preserve"> R </w:t>
      </w:r>
      <w:r>
        <w:rPr>
          <w:rFonts w:hint="eastAsia"/>
        </w:rPr>
        <w:t xml:space="preserve">的</w:t>
      </w:r>
      <w:r>
        <w:t xml:space="preserve"> ggplot2 </w:t>
      </w:r>
      <w:r>
        <w:rPr>
          <w:rFonts w:hint="eastAsia"/>
        </w:rPr>
        <w:t xml:space="preserve">对关键证据图进行学术化重绘。</w:t>
      </w:r>
    </w:p>
    <w:p>
      <w:pPr>
        <w:pStyle w:val="CaptionedFigure"/>
      </w:pPr>
      <w:r>
        <w:drawing>
          <wp:inline>
            <wp:extent cx="4907280" cy="2892712"/>
            <wp:effectExtent b="0" l="0" r="0" t="0"/>
            <wp:docPr descr="" title="" id="91" name="Picture"/>
            <a:graphic>
              <a:graphicData uri="http://schemas.openxmlformats.org/drawingml/2006/picture">
                <pic:pic>
                  <pic:nvPicPr>
                    <pic:cNvPr descr="R短期误差学术诊断.png" id="92" name="Picture"/>
                    <pic:cNvPicPr>
                      <a:picLocks noChangeArrowheads="1" noChangeAspect="1"/>
                    </pic:cNvPicPr>
                  </pic:nvPicPr>
                  <pic:blipFill>
                    <a:blip r:embed="rId90"/>
                    <a:stretch>
                      <a:fillRect/>
                    </a:stretch>
                  </pic:blipFill>
                  <pic:spPr bwMode="auto">
                    <a:xfrm>
                      <a:off x="0" y="0"/>
                      <a:ext cx="4907280" cy="289271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短期误差学术诊断。柱形表示每日残差，黑线为</w:t>
      </w:r>
      <w:r>
        <w:t xml:space="preserve"> LOESS </w:t>
      </w:r>
      <w:r>
        <w:rPr>
          <w:rFonts w:hint="eastAsia"/>
        </w:rPr>
        <w:t xml:space="preserve">平滑趋势，用于观察模型是否存在持续系统偏差。</w:t>
      </w:r>
    </w:p>
    <w:bookmarkEnd w:id="93"/>
    <w:bookmarkEnd w:id="94"/>
    <w:bookmarkStart w:id="112" w:name="机制消融事件边界与机器学习辅助"/>
    <w:p>
      <w:pPr>
        <w:pStyle w:val="Heading2"/>
      </w:pPr>
      <w:r>
        <w:rPr>
          <w:rFonts w:hint="eastAsia"/>
        </w:rPr>
        <w:t xml:space="preserve">机制消融、事件边界与机器学习辅助</w:t>
      </w:r>
    </w:p>
    <w:bookmarkStart w:id="95" w:name="机制消融的定量证据"/>
    <w:p>
      <w:pPr>
        <w:pStyle w:val="Heading3"/>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95"/>
    <w:bookmarkStart w:id="96" w:name="机器学习辅助边界"/>
    <w:p>
      <w:pPr>
        <w:pStyle w:val="Heading3"/>
      </w:pPr>
      <w:r>
        <w:rPr>
          <w:rFonts w:hint="eastAsia"/>
        </w:rPr>
        <w:t xml:space="preserve">机器学习辅助边界</w:t>
      </w:r>
    </w:p>
    <w:p>
      <w:pPr>
        <w:pStyle w:val="FirstParagraph"/>
      </w:pPr>
      <w:r>
        <w:rPr>
          <w:rFonts w:hint="eastAsia"/>
        </w:rPr>
        <w:t xml:space="preserve">为检验历史价格特征是否还能进一步修正短期误差，本文使用冲突前历史滞后价格特征训练低自由度</w:t>
      </w:r>
      <w:r>
        <w:t xml:space="preserve"> Ridge </w:t>
      </w:r>
      <w:r>
        <w:rPr>
          <w:rFonts w:hint="eastAsia"/>
        </w:rPr>
        <w:t xml:space="preserve">收益率模型，并只将其作为机制路径的一日收益率辅助修正。结果显示，机制主模型</w:t>
      </w:r>
      <w:r>
        <w:t xml:space="preserve"> RMSE </w:t>
      </w:r>
      <w:r>
        <w:rPr>
          <w:rFonts w:hint="eastAsia"/>
        </w:rPr>
        <w:t xml:space="preserve">为</w:t>
      </w:r>
      <w:r>
        <w:t xml:space="preserve"> </w:t>
      </w:r>
      <w:r>
        <w:rPr>
          <w:rFonts w:hint="eastAsia"/>
        </w:rPr>
        <w:t xml:space="preserve">3.440，机制+Ridge</w:t>
      </w:r>
      <w:r>
        <w:t xml:space="preserve"> </w:t>
      </w:r>
      <w:r>
        <w:rPr>
          <w:rFonts w:hint="eastAsia"/>
        </w:rPr>
        <w:t xml:space="preserve">收益率修正后</w:t>
      </w:r>
      <w:r>
        <w:t xml:space="preserve"> RMSE </w:t>
      </w:r>
      <w:r>
        <w:rPr>
          <w:rFonts w:hint="eastAsia"/>
        </w:rPr>
        <w:t xml:space="preserve">降至</w:t>
      </w:r>
      <w:r>
        <w:t xml:space="preserve"> </w:t>
      </w:r>
      <w:r>
        <w:rPr>
          <w:rFonts w:hint="eastAsia"/>
        </w:rPr>
        <w:t xml:space="preserve">3.355，方向命中率升至</w:t>
      </w:r>
      <w:r>
        <w:t xml:space="preserve"> </w:t>
      </w:r>
      <w:r>
        <w:rPr>
          <w:rFonts w:hint="eastAsia"/>
        </w:rPr>
        <w:t xml:space="preserve">68.9%；但纯历史</w:t>
      </w:r>
      <w:r>
        <w:t xml:space="preserve"> Ridge </w:t>
      </w:r>
      <w:r>
        <w:rPr>
          <w:rFonts w:hint="eastAsia"/>
        </w:rPr>
        <w:t xml:space="preserve">模型</w:t>
      </w:r>
      <w:r>
        <w:t xml:space="preserve"> RMSE </w:t>
      </w:r>
      <w:r>
        <w:rPr>
          <w:rFonts w:hint="eastAsia"/>
        </w:rPr>
        <w:t xml:space="preserve">为</w:t>
      </w:r>
      <w:r>
        <w:t xml:space="preserve"> </w:t>
      </w:r>
      <w:r>
        <w:rPr>
          <w:rFonts w:hint="eastAsia"/>
        </w:rPr>
        <w:t xml:space="preserve">4.557，且历史</w:t>
      </w:r>
      <w:r>
        <w:t xml:space="preserve"> 46 </w:t>
      </w:r>
      <w:r>
        <w:rPr>
          <w:rFonts w:hint="eastAsia"/>
        </w:rPr>
        <w:t xml:space="preserve">日滚动验证中只有</w:t>
      </w:r>
      <w:r>
        <w:t xml:space="preserve"> 44.0% </w:t>
      </w:r>
      <w:r>
        <w:rPr>
          <w:rFonts w:hint="eastAsia"/>
        </w:rPr>
        <w:t xml:space="preserve">的窗口稳定优于朴素基准。因此，机器学习层的正确角色是修正短期收益惯性，而不是替代霍尔木兹封锁机制本身。完整在线残差校正表和辅助图随项目输出保留，正文仅保留这一结论。</w:t>
      </w:r>
    </w:p>
    <w:bookmarkEnd w:id="96"/>
    <w:bookmarkStart w:id="100" w:name="拐点预测步长与事件边界"/>
    <w:p>
      <w:pPr>
        <w:pStyle w:val="Heading3"/>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98" name="Picture"/>
            <a:graphic>
              <a:graphicData uri="http://schemas.openxmlformats.org/drawingml/2006/picture">
                <pic:pic>
                  <pic:nvPicPr>
                    <pic:cNvPr descr="短期模型拐点局部检验.png" id="99" name="Picture"/>
                    <pic:cNvPicPr>
                      <a:picLocks noChangeArrowheads="1" noChangeAspect="1"/>
                    </pic:cNvPicPr>
                  </pic:nvPicPr>
                  <pic:blipFill>
                    <a:blip r:embed="rId97"/>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从侧面印证了本模型高度特化于霍尔木兹封锁事件下的系统机制解释，具有清晰的场景适用边界。论文结论应限定在极端地缘冲突下的条件路径解释与情景预测，不能外推为普通时期的通用短线预测模型。</w:t>
      </w:r>
    </w:p>
    <w:bookmarkEnd w:id="100"/>
    <w:bookmarkStart w:id="108" w:name="参数自由度与稳健性区间"/>
    <w:p>
      <w:pPr>
        <w:pStyle w:val="Heading3"/>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美元/桶区间。这个结果意味着，价格平台并不依赖唯一一组精确参数点；但较大扰动会削弱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102" name="Picture"/>
            <a:graphic>
              <a:graphicData uri="http://schemas.openxmlformats.org/drawingml/2006/picture">
                <pic:pic>
                  <pic:nvPicPr>
                    <pic:cNvPr descr="短期模型稳健性带.png" id="103" name="Picture"/>
                    <pic:cNvPicPr>
                      <a:picLocks noChangeArrowheads="1" noChangeAspect="1"/>
                    </pic:cNvPicPr>
                  </pic:nvPicPr>
                  <pic:blipFill>
                    <a:blip r:embed="rId101"/>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p>
      <w:pPr>
        <w:pStyle w:val="BodyText"/>
      </w:pPr>
      <w:r>
        <w:rPr>
          <w:rFonts w:hint="eastAsia"/>
        </w:rPr>
        <w:t xml:space="preserve">针对多目标校准权重可能成为隐藏超参数的问题，本文进一步对已保存的前</w:t>
      </w:r>
      <w:r>
        <w:t xml:space="preserve"> 10 </w:t>
      </w:r>
      <w:r>
        <w:rPr>
          <w:rFonts w:hint="eastAsia"/>
        </w:rPr>
        <w:t xml:space="preserve">个候选参数进行权重敏感性重排。将峰值误差、末日误差、分段</w:t>
      </w:r>
      <w:r>
        <w:t xml:space="preserve"> RMSE </w:t>
      </w:r>
      <w:r>
        <w:rPr>
          <w:rFonts w:hint="eastAsia"/>
        </w:rPr>
        <w:t xml:space="preserve">等权重整体上调或下调</w:t>
      </w:r>
      <w:r>
        <w:t xml:space="preserve"> </w:t>
      </w:r>
      <w:r>
        <w:rPr>
          <w:rFonts w:hint="eastAsia"/>
        </w:rPr>
        <w:t xml:space="preserve">20%，并分别强化峰值末日、分段误差和平台误差后，当前综合最优候选在</w:t>
      </w:r>
      <w:r>
        <w:t xml:space="preserve"> 6/6 </w:t>
      </w:r>
      <w:r>
        <w:rPr>
          <w:rFonts w:hint="eastAsia"/>
        </w:rPr>
        <w:t xml:space="preserve">个权重情景下仍保持第一。该检验不等同于重新全局校准，但说明当前候选并非只依赖某一组精确权重偶然胜出。</w:t>
      </w:r>
    </w:p>
    <w:p>
      <w:pPr>
        <w:pStyle w:val="BodyText"/>
      </w:pPr>
      <w:r>
        <w:rPr>
          <w:rFonts w:hint="eastAsia"/>
        </w:rPr>
        <w:t xml:space="preserve">最后，本文将短期模型质量拆成拟合精度、基准优势、机器学习辅助、历史滚动验证、滞后复制风险、拐点解释、分段稳定性、参数稳健性和残差结构九个维度，形成最终质量闸门，汇总结果见图</w:t>
      </w:r>
      <w:r>
        <w:t xml:space="preserve"> </w:t>
      </w:r>
      <w:hyperlink w:anchor="fig:short-quality-gate">
        <w:r>
          <w:rPr>
            <w:rStyle w:val="Hyperlink"/>
          </w:rPr>
          <w:t xml:space="preserve">5</w:t>
        </w:r>
      </w:hyperlink>
      <w:r>
        <w:rPr>
          <w:rFonts w:hint="eastAsia"/>
        </w:rPr>
        <w:t xml:space="preserve">。当前平均评分为</w:t>
      </w:r>
      <w:r>
        <w:t xml:space="preserve"> </w:t>
      </w:r>
      <w:r>
        <w:rPr>
          <w:rFonts w:hint="eastAsia"/>
        </w:rPr>
        <w:t xml:space="preserve">4.54/5，其中</w:t>
      </w:r>
      <w:r>
        <w:t xml:space="preserve"> 5 </w:t>
      </w:r>
      <w:r>
        <w:rPr>
          <w:rFonts w:hint="eastAsia"/>
        </w:rPr>
        <w:t xml:space="preserve">个维度直接通过、4</w:t>
      </w:r>
      <w:r>
        <w:t xml:space="preserve"> </w:t>
      </w:r>
      <w:r>
        <w:rPr>
          <w:rFonts w:hint="eastAsia"/>
        </w:rPr>
        <w:t xml:space="preserve">个维度谨慎通过。谨慎通过项主要对应机器学习辅助的边界、拐点幅度不能完全捕捉以及金融残差的波动聚集迹象；这些并不推翻主模型，而是限定了论文表述边界。</w:t>
      </w:r>
    </w:p>
    <w:bookmarkStart w:id="107" w:name="fig:short-quality-gate"/>
    <w:p>
      <w:pPr>
        <w:pStyle w:val="CaptionedFigure"/>
      </w:pPr>
      <w:r>
        <w:drawing>
          <wp:inline>
            <wp:extent cx="4160520" cy="3874484"/>
            <wp:effectExtent b="0" l="0" r="0" t="0"/>
            <wp:docPr descr="" title="" id="105" name="Picture"/>
            <a:graphic>
              <a:graphicData uri="http://schemas.openxmlformats.org/drawingml/2006/picture">
                <pic:pic>
                  <pic:nvPicPr>
                    <pic:cNvPr descr="短期模型最终质量雷达图.png" id="106" name="Picture"/>
                    <pic:cNvPicPr>
                      <a:picLocks noChangeArrowheads="1" noChangeAspect="1"/>
                    </pic:cNvPicPr>
                  </pic:nvPicPr>
                  <pic:blipFill>
                    <a:blip r:embed="rId104"/>
                    <a:stretch>
                      <a:fillRect/>
                    </a:stretch>
                  </pic:blipFill>
                  <pic:spPr bwMode="auto">
                    <a:xfrm>
                      <a:off x="0" y="0"/>
                      <a:ext cx="4160520" cy="3874484"/>
                    </a:xfrm>
                    <a:prstGeom prst="rect">
                      <a:avLst/>
                    </a:prstGeom>
                    <a:noFill/>
                    <a:ln w="9525">
                      <a:noFill/>
                      <a:headEnd/>
                      <a:tailEnd/>
                    </a:ln>
                  </pic:spPr>
                </pic:pic>
              </a:graphicData>
            </a:graphic>
          </wp:inline>
        </w:drawing>
      </w:r>
    </w:p>
    <w:p>
      <w:pPr>
        <w:pStyle w:val="ImageCaption"/>
      </w:pPr>
      <w:r>
        <w:rPr>
          <w:rFonts w:hint="eastAsia"/>
        </w:rPr>
        <w:t xml:space="preserve">短期模型最终质量闸门评分。该图用于汇总短期模型在拟合、基准、稳健性和边界检验上的综合表现。</w:t>
      </w:r>
    </w:p>
    <w:bookmarkEnd w:id="107"/>
    <w:bookmarkEnd w:id="108"/>
    <w:bookmarkStart w:id="109" w:name="内生性反事实基准与结构边界"/>
    <w:p>
      <w:pPr>
        <w:pStyle w:val="Heading3"/>
      </w:pPr>
      <w:r>
        <w:rPr>
          <w:rFonts w:hint="eastAsia"/>
        </w:rPr>
        <w:t xml:space="preserve">内生性、反事实基准与结构边界</w:t>
      </w:r>
    </w:p>
    <w:p>
      <w:pPr>
        <w:pStyle w:val="FirstParagraph"/>
      </w:pPr>
      <w:r>
        <w:rPr>
          <w:rFonts w:hint="eastAsia"/>
        </w:rPr>
        <w:t xml:space="preserve">关于恐慌变量的内生性问题，本文当前未使用</w:t>
      </w:r>
      <w:r>
        <w:t xml:space="preserve"> AI Agent </w:t>
      </w:r>
      <w:r>
        <w:rPr>
          <w:rFonts w:hint="eastAsia"/>
        </w:rPr>
        <w:t xml:space="preserve">新闻爬虫数据，也未把新闻情绪序列作为模型输入。模型中的恐慌初始强度和恐慌衰减速度用于刻画冲突初期风险溢价衰减，而不是由新闻文本统计得到的外生恐慌指数。若后续加入新闻情绪模块，应使用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w:t>
      </w:r>
    </w:p>
    <w:p>
      <w:pPr>
        <w:pStyle w:val="BodyText"/>
      </w:pPr>
      <w:r>
        <w:rPr>
          <w:rFonts w:hint="eastAsia"/>
        </w:rPr>
        <w:t xml:space="preserve">关于</w:t>
      </w:r>
      <w:r>
        <w:t xml:space="preserve"> 200 </w:t>
      </w:r>
      <w:r>
        <w:rPr>
          <w:rFonts w:hint="eastAsia"/>
        </w:rPr>
        <w:t xml:space="preserve">美元以上反事实基准，传统供需模型的高价结果来自低短期弹性条件下的线性需求反事实基准，而不是现实预测；常弹性需求口径只作为机械上界参照。弹性敏感性检验显示，当需求价格弹性由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时，线性需求反事实价格会明显下降，部分情景已经接近或低于</w:t>
      </w:r>
      <w:r>
        <w:t xml:space="preserve"> 120 </w:t>
      </w:r>
      <w:r>
        <w:rPr>
          <w:rFonts w:hint="eastAsia"/>
        </w:rPr>
        <w:t xml:space="preserve">美元/桶。因此，本文要论证的是：低短期弹性静态供需模型会显著高估现实价格，需要引入库存、SPR、绕道、需求收缩、价格传导折价和预期修复等动态机制解释现实平台。</w:t>
      </w:r>
    </w:p>
    <w:p>
      <w:pPr>
        <w:pStyle w:val="BodyText"/>
      </w:pPr>
      <w:r>
        <w:rPr>
          <w:rFonts w:hint="eastAsia"/>
        </w:rPr>
        <w:t xml:space="preserve">最后，本文检查递推结构的价格边界。短期动态递推函数没有设置</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美元只作为题面观测参考区间出现在图表阴影和展示配置中，不参与价格递推计算。当前模型更准确的表述是机制递推模型：它可以说明</w:t>
      </w:r>
      <w:r>
        <w:t xml:space="preserve"> 120 </w:t>
      </w:r>
      <w:r>
        <w:rPr>
          <w:rFonts w:hint="eastAsia"/>
        </w:rPr>
        <w:t xml:space="preserve">美元平台不是外生价格上限，但不声称已经实现了多智能体动态纳什均衡。</w:t>
      </w:r>
    </w:p>
    <w:bookmarkEnd w:id="109"/>
    <w:bookmarkStart w:id="111" w:name="鲁棒性与边界检验总览"/>
    <w:p>
      <w:pPr>
        <w:pStyle w:val="Heading3"/>
      </w:pPr>
      <w:r>
        <w:rPr>
          <w:rFonts w:hint="eastAsia"/>
        </w:rPr>
        <w:t xml:space="preserve">鲁棒性与边界检验总览</w:t>
      </w:r>
    </w:p>
    <w:p>
      <w:pPr>
        <w:pStyle w:val="FirstParagraph"/>
      </w:pPr>
      <w:r>
        <w:rPr>
          <w:rFonts w:hint="eastAsia"/>
        </w:rPr>
        <w:t xml:space="preserve">本文将关键不确定性来源转化为鲁棒性与边界检验。表</w:t>
      </w:r>
      <w:r>
        <w:t xml:space="preserve"> </w:t>
      </w:r>
      <w:hyperlink w:anchor="tab:adversarial-tests">
        <w:r>
          <w:rPr>
            <w:rStyle w:val="Hyperlink"/>
          </w:rPr>
          <w:t xml:space="preserve">4</w:t>
        </w:r>
      </w:hyperlink>
      <w:r>
        <w:t xml:space="preserve"> </w:t>
      </w:r>
      <w:r>
        <w:rPr>
          <w:rFonts w:hint="eastAsia"/>
        </w:rPr>
        <w:t xml:space="preserve">中的检验均不重新寻找最优参数，而是在同一模型框架下改变某个关键条件，观察主结论是否保持稳定。</w:t>
      </w:r>
    </w:p>
    <w:bookmarkStart w:id="110" w:name="tab:adversarial-tests"/>
    <w:p>
      <w:pPr>
        <w:pStyle w:val="TableCaption"/>
      </w:pPr>
      <w:r>
        <w:rPr>
          <w:rFonts w:hint="eastAsia"/>
        </w:rPr>
        <w:t xml:space="preserve">鲁棒性与边界检验总览</w:t>
      </w:r>
    </w:p>
    <w:tbl>
      <w:tblPr>
        <w:tblStyle w:val="Table"/>
        <w:tblW w:type="auto" w:w="0"/>
        <w:tblLook w:firstRow="1" w:lastRow="0" w:firstColumn="0" w:lastColumn="0" w:noHBand="0" w:noVBand="0" w:val="0020"/>
        <w:tblCaption w:val="鲁棒性与边界检验总览"/>
      </w:tblPr>
      <w:tblGrid>
        <w:gridCol w:w="1980"/>
        <w:gridCol w:w="1980"/>
        <w:gridCol w:w="1980"/>
        <w:gridCol w:w="1980"/>
      </w:tblGrid>
      <w:tr>
        <w:trPr>
          <w:tblHeader w:val="on"/>
        </w:trPr>
        <w:tc>
          <w:tcPr/>
          <w:p>
            <w:pPr>
              <w:pStyle w:val="Compact"/>
              <w:jc w:val="left"/>
            </w:pPr>
            <w:r>
              <w:rPr>
                <w:rFonts w:hint="eastAsia"/>
              </w:rPr>
              <w:t xml:space="preserve">检验假设</w:t>
            </w:r>
          </w:p>
        </w:tc>
        <w:tc>
          <w:tcPr/>
          <w:p>
            <w:pPr>
              <w:pStyle w:val="Compact"/>
              <w:jc w:val="left"/>
            </w:pPr>
            <w:r>
              <w:rPr>
                <w:rFonts w:hint="eastAsia"/>
              </w:rPr>
              <w:t xml:space="preserve">检验方式</w:t>
            </w:r>
          </w:p>
        </w:tc>
        <w:tc>
          <w:tcPr/>
          <w:p>
            <w:pPr>
              <w:pStyle w:val="Compact"/>
              <w:jc w:val="left"/>
            </w:pPr>
            <w:r>
              <w:rPr>
                <w:rFonts w:hint="eastAsia"/>
              </w:rPr>
              <w:t xml:space="preserve">关键结果</w:t>
            </w:r>
          </w:p>
        </w:tc>
        <w:tc>
          <w:tcPr/>
          <w:p>
            <w:pPr>
              <w:pStyle w:val="Compact"/>
              <w:jc w:val="left"/>
            </w:pPr>
            <w:r>
              <w:rPr>
                <w:rFonts w:hint="eastAsia"/>
              </w:rPr>
              <w:t xml:space="preserve">论文含义</w:t>
            </w:r>
          </w:p>
        </w:tc>
      </w:tr>
      <w:tr>
        <w:tc>
          <w:tcPr/>
          <w:p>
            <w:pPr>
              <w:pStyle w:val="Compact"/>
              <w:jc w:val="left"/>
            </w:pPr>
            <w:r>
              <w:rPr>
                <w:rFonts w:hint="eastAsia"/>
              </w:rPr>
              <w:t xml:space="preserve">相对朴素基准的有效性</w:t>
            </w:r>
          </w:p>
        </w:tc>
        <w:tc>
          <w:tcPr/>
          <w:p>
            <w:pPr>
              <w:pStyle w:val="Compact"/>
              <w:jc w:val="left"/>
            </w:pPr>
            <w:r>
              <w:rPr>
                <w:rFonts w:hint="eastAsia"/>
              </w:rPr>
              <w:t xml:space="preserve">与上一日价格、三日均值、漂移随机游走和滚动</w:t>
            </w:r>
            <w:r>
              <w:t xml:space="preserve"> ARIMA </w:t>
            </w:r>
            <w:r>
              <w:rPr>
                <w:rFonts w:hint="eastAsia"/>
              </w:rPr>
              <w:t xml:space="preserve">比较</w:t>
            </w:r>
          </w:p>
        </w:tc>
        <w:tc>
          <w:tcPr/>
          <w:p>
            <w:pPr>
              <w:pStyle w:val="Compact"/>
              <w:jc w:val="left"/>
            </w:pPr>
            <w:r>
              <w:rPr>
                <w:rFonts w:hint="eastAsia"/>
              </w:rPr>
              <w:t xml:space="preserve">可比样本</w:t>
            </w:r>
            <w:r>
              <w:t xml:space="preserve"> RMSE </w:t>
            </w:r>
            <w:r>
              <w:rPr>
                <w:rFonts w:hint="eastAsia"/>
              </w:rPr>
              <w:t xml:space="preserve">为</w:t>
            </w:r>
            <w:r>
              <w:t xml:space="preserve"> </w:t>
            </w:r>
            <w:r>
              <w:rPr>
                <w:rFonts w:hint="eastAsia"/>
              </w:rPr>
              <w:t xml:space="preserve">3.47，朴素基准为</w:t>
            </w:r>
            <w:r>
              <w:t xml:space="preserve"> </w:t>
            </w:r>
            <w:r>
              <w:rPr>
                <w:rFonts w:hint="eastAsia"/>
              </w:rPr>
              <w:t xml:space="preserve">4.52；DM</w:t>
            </w:r>
            <w:r>
              <w:t xml:space="preserve"> </w:t>
            </w:r>
            <w:r>
              <w:rPr>
                <w:rFonts w:hint="eastAsia"/>
              </w:rPr>
              <w:t xml:space="preserve">平方损失单侧</w:t>
            </w:r>
            <w:r>
              <w:t xml:space="preserve"> </w:t>
            </w:r>
            <m:oMath>
              <m:r>
                <m:t>p</m:t>
              </m:r>
              <m:r>
                <m:rPr>
                  <m:sty m:val="p"/>
                </m:rPr>
                <m:t>=</m:t>
              </m:r>
              <m:r>
                <m:t>0.023</m:t>
              </m:r>
            </m:oMath>
          </w:p>
        </w:tc>
        <w:tc>
          <w:tcPr/>
          <w:p>
            <w:pPr>
              <w:pStyle w:val="Compact"/>
              <w:jc w:val="left"/>
            </w:pPr>
            <w:r>
              <w:rPr>
                <w:rFonts w:hint="eastAsia"/>
              </w:rPr>
              <w:t xml:space="preserve">机制递推模型相对无变化预测具有误差优势</w:t>
            </w:r>
          </w:p>
        </w:tc>
      </w:tr>
      <w:tr>
        <w:tc>
          <w:tcPr/>
          <w:p>
            <w:pPr>
              <w:pStyle w:val="Compact"/>
              <w:jc w:val="left"/>
            </w:pPr>
            <w:r>
              <w:rPr>
                <w:rFonts w:hint="eastAsia"/>
              </w:rPr>
              <w:t xml:space="preserve">滞后复制风险</w:t>
            </w:r>
          </w:p>
        </w:tc>
        <w:tc>
          <w:tcPr/>
          <w:p>
            <w:pPr>
              <w:pStyle w:val="Compact"/>
              <w:jc w:val="left"/>
            </w:pPr>
            <w:r>
              <w:rPr>
                <w:rFonts w:hint="eastAsia"/>
              </w:rPr>
              <w:t xml:space="preserve">平移检验、拐点局部检验和残差自相关检验</w:t>
            </w:r>
          </w:p>
        </w:tc>
        <w:tc>
          <w:tcPr/>
          <w:p>
            <w:pPr>
              <w:pStyle w:val="Compact"/>
              <w:jc w:val="left"/>
            </w:pPr>
            <w:r>
              <w:t xml:space="preserve">Ljung–Box lag10</w:t>
            </w:r>
            <w:r>
              <w:t xml:space="preserve"> </w:t>
            </w:r>
            <m:oMath>
              <m:r>
                <m:t>p</m:t>
              </m:r>
              <m:r>
                <m:rPr>
                  <m:sty m:val="p"/>
                </m:rPr>
                <m:t>=</m:t>
              </m:r>
              <m:r>
                <m:t>0.364</m:t>
              </m:r>
            </m:oMath>
            <w:r>
              <w:rPr>
                <w:rFonts w:hint="eastAsia"/>
              </w:rPr>
              <w:t xml:space="preserve">，未发现显著线性残差自相关</w:t>
            </w:r>
          </w:p>
        </w:tc>
        <w:tc>
          <w:tcPr/>
          <w:p>
            <w:pPr>
              <w:pStyle w:val="Compact"/>
              <w:jc w:val="left"/>
            </w:pPr>
            <w:r>
              <w:rPr>
                <w:rFonts w:hint="eastAsia"/>
              </w:rPr>
              <w:t xml:space="preserve">拟合曲线没有明显依赖</w:t>
            </w:r>
            <w:r>
              <w:rPr>
                <w:rFonts w:hint="eastAsia"/>
              </w:rPr>
              <w:t xml:space="preserve">“昨天当今天”</w:t>
            </w:r>
            <w:r>
              <w:rPr>
                <w:rFonts w:hint="eastAsia"/>
              </w:rPr>
              <w:t xml:space="preserve">的滞后复制</w:t>
            </w:r>
          </w:p>
        </w:tc>
      </w:tr>
      <w:tr>
        <w:tc>
          <w:tcPr/>
          <w:p>
            <w:pPr>
              <w:pStyle w:val="Compact"/>
              <w:jc w:val="left"/>
            </w:pPr>
            <w:r>
              <w:rPr>
                <w:rFonts w:hint="eastAsia"/>
              </w:rPr>
              <w:t xml:space="preserve">题面弹性与价格传导的区分</w:t>
            </w:r>
          </w:p>
        </w:tc>
        <w:tc>
          <w:tcPr/>
          <w:p>
            <w:pPr>
              <w:pStyle w:val="Compact"/>
              <w:jc w:val="left"/>
            </w:pPr>
            <w:r>
              <w:rPr>
                <w:rFonts w:hint="eastAsia"/>
              </w:rPr>
              <w:t xml:space="preserve">将价格传导系数强制设为</w:t>
            </w:r>
            <w:r>
              <w:t xml:space="preserve"> </w:t>
            </w:r>
            <m:oMath>
              <m:r>
                <m:t>ϕ</m:t>
              </m:r>
              <m:r>
                <m:rPr>
                  <m:sty m:val="p"/>
                </m:rPr>
                <m:t>=</m:t>
              </m:r>
              <m:r>
                <m:t>1</m:t>
              </m:r>
            </m:oMath>
          </w:p>
        </w:tc>
        <w:tc>
          <w:tcPr/>
          <w:p>
            <w:pPr>
              <w:pStyle w:val="Compact"/>
              <w:jc w:val="left"/>
            </w:pPr>
            <w:r>
              <w:t xml:space="preserve">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w:t>
            </w:r>
          </w:p>
        </w:tc>
        <w:tc>
          <w:tcPr/>
          <w:p>
            <w:pPr>
              <w:pStyle w:val="Compact"/>
              <w:jc w:val="left"/>
            </w:pPr>
            <w:r>
              <w:rPr>
                <w:rFonts w:hint="eastAsia"/>
              </w:rPr>
              <w:t xml:space="preserve">题面低弹性用于反事实上界，</w:t>
            </w:r>
            <m:oMath>
              <m:r>
                <m:t>ϕ</m:t>
              </m:r>
            </m:oMath>
            <w:r>
              <w:t xml:space="preserve"> </w:t>
            </w:r>
            <w:r>
              <w:rPr>
                <w:rFonts w:hint="eastAsia"/>
              </w:rPr>
              <w:t xml:space="preserve">是期货市场折价传导参数</w:t>
            </w:r>
          </w:p>
        </w:tc>
      </w:tr>
      <w:tr>
        <w:tc>
          <w:tcPr/>
          <w:p>
            <w:pPr>
              <w:pStyle w:val="Compact"/>
              <w:jc w:val="left"/>
            </w:pPr>
            <w:r>
              <w:rPr>
                <w:rFonts w:hint="eastAsia"/>
              </w:rPr>
              <w:t xml:space="preserve">参数扰动稳定性</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扰动和</w:t>
            </w:r>
            <w:r>
              <w:t xml:space="preserve"> 800 </w:t>
            </w:r>
            <w:r>
              <w:rPr>
                <w:rFonts w:hint="eastAsia"/>
              </w:rPr>
              <w:t xml:space="preserve">组局部扰动</w:t>
            </w:r>
          </w:p>
        </w:tc>
        <w:tc>
          <w:tcPr/>
          <w:p>
            <w:pPr>
              <w:pStyle w:val="Compact"/>
              <w:jc w:val="left"/>
            </w:pPr>
            <w:r>
              <w:t xml:space="preserve">96.6% </w:t>
            </w:r>
            <w:r>
              <w:rPr>
                <w:rFonts w:hint="eastAsia"/>
              </w:rPr>
              <w:t xml:space="preserve">扰动样本峰值仍在</w:t>
            </w:r>
            <w:r>
              <w:t xml:space="preserve"> 105–125 </w:t>
            </w:r>
            <w:r>
              <w:rPr>
                <w:rFonts w:hint="eastAsia"/>
              </w:rPr>
              <w:t xml:space="preserve">美元/桶，局部优秀率</w:t>
            </w:r>
            <w:r>
              <w:t xml:space="preserve"> 99.4%</w:t>
            </w:r>
          </w:p>
        </w:tc>
        <w:tc>
          <w:tcPr/>
          <w:p>
            <w:pPr>
              <w:pStyle w:val="Compact"/>
              <w:jc w:val="left"/>
            </w:pPr>
            <w:r>
              <w:rPr>
                <w:rFonts w:hint="eastAsia"/>
              </w:rPr>
              <w:t xml:space="preserve">价格平台不依赖唯一一组参数点</w:t>
            </w:r>
          </w:p>
        </w:tc>
      </w:tr>
      <w:tr>
        <w:tc>
          <w:tcPr/>
          <w:p>
            <w:pPr>
              <w:pStyle w:val="Compact"/>
              <w:jc w:val="left"/>
            </w:pPr>
            <w:r>
              <w:rPr>
                <w:rFonts w:hint="eastAsia"/>
              </w:rPr>
              <w:t xml:space="preserve">长期点预测边界</w:t>
            </w:r>
          </w:p>
        </w:tc>
        <w:tc>
          <w:tcPr/>
          <w:p>
            <w:pPr>
              <w:pStyle w:val="Compact"/>
              <w:jc w:val="left"/>
            </w:pPr>
            <w:r>
              <w:rPr>
                <w:rFonts w:hint="eastAsia"/>
              </w:rPr>
              <w:t xml:space="preserve">蒙特卡洛</w:t>
            </w:r>
            <w:r>
              <w:t xml:space="preserve"> 2000 </w:t>
            </w:r>
            <w:r>
              <w:rPr>
                <w:rFonts w:hint="eastAsia"/>
              </w:rPr>
              <w:t xml:space="preserve">条条件路径与三情景中心线对比</w:t>
            </w:r>
          </w:p>
        </w:tc>
        <w:tc>
          <w:tcPr/>
          <w:p>
            <w:pPr>
              <w:pStyle w:val="Compact"/>
              <w:jc w:val="left"/>
            </w:pPr>
            <w:r>
              <w:rPr>
                <w:rFonts w:hint="eastAsia"/>
              </w:rPr>
              <w:t xml:space="preserve">第</w:t>
            </w:r>
            <w:r>
              <w:t xml:space="preserve"> 180 </w:t>
            </w:r>
            <w:r>
              <w:rPr>
                <w:rFonts w:hint="eastAsia"/>
              </w:rPr>
              <w:t xml:space="preserve">天</w:t>
            </w:r>
            <w:r>
              <w:t xml:space="preserve"> P05–P95 </w:t>
            </w:r>
            <w:r>
              <w:rPr>
                <w:rFonts w:hint="eastAsia"/>
              </w:rPr>
              <w:t xml:space="preserve">为</w:t>
            </w:r>
            <w:r>
              <w:t xml:space="preserve"> 89.58–106.44 </w:t>
            </w:r>
            <w:r>
              <w:rPr>
                <w:rFonts w:hint="eastAsia"/>
              </w:rPr>
              <w:t xml:space="preserve">美元/桶，突破</w:t>
            </w:r>
            <w:r>
              <w:t xml:space="preserve"> 120 </w:t>
            </w:r>
            <w:r>
              <w:rPr>
                <w:rFonts w:hint="eastAsia"/>
              </w:rPr>
              <w:t xml:space="preserve">概率约</w:t>
            </w:r>
            <w:r>
              <w:t xml:space="preserve"> 16.3%</w:t>
            </w:r>
          </w:p>
        </w:tc>
        <w:tc>
          <w:tcPr/>
          <w:p>
            <w:pPr>
              <w:pStyle w:val="Compact"/>
              <w:jc w:val="left"/>
            </w:pPr>
            <w:r>
              <w:rPr>
                <w:rFonts w:hint="eastAsia"/>
              </w:rPr>
              <w:t xml:space="preserve">长期结论应读作条件区间和尾部风险，而非精确日度预测</w:t>
            </w:r>
          </w:p>
        </w:tc>
      </w:tr>
      <w:tr>
        <w:tc>
          <w:tcPr/>
          <w:p>
            <w:pPr>
              <w:pStyle w:val="Compact"/>
              <w:jc w:val="left"/>
            </w:pPr>
            <w:r>
              <w:rPr>
                <w:rFonts w:hint="eastAsia"/>
              </w:rPr>
              <w:t xml:space="preserve">长期制度风险边界</w:t>
            </w:r>
          </w:p>
        </w:tc>
        <w:tc>
          <w:tcPr/>
          <w:p>
            <w:pPr>
              <w:pStyle w:val="Compact"/>
              <w:jc w:val="left"/>
            </w:pPr>
            <w:r>
              <w:rPr>
                <w:rFonts w:hint="eastAsia"/>
              </w:rPr>
              <w:t xml:space="preserve">将不确定性溢价减半或随时间强制衰减</w:t>
            </w:r>
          </w:p>
        </w:tc>
        <w:tc>
          <w:tcPr/>
          <w:p>
            <w:pPr>
              <w:pStyle w:val="Compact"/>
              <w:jc w:val="left"/>
            </w:pPr>
            <w:r>
              <w:rPr>
                <w:rFonts w:hint="eastAsia"/>
              </w:rPr>
              <w:t xml:space="preserve">中性第</w:t>
            </w:r>
            <w:r>
              <w:t xml:space="preserve"> 180 </w:t>
            </w:r>
            <w:r>
              <w:rPr>
                <w:rFonts w:hint="eastAsia"/>
              </w:rPr>
              <w:t xml:space="preserve">天降至</w:t>
            </w:r>
            <w:r>
              <w:t xml:space="preserve"> 89.15 </w:t>
            </w:r>
            <w:r>
              <w:rPr>
                <w:rFonts w:hint="eastAsia"/>
              </w:rPr>
              <w:t xml:space="preserve">或</w:t>
            </w:r>
            <w:r>
              <w:t xml:space="preserve"> 87.82 </w:t>
            </w:r>
            <w:r>
              <w:rPr>
                <w:rFonts w:hint="eastAsia"/>
              </w:rPr>
              <w:t xml:space="preserve">美元/桶，悲观仍保留</w:t>
            </w:r>
            <w:r>
              <w:t xml:space="preserve"> 99.80–101.27 </w:t>
            </w:r>
            <w:r>
              <w:rPr>
                <w:rFonts w:hint="eastAsia"/>
              </w:rPr>
              <w:t xml:space="preserve">美元/桶压力</w:t>
            </w:r>
          </w:p>
        </w:tc>
        <w:tc>
          <w:tcPr/>
          <w:p>
            <w:pPr>
              <w:pStyle w:val="Compact"/>
              <w:jc w:val="left"/>
            </w:pPr>
            <w:r>
              <w:rPr>
                <w:rFonts w:hint="eastAsia"/>
              </w:rPr>
              <w:t xml:space="preserve">制度风险影响长期平衡点，但悲观尾部仍来自多因素组合</w:t>
            </w:r>
          </w:p>
        </w:tc>
      </w:tr>
    </w:tbl>
    <w:bookmarkEnd w:id="110"/>
    <w:bookmarkEnd w:id="111"/>
    <w:bookmarkEnd w:id="112"/>
    <w:bookmarkEnd w:id="113"/>
    <w:bookmarkStart w:id="134" w:name="天三情景预测"/>
    <w:p>
      <w:pPr>
        <w:pStyle w:val="Heading1"/>
      </w:pPr>
      <w:r>
        <w:t xml:space="preserve">60–180 </w:t>
      </w:r>
      <w:r>
        <w:rPr>
          <w:rFonts w:hint="eastAsia"/>
        </w:rPr>
        <w:t xml:space="preserve">天三情景预测</w:t>
      </w:r>
    </w:p>
    <w:bookmarkStart w:id="114" w:name="情景设定"/>
    <w:p>
      <w:pPr>
        <w:pStyle w:val="Heading2"/>
      </w:pPr>
      <w:r>
        <w:rPr>
          <w:rFonts w:hint="eastAsia"/>
        </w:rPr>
        <w:t xml:space="preserve">情景设定</w:t>
      </w:r>
    </w:p>
    <w:p>
      <w:pPr>
        <w:pStyle w:val="FirstParagraph"/>
      </w:pPr>
      <w:r>
        <w:rPr>
          <w:rFonts w:hint="eastAsia"/>
        </w:rPr>
        <w:t xml:space="preserve">长期情景预测在综合最优参数基础上构建乐观、中性和悲观三种情景。附件真实价格只覆盖到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的表述。三情景曲线表示条件中心路径，而不是未来每日收盘价的精确点预测；其可信度由机制一致性、官方外生数据校验、敏感性分析、蒙特卡洛概率区间和状态转移扰动共同评价。</w:t>
      </w:r>
    </w:p>
    <w:p>
      <w:pPr>
        <w:pStyle w:val="BodyText"/>
      </w:pPr>
      <w:r>
        <w:rPr>
          <w:rFonts w:hint="eastAsia"/>
        </w:rPr>
        <w:t xml:space="preserve">长短期模型并非两套互不相干的模型。短期部分使用同一套物理缺口和市场价格形成递推式，回答封锁初期价格平台如何形成；长期部分仍以该递推机制为中心，只是把未来不可观测的政策协调、绕道恢复、供给响应和二次升级风险从固定参数扩展为情景变量和状态变量。换言之，随着外推期限由</w:t>
      </w:r>
      <w:r>
        <w:t xml:space="preserve"> 0–60 </w:t>
      </w:r>
      <w:r>
        <w:rPr>
          <w:rFonts w:hint="eastAsia"/>
        </w:rPr>
        <w:t xml:space="preserve">天延长到</w:t>
      </w:r>
      <w:r>
        <w:t xml:space="preserve"> 60–180 </w:t>
      </w:r>
      <w:r>
        <w:rPr>
          <w:rFonts w:hint="eastAsia"/>
        </w:rPr>
        <w:t xml:space="preserve">天，不确定性的主要来源从</w:t>
      </w:r>
      <w:r>
        <w:rPr>
          <w:rFonts w:hint="eastAsia"/>
        </w:rPr>
        <w:t xml:space="preserve">“参数校准误差”</w:t>
      </w:r>
      <w:r>
        <w:rPr>
          <w:rFonts w:hint="eastAsia"/>
        </w:rPr>
        <w:t xml:space="preserve">逐步转向</w:t>
      </w:r>
      <w:r>
        <w:rPr>
          <w:rFonts w:hint="eastAsia"/>
        </w:rPr>
        <w:t xml:space="preserve">“事件状态不确定性”</w:t>
      </w:r>
      <w:r>
        <w:rPr>
          <w:rFonts w:hint="eastAsia"/>
        </w:rPr>
        <w:t xml:space="preserve">，因此需要用蒙特卡洛情景树和状态转移扰动描述条件区间。</w:t>
      </w:r>
    </w:p>
    <w:p>
      <w:pPr>
        <w:pStyle w:val="BodyText"/>
      </w:pPr>
      <w:r>
        <w:rPr>
          <w:rFonts w:hint="eastAsia"/>
        </w:rPr>
        <w:t xml:space="preserve">长期模型从短期动态递推模型延伸而来，但在四个方面做了时间尺度调整：</w:t>
      </w:r>
    </w:p>
    <w:p>
      <w:pPr>
        <w:numPr>
          <w:ilvl w:val="0"/>
          <w:numId w:val="1005"/>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5"/>
        </w:numPr>
      </w:pPr>
      <w:r>
        <w:rPr>
          <w:rFonts w:hint="eastAsia"/>
        </w:rPr>
        <w:t xml:space="preserve">缓冲侧：SPR、商业库存和绕道运输继续发挥作用，但其边际能力随时间下降或受运输瓶颈约束。</w:t>
      </w:r>
    </w:p>
    <w:p>
      <w:pPr>
        <w:numPr>
          <w:ilvl w:val="0"/>
          <w:numId w:val="1005"/>
        </w:numPr>
      </w:pPr>
      <w:r>
        <w:rPr>
          <w:rFonts w:hint="eastAsia"/>
        </w:rPr>
        <w:t xml:space="preserve">需求侧：长期需求价格弹性高于短期弹性，反映高油价持续后消费、生产和替代能源调整更充分。</w:t>
      </w:r>
    </w:p>
    <w:p>
      <w:pPr>
        <w:numPr>
          <w:ilvl w:val="0"/>
          <w:numId w:val="1005"/>
        </w:numPr>
      </w:pPr>
      <w:r>
        <w:rPr>
          <w:rFonts w:hint="eastAsia"/>
        </w:rPr>
        <w:t xml:space="preserve">风险侧：恐慌溢价逐步衰减，不确定性溢价拆分为前期冲击不确定性和持续封锁制度风险，使长期价格由物理恢复与制度风险共同决定。</w:t>
      </w:r>
    </w:p>
    <w:p>
      <w:pPr>
        <w:pStyle w:val="FirstParagraph"/>
      </w:pPr>
      <w:r>
        <w:rPr>
          <w:rFonts w:hint="eastAsia"/>
        </w:rPr>
        <w:t xml:space="preserve">为避免短期弹性与长期弹性之间出现突变，本文采用平滑过渡函数刻画需求调整过程。设题面短期弹性为</w:t>
      </w:r>
      <w:r>
        <w:t xml:space="preserve"> </w:t>
      </w:r>
      <m:oMath>
        <m:sSub>
          <m:e>
            <m:r>
              <m:t>ε</m:t>
            </m:r>
          </m:e>
          <m:sub>
            <m:r>
              <m:t>s</m:t>
            </m:r>
          </m:sub>
        </m:sSub>
        <m:r>
          <m:rPr>
            <m:sty m:val="p"/>
          </m:rPr>
          <m:t>=</m:t>
        </m:r>
        <m:r>
          <m:rPr>
            <m:sty m:val="p"/>
          </m:rPr>
          <m:t>−</m:t>
        </m:r>
        <m:r>
          <m:t>0.05</m:t>
        </m:r>
      </m:oMath>
      <w:r>
        <w:rPr>
          <w:rFonts w:hint="eastAsia"/>
        </w:rPr>
        <w:t xml:space="preserve">，长期情景目标弹性为</w:t>
      </w:r>
      <w:r>
        <w:t xml:space="preserve"> </w:t>
      </w:r>
      <m:oMath>
        <m:sSub>
          <m:e>
            <m:r>
              <m:t>ε</m:t>
            </m:r>
          </m:e>
          <m:sub>
            <m:r>
              <m:rPr>
                <m:sty m:val="p"/>
              </m:rPr>
              <m:t>∞</m:t>
            </m:r>
          </m:sub>
        </m:sSub>
      </m:oMath>
      <w:r>
        <w:rPr>
          <w:rFonts w:hint="eastAsia"/>
        </w:rPr>
        <w:t xml:space="preserve">，冲击后的第</w:t>
      </w:r>
      <w:r>
        <w:t xml:space="preserve"> </w:t>
      </w:r>
      <m:oMath>
        <m:sSub>
          <m:e>
            <m:r>
              <m:t>t</m:t>
            </m:r>
          </m:e>
          <m:sub>
            <m:r>
              <m:t>s</m:t>
            </m:r>
          </m:sub>
        </m:sSub>
        <m:r>
          <m:rPr>
            <m:sty m:val="p"/>
          </m:rPr>
          <m:t>=</m:t>
        </m:r>
        <m:r>
          <m:t>60</m:t>
        </m:r>
      </m:oMath>
      <w:r>
        <w:t xml:space="preserve"> </w:t>
      </w:r>
      <w:r>
        <w:rPr>
          <w:rFonts w:hint="eastAsia"/>
        </w:rPr>
        <w:t xml:space="preserve">天作为长期外推起点，则</w:t>
      </w:r>
    </w:p>
    <w:p>
      <w:pPr>
        <w:pStyle w:val="BodyText"/>
      </w:pPr>
      <m:oMathPara>
        <m:oMathParaPr>
          <m:jc m:val="center"/>
        </m:oMathParaPr>
        <m:oMath>
          <m:sSub>
            <m:e>
              <m:r>
                <m:t>ε</m:t>
              </m:r>
            </m:e>
            <m:sub>
              <m:r>
                <m:t>t</m:t>
              </m:r>
            </m:sub>
          </m:sSub>
          <m:r>
            <m:rPr>
              <m:sty m:val="p"/>
            </m:rPr>
            <m:t>=</m:t>
          </m:r>
          <m:sSub>
            <m:e>
              <m:r>
                <m:t>ε</m:t>
              </m:r>
            </m:e>
            <m:sub>
              <m:r>
                <m:t>s</m:t>
              </m:r>
            </m:sub>
          </m:sSub>
          <m:r>
            <m:rPr>
              <m:sty m:val="p"/>
            </m:rPr>
            <m:t>+</m:t>
          </m:r>
          <m:d>
            <m:dPr>
              <m:begChr m:val="("/>
              <m:sepChr m:val=""/>
              <m:endChr m:val=")"/>
              <m:grow/>
            </m:dPr>
            <m:e>
              <m:sSub>
                <m:e>
                  <m:r>
                    <m:t>ε</m:t>
                  </m:r>
                </m:e>
                <m:sub>
                  <m:r>
                    <m:rPr>
                      <m:sty m:val="p"/>
                    </m:rPr>
                    <m:t>∞</m:t>
                  </m:r>
                </m:sub>
              </m:sSub>
              <m:r>
                <m:rPr>
                  <m:sty m:val="p"/>
                </m:rPr>
                <m:t>−</m:t>
              </m:r>
              <m:sSub>
                <m:e>
                  <m:r>
                    <m:t>ε</m:t>
                  </m:r>
                </m:e>
                <m:sub>
                  <m:r>
                    <m:t>s</m:t>
                  </m:r>
                </m:sub>
              </m:sSub>
            </m:e>
          </m:d>
          <m:d>
            <m:dPr>
              <m:begChr m:val="["/>
              <m:sepChr m:val=""/>
              <m:endChr m:val="]"/>
              <m:grow/>
            </m:dPr>
            <m:e>
              <m:r>
                <m:t>1</m:t>
              </m:r>
              <m:r>
                <m:rPr>
                  <m:sty m:val="p"/>
                </m:rPr>
                <m:t>−</m:t>
              </m:r>
              <m:r>
                <m:rPr>
                  <m:sty m:val="p"/>
                </m:rPr>
                <m:t>exp</m:t>
              </m:r>
              <m:d>
                <m:dPr>
                  <m:begChr m:val="("/>
                  <m:sepChr m:val=""/>
                  <m:endChr m:val=")"/>
                  <m:grow/>
                </m:dPr>
                <m:e>
                  <m:r>
                    <m:rPr>
                      <m:sty m:val="p"/>
                    </m:rPr>
                    <m:t>−</m:t>
                  </m:r>
                  <m:sSub>
                    <m:e>
                      <m:r>
                        <m:t>α</m:t>
                      </m:r>
                    </m:e>
                    <m:sub>
                      <m:r>
                        <m:t>ε</m:t>
                      </m:r>
                    </m:sub>
                  </m:sSub>
                  <m:r>
                    <m:rPr>
                      <m:sty m:val="p"/>
                    </m:rPr>
                    <m:t>max</m:t>
                  </m:r>
                  <m:r>
                    <m:rPr>
                      <m:sty m:val="p"/>
                    </m:rPr>
                    <m:t>(</m:t>
                  </m:r>
                  <m:r>
                    <m:t>t</m:t>
                  </m:r>
                  <m:r>
                    <m:rPr>
                      <m:sty m:val="p"/>
                    </m:rPr>
                    <m:t>−</m:t>
                  </m:r>
                  <m:sSub>
                    <m:e>
                      <m:r>
                        <m:t>t</m:t>
                      </m:r>
                    </m:e>
                    <m:sub>
                      <m:r>
                        <m:t>s</m:t>
                      </m:r>
                    </m:sub>
                  </m:sSub>
                  <m:r>
                    <m:rPr>
                      <m:sty m:val="p"/>
                    </m:rPr>
                    <m:t>,</m:t>
                  </m:r>
                  <m:r>
                    <m:t>0</m:t>
                  </m:r>
                  <m:r>
                    <m:rPr>
                      <m:sty m:val="p"/>
                    </m:rPr>
                    <m:t>)</m:t>
                  </m:r>
                </m:e>
              </m:d>
            </m:e>
          </m:d>
          <m:r>
            <m:rPr>
              <m:sty m:val="p"/>
            </m:rPr>
            <m:t>,</m:t>
          </m:r>
          <m:r>
            <m:t> </m:t>
          </m:r>
          <m:r>
            <m:t>t</m:t>
          </m:r>
          <m:r>
            <m:rPr>
              <m:sty m:val="p"/>
            </m:rPr>
            <m:t>≥</m:t>
          </m:r>
          <m:r>
            <m:t>0</m:t>
          </m:r>
          <m:r>
            <m:rPr>
              <m:sty m:val="p"/>
            </m:rPr>
            <m:t>.</m:t>
          </m:r>
        </m:oMath>
      </m:oMathPara>
    </w:p>
    <w:p>
      <w:pPr>
        <w:pStyle w:val="FirstParagraph"/>
      </w:pPr>
      <w:r>
        <w:rPr>
          <w:rFonts w:hint="eastAsia"/>
        </w:rPr>
        <w:t xml:space="preserve">其中</w:t>
      </w:r>
      <w:r>
        <w:t xml:space="preserve"> </w:t>
      </w:r>
      <m:oMath>
        <m:sSub>
          <m:e>
            <m:r>
              <m:t>α</m:t>
            </m:r>
          </m:e>
          <m:sub>
            <m:r>
              <m:t>ε</m:t>
            </m:r>
          </m:sub>
        </m:sSub>
      </m:oMath>
      <w:r>
        <w:t xml:space="preserve"> </w:t>
      </w:r>
      <w:r>
        <w:rPr>
          <w:rFonts w:hint="eastAsia"/>
        </w:rPr>
        <w:t xml:space="preserve">为需求调整速度。该式表示：封锁初期消费与生产难以及时替代，弹性接近题面低弹性；高油价持续后，炼厂采购、交通消费、工业用能和替代运输逐渐调整，弹性绝对值向长期情景值平滑靠近。因此，表中长期弹性不是在第</w:t>
      </w:r>
      <w:r>
        <w:t xml:space="preserve"> 60 </w:t>
      </w:r>
      <w:r>
        <w:rPr>
          <w:rFonts w:hint="eastAsia"/>
        </w:rPr>
        <w:t xml:space="preserve">天突然替换短期弹性，而是作为</w:t>
      </w:r>
      <w:r>
        <w:t xml:space="preserve"> </w:t>
      </w:r>
      <m:oMath>
        <m:sSub>
          <m:e>
            <m:r>
              <m:t>ε</m:t>
            </m:r>
          </m:e>
          <m:sub>
            <m:r>
              <m:t>t</m:t>
            </m:r>
          </m:sub>
        </m:sSub>
      </m:oMath>
      <w:r>
        <w:t xml:space="preserve"> </w:t>
      </w:r>
      <w:r>
        <w:rPr>
          <w:rFonts w:hint="eastAsia"/>
        </w:rPr>
        <w:t xml:space="preserve">的渐近目标进入递推。</w:t>
      </w:r>
    </w:p>
    <w:p>
      <w:pPr>
        <w:pStyle w:val="BodyText"/>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为其他产油国增产或替代供应增量。考虑到现实中的政策反馈机制，本文设置</w:t>
      </w:r>
      <w:r>
        <w:t xml:space="preserve"> SPR </w:t>
      </w:r>
      <w:r>
        <w:rPr>
          <w:rFonts w:hint="eastAsia"/>
        </w:rPr>
        <w:t xml:space="preserve">的实际释放量为缺口与价格压力的自适应函数：</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为长期持续后的政策收缩系数。二者定义为</w:t>
      </w:r>
    </w:p>
    <w:p>
      <w:pPr>
        <w:pStyle w:val="BodyText"/>
      </w:pPr>
      <m:oMathPara>
        <m:oMathParaPr>
          <m:jc m:val="center"/>
        </m:oMathParaPr>
        <m:oMath>
          <m:sSub>
            <m:e>
              <m:r>
                <m:t>λ</m:t>
              </m:r>
            </m:e>
            <m:sub>
              <m:r>
                <m:t>t</m:t>
              </m:r>
            </m:sub>
          </m:sSub>
          <m:r>
            <m:rPr>
              <m:sty m:val="p"/>
            </m:rPr>
            <m:t>=</m:t>
          </m:r>
          <m:r>
            <m:rPr>
              <m:sty m:val="p"/>
            </m:rPr>
            <m:t>c</m:t>
          </m:r>
          <m:r>
            <m:rPr>
              <m:sty m:val="p"/>
            </m:rPr>
            <m:t>l</m:t>
          </m:r>
          <m:r>
            <m:rPr>
              <m:sty m:val="p"/>
            </m:rPr>
            <m:t>i</m:t>
          </m:r>
          <m:r>
            <m:rPr>
              <m:sty m:val="p"/>
            </m:rPr>
            <m:t>p</m:t>
          </m:r>
          <m:d>
            <m:dPr>
              <m:begChr m:val="["/>
              <m:sepChr m:val=""/>
              <m:endChr m:val="]"/>
              <m:grow/>
            </m:dPr>
            <m:e>
              <m:sSub>
                <m:e>
                  <m:r>
                    <m:t>λ</m:t>
                  </m:r>
                </m:e>
                <m:sub>
                  <m:r>
                    <m:t>0</m:t>
                  </m:r>
                </m:sub>
              </m:sSub>
              <m:r>
                <m:rPr>
                  <m:sty m:val="p"/>
                </m:rPr>
                <m:t>+</m:t>
              </m:r>
              <m:sSub>
                <m:e>
                  <m:r>
                    <m:t>λ</m:t>
                  </m:r>
                </m:e>
                <m:sub>
                  <m:r>
                    <m:t>G</m:t>
                  </m:r>
                </m:sub>
              </m:sSub>
              <m:f>
                <m:fPr>
                  <m:type m:val="bar"/>
                </m:fPr>
                <m:num>
                  <m:r>
                    <m:rPr>
                      <m:sty m:val="p"/>
                    </m:rPr>
                    <m:t>max</m:t>
                  </m:r>
                  <m:r>
                    <m:rPr>
                      <m:sty m:val="p"/>
                    </m:rPr>
                    <m:t>(</m:t>
                  </m:r>
                  <m:sSub>
                    <m:e>
                      <m:r>
                        <m:t>G</m:t>
                      </m:r>
                    </m:e>
                    <m:sub>
                      <m:r>
                        <m:t>t</m:t>
                      </m:r>
                      <m:r>
                        <m:rPr>
                          <m:sty m:val="p"/>
                        </m:rPr>
                        <m:t>,</m:t>
                      </m:r>
                      <m:r>
                        <m:rPr>
                          <m:sty m:val="p"/>
                        </m:rPr>
                        <m:t>p</m:t>
                      </m:r>
                      <m:r>
                        <m:rPr>
                          <m:sty m:val="p"/>
                        </m:rPr>
                        <m:t>r</m:t>
                      </m:r>
                      <m:r>
                        <m:rPr>
                          <m:sty m:val="p"/>
                        </m:rPr>
                        <m:t>e</m:t>
                      </m:r>
                    </m:sub>
                  </m:sSub>
                  <m:r>
                    <m:rPr>
                      <m:sty m:val="p"/>
                    </m:rPr>
                    <m:t>,</m:t>
                  </m:r>
                  <m:r>
                    <m:t>0</m:t>
                  </m:r>
                  <m:r>
                    <m:rPr>
                      <m:sty m:val="p"/>
                    </m:rPr>
                    <m:t>)</m:t>
                  </m:r>
                </m:num>
                <m:den>
                  <m:sSub>
                    <m:e>
                      <m:r>
                        <m:t>D</m:t>
                      </m:r>
                    </m:e>
                    <m:sub>
                      <m:r>
                        <m:t>0</m:t>
                      </m:r>
                    </m:sub>
                  </m:sSub>
                </m:den>
              </m:f>
              <m:r>
                <m:rPr>
                  <m:sty m:val="p"/>
                </m:rPr>
                <m:t>+</m:t>
              </m:r>
              <m:sSub>
                <m:e>
                  <m:r>
                    <m:t>λ</m:t>
                  </m:r>
                </m:e>
                <m:sub>
                  <m:r>
                    <m:t>P</m:t>
                  </m:r>
                </m:sub>
              </m:sSub>
              <m:r>
                <m:rPr>
                  <m:sty m:val="p"/>
                </m:rPr>
                <m:t>max</m:t>
              </m:r>
              <m:d>
                <m:dPr>
                  <m:begChr m:val="("/>
                  <m:sepChr m:val=""/>
                  <m:endChr m:val=")"/>
                  <m:grow/>
                </m:dPr>
                <m:e>
                  <m:f>
                    <m:fPr>
                      <m:type m:val="bar"/>
                    </m:fPr>
                    <m:num>
                      <m:sSub>
                        <m:e>
                          <m:acc>
                            <m:accPr>
                              <m:chr m:val="̂"/>
                            </m:accPr>
                            <m:e>
                              <m:r>
                                <m:t>P</m:t>
                              </m:r>
                            </m:e>
                          </m:acc>
                        </m:e>
                        <m:sub>
                          <m:r>
                            <m:t>t</m:t>
                          </m:r>
                        </m:sub>
                      </m:sSub>
                      <m:r>
                        <m:rPr>
                          <m:sty m:val="p"/>
                        </m:rPr>
                        <m:t>−</m:t>
                      </m:r>
                      <m:sSub>
                        <m:e>
                          <m:r>
                            <m:t>P</m:t>
                          </m:r>
                        </m:e>
                        <m:sub>
                          <m:r>
                            <m:t>0</m:t>
                          </m:r>
                        </m:sub>
                      </m:sSub>
                    </m:num>
                    <m:den>
                      <m:sSub>
                        <m:e>
                          <m:r>
                            <m:t>P</m:t>
                          </m:r>
                        </m:e>
                        <m:sub>
                          <m:r>
                            <m:t>0</m:t>
                          </m:r>
                        </m:sub>
                      </m:sSub>
                    </m:den>
                  </m:f>
                  <m:r>
                    <m:rPr>
                      <m:sty m:val="p"/>
                    </m:rPr>
                    <m:t>,</m:t>
                  </m:r>
                  <m:r>
                    <m:t>0</m:t>
                  </m:r>
                </m:e>
              </m:d>
              <m:r>
                <m:rPr>
                  <m:sty m:val="p"/>
                </m:rPr>
                <m:t>,</m:t>
              </m:r>
              <m:sSub>
                <m:e>
                  <m:r>
                    <m:t>λ</m:t>
                  </m:r>
                </m:e>
                <m:sub>
                  <m:r>
                    <m:rPr>
                      <m:sty m:val="p"/>
                    </m:rPr>
                    <m:t>min</m:t>
                  </m:r>
                </m:sub>
              </m:sSub>
              <m:r>
                <m:rPr>
                  <m:sty m:val="p"/>
                </m:rPr>
                <m:t>,</m:t>
              </m:r>
              <m:r>
                <m:t>1</m:t>
              </m:r>
            </m:e>
          </m:d>
          <m:r>
            <m:rPr>
              <m:sty m:val="p"/>
            </m:rPr>
            <m:t>,</m:t>
          </m:r>
        </m:oMath>
      </m:oMathPara>
    </w:p>
    <w:p>
      <w:pPr>
        <w:pStyle w:val="FirstParagraph"/>
      </w:pPr>
      <m:oMathPara>
        <m:oMathParaPr>
          <m:jc m:val="center"/>
        </m:oMathParaPr>
        <m:oMath>
          <m:sSub>
            <m:e>
              <m:r>
                <m:t>τ</m:t>
              </m:r>
            </m:e>
            <m:sub>
              <m:r>
                <m:t>t</m:t>
              </m:r>
            </m:sub>
          </m:sSub>
          <m:r>
            <m:rPr>
              <m:sty m:val="p"/>
            </m:rPr>
            <m:t>=</m:t>
          </m:r>
          <m:sSub>
            <m:e>
              <m:r>
                <m:t>τ</m:t>
              </m:r>
            </m:e>
            <m:sub>
              <m:r>
                <m:rPr>
                  <m:sty m:val="p"/>
                </m:rPr>
                <m:t>min</m:t>
              </m:r>
            </m:sub>
          </m:sSub>
          <m:r>
            <m:rPr>
              <m:sty m:val="p"/>
            </m:rPr>
            <m:t>+</m:t>
          </m:r>
          <m:f>
            <m:fPr>
              <m:type m:val="bar"/>
            </m:fPr>
            <m:num>
              <m:r>
                <m:t>1</m:t>
              </m:r>
              <m:r>
                <m:rPr>
                  <m:sty m:val="p"/>
                </m:rPr>
                <m:t>−</m:t>
              </m:r>
              <m:sSub>
                <m:e>
                  <m:r>
                    <m:t>τ</m:t>
                  </m:r>
                </m:e>
                <m:sub>
                  <m:r>
                    <m:rPr>
                      <m:sty m:val="p"/>
                    </m:rPr>
                    <m:t>min</m:t>
                  </m:r>
                </m:sub>
              </m:sSub>
            </m:num>
            <m:den>
              <m:r>
                <m:t>1</m:t>
              </m:r>
              <m:r>
                <m:rPr>
                  <m:sty m:val="p"/>
                </m:rPr>
                <m:t>+</m:t>
              </m:r>
              <m:r>
                <m:rPr>
                  <m:sty m:val="p"/>
                </m:rPr>
                <m:t>exp</m:t>
              </m:r>
              <m:d>
                <m:dPr>
                  <m:begChr m:val="["/>
                  <m:sepChr m:val=""/>
                  <m:endChr m:val="]"/>
                  <m:grow/>
                </m:dPr>
                <m:e>
                  <m:sSub>
                    <m:e>
                      <m:r>
                        <m:t>κ</m:t>
                      </m:r>
                    </m:e>
                    <m:sub>
                      <m:r>
                        <m:t>τ</m:t>
                      </m:r>
                    </m:sub>
                  </m:sSub>
                  <m:r>
                    <m:rPr>
                      <m:sty m:val="p"/>
                    </m:rPr>
                    <m:t>(</m:t>
                  </m:r>
                  <m:r>
                    <m:t>t</m:t>
                  </m:r>
                  <m:r>
                    <m:rPr>
                      <m:sty m:val="p"/>
                    </m:rPr>
                    <m:t>−</m:t>
                  </m:r>
                  <m:sSub>
                    <m:e>
                      <m:r>
                        <m:t>t</m:t>
                      </m:r>
                    </m:e>
                    <m:sub>
                      <m:r>
                        <m:rPr>
                          <m:sty m:val="p"/>
                        </m:rPr>
                        <m:t>s</m:t>
                      </m:r>
                      <m:r>
                        <m:rPr>
                          <m:sty m:val="p"/>
                        </m:rPr>
                        <m:t>h</m:t>
                      </m:r>
                      <m:r>
                        <m:rPr>
                          <m:sty m:val="p"/>
                        </m:rPr>
                        <m:t>r</m:t>
                      </m:r>
                      <m:r>
                        <m:rPr>
                          <m:sty m:val="p"/>
                        </m:rPr>
                        <m:t>i</m:t>
                      </m:r>
                      <m:r>
                        <m:rPr>
                          <m:sty m:val="p"/>
                        </m:rPr>
                        <m:t>n</m:t>
                      </m:r>
                      <m:r>
                        <m:rPr>
                          <m:sty m:val="p"/>
                        </m:rPr>
                        <m:t>k</m:t>
                      </m:r>
                    </m:sub>
                  </m:sSub>
                  <m:r>
                    <m:rPr>
                      <m:sty m:val="p"/>
                    </m:rPr>
                    <m:t>)</m:t>
                  </m:r>
                </m:e>
              </m:d>
            </m:den>
          </m:f>
          <m:r>
            <m:rPr>
              <m:sty m:val="p"/>
            </m:rPr>
            <m:t>.</m:t>
          </m:r>
        </m:oMath>
      </m:oMathPara>
    </w:p>
    <w:p>
      <w:pPr>
        <w:pStyle w:val="FirstParagraph"/>
      </w:pPr>
      <w:r>
        <w:rPr>
          <w:rFonts w:hint="eastAsia"/>
        </w:rPr>
        <w:t xml:space="preserve">其中</w:t>
      </w:r>
      <w:r>
        <w:t xml:space="preserve"> </w:t>
      </w:r>
      <m:oMath>
        <m:r>
          <m:rPr>
            <m:sty m:val="p"/>
          </m:rPr>
          <m:t>c</m:t>
        </m:r>
        <m:r>
          <m:rPr>
            <m:sty m:val="p"/>
          </m:rPr>
          <m:t>l</m:t>
        </m:r>
        <m:r>
          <m:rPr>
            <m:sty m:val="p"/>
          </m:rPr>
          <m:t>i</m:t>
        </m:r>
        <m:r>
          <m:rPr>
            <m:sty m:val="p"/>
          </m:rPr>
          <m:t>p</m:t>
        </m:r>
        <m:r>
          <m:rPr>
            <m:sty m:val="p"/>
          </m:rPr>
          <m:t>(</m:t>
        </m:r>
        <m:r>
          <m:t>x</m:t>
        </m:r>
        <m:r>
          <m:rPr>
            <m:sty m:val="p"/>
          </m:rPr>
          <m:t>,</m:t>
        </m:r>
        <m:r>
          <m:t>a</m:t>
        </m:r>
        <m:r>
          <m:rPr>
            <m:sty m:val="p"/>
          </m:rPr>
          <m:t>,</m:t>
        </m:r>
        <m:r>
          <m:t>b</m:t>
        </m:r>
        <m:r>
          <m:rPr>
            <m:sty m:val="p"/>
          </m:rPr>
          <m:t>)</m:t>
        </m:r>
        <m:r>
          <m:rPr>
            <m:sty m:val="p"/>
          </m:rPr>
          <m:t>=</m:t>
        </m:r>
        <m:r>
          <m:rPr>
            <m:sty m:val="p"/>
          </m:rPr>
          <m:t>min</m:t>
        </m:r>
        <m:r>
          <m:rPr>
            <m:sty m:val="p"/>
          </m:rPr>
          <m:t>{</m:t>
        </m:r>
        <m:r>
          <m:rPr>
            <m:sty m:val="p"/>
          </m:rPr>
          <m:t>max</m:t>
        </m:r>
        <m:r>
          <m:rPr>
            <m:sty m:val="p"/>
          </m:rPr>
          <m:t>(</m:t>
        </m:r>
        <m:r>
          <m:t>x</m:t>
        </m:r>
        <m:r>
          <m:rPr>
            <m:sty m:val="p"/>
          </m:rPr>
          <m:t>,</m:t>
        </m:r>
        <m:r>
          <m:t>a</m:t>
        </m:r>
        <m:r>
          <m:rPr>
            <m:sty m:val="p"/>
          </m:rPr>
          <m:t>)</m:t>
        </m:r>
        <m:r>
          <m:rPr>
            <m:sty m:val="p"/>
          </m:rPr>
          <m:t>,</m:t>
        </m:r>
        <m:r>
          <m:t>b</m:t>
        </m:r>
        <m:r>
          <m:rPr>
            <m:sty m:val="p"/>
          </m:rPr>
          <m:t>}</m:t>
        </m:r>
      </m:oMath>
      <w:r>
        <w:rPr>
          <w:rFonts w:hint="eastAsia"/>
        </w:rPr>
        <w:t xml:space="preserve">，</w:t>
      </w:r>
      <m:oMath>
        <m:sSub>
          <m:e>
            <m:r>
              <m:t>t</m:t>
            </m:r>
          </m:e>
          <m:sub>
            <m:r>
              <m:rPr>
                <m:sty m:val="p"/>
              </m:rPr>
              <m:t>s</m:t>
            </m:r>
            <m:r>
              <m:rPr>
                <m:sty m:val="p"/>
              </m:rPr>
              <m:t>h</m:t>
            </m:r>
            <m:r>
              <m:rPr>
                <m:sty m:val="p"/>
              </m:rPr>
              <m:t>r</m:t>
            </m:r>
            <m:r>
              <m:rPr>
                <m:sty m:val="p"/>
              </m:rPr>
              <m:t>i</m:t>
            </m:r>
            <m:r>
              <m:rPr>
                <m:sty m:val="p"/>
              </m:rPr>
              <m:t>n</m:t>
            </m:r>
            <m:r>
              <m:rPr>
                <m:sty m:val="p"/>
              </m:rPr>
              <m:t>k</m:t>
            </m:r>
          </m:sub>
        </m:sSub>
      </m:oMath>
      <w:r>
        <w:t xml:space="preserve"> </w:t>
      </w:r>
      <w:r>
        <w:rPr>
          <w:rFonts w:hint="eastAsia"/>
        </w:rPr>
        <w:t xml:space="preserve">对应表中</w:t>
      </w:r>
      <w:r>
        <w:t xml:space="preserve"> SPR </w:t>
      </w:r>
      <w:r>
        <w:rPr>
          <w:rFonts w:hint="eastAsia"/>
        </w:rPr>
        <w:t xml:space="preserve">收缩起点。上述定义使</w:t>
      </w:r>
      <w:r>
        <w:t xml:space="preserve"> SPR </w:t>
      </w:r>
      <w:r>
        <w:rPr>
          <w:rFonts w:hint="eastAsia"/>
        </w:rPr>
        <w:t xml:space="preserve">在缺口较大、价格压力较高时保持较强释放；当长期封锁进入政策收缩期且缺口逐步闭合时，</w:t>
      </w:r>
      <m:oMath>
        <m:sSub>
          <m:e>
            <m:r>
              <m:t>τ</m:t>
            </m:r>
          </m:e>
          <m:sub>
            <m:r>
              <m:t>t</m:t>
            </m:r>
          </m:sub>
        </m:sSub>
      </m:oMath>
      <w:r>
        <w:t xml:space="preserve"> </w:t>
      </w:r>
      <w:r>
        <w:rPr>
          <w:rFonts w:hint="eastAsia"/>
        </w:rPr>
        <w:t xml:space="preserve">平滑下降，实际释放量转向缺口驱动。因此，当缺口已基本闭合时，SPR</w:t>
      </w:r>
      <w:r>
        <w:t xml:space="preserve"> </w:t>
      </w:r>
      <w:r>
        <w:rPr>
          <w:rFonts w:hint="eastAsia"/>
        </w:rPr>
        <w:t xml:space="preserve">不会继续按上限满额释放。</w:t>
      </w:r>
    </w:p>
    <w:p>
      <w:pPr>
        <w:pStyle w:val="BodyText"/>
      </w:pPr>
      <w:r>
        <w:rPr>
          <w:rFonts w:hint="eastAsia"/>
        </w:rPr>
        <w:t xml:space="preserve">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短期和长期风险项的方向不同，并不是前后矛盾。短期窗口内，市场需要完成突发封锁的信息吸收，风险溢价表现为建立和再定价；长期窗口内，市场已经观察到</w:t>
      </w:r>
      <w:r>
        <w:t xml:space="preserve"> </w:t>
      </w:r>
      <w:r>
        <w:rPr>
          <w:rFonts w:hint="eastAsia"/>
        </w:rPr>
        <w:t xml:space="preserve">SPR、库存、绕道和供需调整是否有效，因此风险项应随未解决缺口和信心恢复而逐步衰减。换言之，短期模型回答</w:t>
      </w:r>
      <w:r>
        <w:rPr>
          <w:rFonts w:hint="eastAsia"/>
        </w:rPr>
        <w:t xml:space="preserve">“冲击如何形成价格平台”</w:t>
      </w:r>
      <w:r>
        <w:rPr>
          <w:rFonts w:hint="eastAsia"/>
        </w:rPr>
        <w:t xml:space="preserve">，长期模型回答</w:t>
      </w:r>
      <w:r>
        <w:rPr>
          <w:rFonts w:hint="eastAsia"/>
        </w:rPr>
        <w:t xml:space="preserve">“平台在政策缓冲和需求调整后如何回归，尾部风险在哪里重新抬升”</w:t>
      </w:r>
      <w:r>
        <w:t xml:space="preserve">。</w:t>
      </w:r>
    </w:p>
    <w:p>
      <w:pPr>
        <w:pStyle w:val="TableCaption"/>
      </w:pPr>
      <w:r>
        <w:rPr>
          <w:rFonts w:hint="eastAsia"/>
        </w:rPr>
        <w:t xml:space="preserve">长期机制强度参数及检验边界</w:t>
      </w:r>
    </w:p>
    <w:tbl>
      <w:tblPr>
        <w:tblStyle w:val="Table"/>
        <w:tblW w:type="auto" w:w="0"/>
        <w:tblLook w:firstRow="1" w:lastRow="0" w:firstColumn="0" w:lastColumn="0" w:noHBand="0" w:noVBand="0" w:val="0020"/>
        <w:tblCaption w:val="长期机制强度参数及检验边界"/>
      </w:tblPr>
      <w:tblGrid>
        <w:gridCol w:w="1980"/>
        <w:gridCol w:w="1980"/>
        <w:gridCol w:w="1980"/>
        <w:gridCol w:w="1980"/>
      </w:tblGrid>
      <w:tr>
        <w:trPr>
          <w:tblHeader w:val="on"/>
        </w:trPr>
        <w:tc>
          <w:tcPr/>
          <w:p>
            <w:pPr>
              <w:pStyle w:val="Compact"/>
              <w:jc w:val="left"/>
            </w:pPr>
            <w:r>
              <w:rPr>
                <w:rFonts w:hint="eastAsia"/>
              </w:rPr>
              <w:t xml:space="preserve">机制参数</w:t>
            </w:r>
          </w:p>
        </w:tc>
        <w:tc>
          <w:tcPr/>
          <w:p>
            <w:pPr>
              <w:pStyle w:val="Compact"/>
              <w:jc w:val="right"/>
            </w:pPr>
            <w:r>
              <w:rPr>
                <w:rFonts w:hint="eastAsia"/>
              </w:rPr>
              <w:t xml:space="preserve">基准值</w:t>
            </w:r>
          </w:p>
        </w:tc>
        <w:tc>
          <w:tcPr/>
          <w:p>
            <w:pPr>
              <w:pStyle w:val="Compact"/>
              <w:jc w:val="right"/>
            </w:pPr>
            <w:r>
              <w:rPr>
                <w:rFonts w:hint="eastAsia"/>
              </w:rPr>
              <w:t xml:space="preserve">扰动范围</w:t>
            </w:r>
          </w:p>
        </w:tc>
        <w:tc>
          <w:tcPr/>
          <w:p>
            <w:pPr>
              <w:pStyle w:val="Compact"/>
              <w:jc w:val="left"/>
            </w:pPr>
            <w:r>
              <w:rPr>
                <w:rFonts w:hint="eastAsia"/>
              </w:rPr>
              <w:t xml:space="preserve">含义与边界</w:t>
            </w:r>
          </w:p>
        </w:tc>
      </w:tr>
      <w:tr>
        <w:tc>
          <w:tcPr/>
          <w:p>
            <w:pPr>
              <w:pStyle w:val="Compact"/>
              <w:jc w:val="left"/>
            </w:pPr>
            <w:r>
              <w:t xml:space="preserve">SPR </w:t>
            </w:r>
            <w:r>
              <w:rPr>
                <w:rFonts w:hint="eastAsia"/>
              </w:rPr>
              <w:t xml:space="preserve">收缩起点</w:t>
            </w:r>
          </w:p>
        </w:tc>
        <w:tc>
          <w:tcPr/>
          <w:p>
            <w:pPr>
              <w:pStyle w:val="Compact"/>
              <w:jc w:val="right"/>
            </w:pPr>
            <w:r>
              <w:t xml:space="preserve">75</w:t>
            </w:r>
          </w:p>
        </w:tc>
        <w:tc>
          <w:tcPr/>
          <w:p>
            <w:pPr>
              <w:pStyle w:val="Compact"/>
              <w:jc w:val="right"/>
            </w:pPr>
            <w:r>
              <w:t xml:space="preserve">60–105</w:t>
            </w:r>
          </w:p>
        </w:tc>
        <w:tc>
          <w:tcPr/>
          <w:p>
            <w:pPr>
              <w:pStyle w:val="Compact"/>
              <w:jc w:val="left"/>
            </w:pPr>
            <w:r>
              <w:t xml:space="preserve">SPR </w:t>
            </w:r>
            <w:r>
              <w:rPr>
                <w:rFonts w:hint="eastAsia"/>
              </w:rPr>
              <w:t xml:space="preserve">从应急计划释放转向缺口驱动收缩的开始时间</w:t>
            </w:r>
          </w:p>
        </w:tc>
      </w:tr>
      <w:tr>
        <w:tc>
          <w:tcPr/>
          <w:p>
            <w:pPr>
              <w:pStyle w:val="Compact"/>
              <w:jc w:val="left"/>
            </w:pPr>
            <w:r>
              <w:rPr>
                <w:rFonts w:hint="eastAsia"/>
              </w:rPr>
              <w:t xml:space="preserve">冲击不确定性占比</w:t>
            </w:r>
          </w:p>
        </w:tc>
        <w:tc>
          <w:tcPr/>
          <w:p>
            <w:pPr>
              <w:pStyle w:val="Compact"/>
              <w:jc w:val="right"/>
            </w:pPr>
            <w:r>
              <w:t xml:space="preserve">0.45</w:t>
            </w:r>
          </w:p>
        </w:tc>
        <w:tc>
          <w:tcPr/>
          <w:p>
            <w:pPr>
              <w:pStyle w:val="Compact"/>
              <w:jc w:val="right"/>
            </w:pPr>
            <w:r>
              <w:t xml:space="preserve">0.25–0.65</w:t>
            </w:r>
          </w:p>
        </w:tc>
        <w:tc>
          <w:tcPr/>
          <w:p>
            <w:pPr>
              <w:pStyle w:val="Compact"/>
              <w:jc w:val="left"/>
            </w:pPr>
            <w:r>
              <w:rPr>
                <w:rFonts w:hint="eastAsia"/>
              </w:rPr>
              <w:t xml:space="preserve">前期冲击再定价在长期不确定性中的贡献，不作为外部官方统计量</w:t>
            </w:r>
          </w:p>
        </w:tc>
      </w:tr>
      <w:tr>
        <w:tc>
          <w:tcPr/>
          <w:p>
            <w:pPr>
              <w:pStyle w:val="Compact"/>
              <w:jc w:val="left"/>
            </w:pPr>
            <w:r>
              <w:rPr>
                <w:rFonts w:hint="eastAsia"/>
              </w:rPr>
              <w:t xml:space="preserve">制度风险占比</w:t>
            </w:r>
          </w:p>
        </w:tc>
        <w:tc>
          <w:tcPr/>
          <w:p>
            <w:pPr>
              <w:pStyle w:val="Compact"/>
              <w:jc w:val="right"/>
            </w:pPr>
            <w:r>
              <w:t xml:space="preserve">0.90</w:t>
            </w:r>
          </w:p>
        </w:tc>
        <w:tc>
          <w:tcPr/>
          <w:p>
            <w:pPr>
              <w:pStyle w:val="Compact"/>
              <w:jc w:val="right"/>
            </w:pPr>
            <w:r>
              <w:t xml:space="preserve">0.50–1.30</w:t>
            </w:r>
          </w:p>
        </w:tc>
        <w:tc>
          <w:tcPr/>
          <w:p>
            <w:pPr>
              <w:pStyle w:val="Compact"/>
              <w:jc w:val="left"/>
            </w:pPr>
            <w:r>
              <w:rPr>
                <w:rFonts w:hint="eastAsia"/>
              </w:rPr>
              <w:t xml:space="preserve">持续封锁状态对长期风险溢价的贡献强度</w:t>
            </w:r>
          </w:p>
        </w:tc>
      </w:tr>
      <w:tr>
        <w:tc>
          <w:tcPr/>
          <w:p>
            <w:pPr>
              <w:pStyle w:val="Compact"/>
              <w:jc w:val="left"/>
            </w:pPr>
            <w:r>
              <w:rPr>
                <w:rFonts w:hint="eastAsia"/>
              </w:rPr>
              <w:t xml:space="preserve">信心恢复后风险底座</w:t>
            </w:r>
          </w:p>
        </w:tc>
        <w:tc>
          <w:tcPr/>
          <w:p>
            <w:pPr>
              <w:pStyle w:val="Compact"/>
              <w:jc w:val="right"/>
            </w:pPr>
            <w:r>
              <w:t xml:space="preserve">0.40</w:t>
            </w:r>
          </w:p>
        </w:tc>
        <w:tc>
          <w:tcPr/>
          <w:p>
            <w:pPr>
              <w:pStyle w:val="Compact"/>
              <w:jc w:val="right"/>
            </w:pPr>
            <w:r>
              <w:t xml:space="preserve">0.20–0.60</w:t>
            </w:r>
          </w:p>
        </w:tc>
        <w:tc>
          <w:tcPr/>
          <w:p>
            <w:pPr>
              <w:pStyle w:val="Compact"/>
              <w:jc w:val="left"/>
            </w:pPr>
            <w:r>
              <w:rPr>
                <w:rFonts w:hint="eastAsia"/>
              </w:rPr>
              <w:t xml:space="preserve">缓冲机制被市场确认后仍保留的制度风险比例</w:t>
            </w:r>
          </w:p>
        </w:tc>
      </w:tr>
      <w:tr>
        <w:tc>
          <w:tcPr/>
          <w:p>
            <w:pPr>
              <w:pStyle w:val="Compact"/>
              <w:jc w:val="left"/>
            </w:pPr>
            <w:r>
              <w:rPr>
                <w:rFonts w:hint="eastAsia"/>
              </w:rPr>
              <w:t xml:space="preserve">过剩供给回归强度</w:t>
            </w:r>
          </w:p>
        </w:tc>
        <w:tc>
          <w:tcPr/>
          <w:p>
            <w:pPr>
              <w:pStyle w:val="Compact"/>
              <w:jc w:val="right"/>
            </w:pPr>
            <w:r>
              <w:t xml:space="preserve">1.35</w:t>
            </w:r>
          </w:p>
        </w:tc>
        <w:tc>
          <w:tcPr/>
          <w:p>
            <w:pPr>
              <w:pStyle w:val="Compact"/>
              <w:jc w:val="right"/>
            </w:pPr>
            <w:r>
              <w:t xml:space="preserve">0.80–2.20</w:t>
            </w:r>
          </w:p>
        </w:tc>
        <w:tc>
          <w:tcPr/>
          <w:p>
            <w:pPr>
              <w:pStyle w:val="Compact"/>
              <w:jc w:val="left"/>
            </w:pPr>
            <w:r>
              <w:rPr>
                <w:rFonts w:hint="eastAsia"/>
              </w:rPr>
              <w:t xml:space="preserve">供给超过需求时向下修正目标价格的机制强度</w:t>
            </w:r>
          </w:p>
        </w:tc>
      </w:tr>
      <w:tr>
        <w:tc>
          <w:tcPr/>
          <w:p>
            <w:pPr>
              <w:pStyle w:val="Compact"/>
              <w:jc w:val="left"/>
            </w:pPr>
            <w:r>
              <w:rPr>
                <w:rFonts w:hint="eastAsia"/>
              </w:rPr>
              <w:t xml:space="preserve">封锁风险衰减速度</w:t>
            </w:r>
          </w:p>
        </w:tc>
        <w:tc>
          <w:tcPr/>
          <w:p>
            <w:pPr>
              <w:pStyle w:val="Compact"/>
              <w:jc w:val="right"/>
            </w:pPr>
            <w:r>
              <w:t xml:space="preserve">0.004</w:t>
            </w:r>
          </w:p>
        </w:tc>
        <w:tc>
          <w:tcPr/>
          <w:p>
            <w:pPr>
              <w:pStyle w:val="Compact"/>
              <w:jc w:val="right"/>
            </w:pPr>
            <w:r>
              <w:t xml:space="preserve">0.002–0.008</w:t>
            </w:r>
          </w:p>
        </w:tc>
        <w:tc>
          <w:tcPr/>
          <w:p>
            <w:pPr>
              <w:pStyle w:val="Compact"/>
              <w:jc w:val="left"/>
            </w:pPr>
            <w:r>
              <w:rPr>
                <w:rFonts w:hint="eastAsia"/>
              </w:rPr>
              <w:t xml:space="preserve">封锁风险溢价随时间被市场吸收的日度速度</w:t>
            </w:r>
          </w:p>
        </w:tc>
      </w:tr>
    </w:tbl>
    <w:bookmarkEnd w:id="114"/>
    <w:bookmarkStart w:id="117" w:name="长期参数来源与校验边界"/>
    <w:p>
      <w:pPr>
        <w:pStyle w:val="Heading2"/>
      </w:pPr>
      <w:r>
        <w:rPr>
          <w:rFonts w:hint="eastAsia"/>
        </w:rPr>
        <w:t xml:space="preserve">长期参数来源与校验边界</w:t>
      </w:r>
    </w:p>
    <w:p>
      <w:pPr>
        <w:pStyle w:val="FirstParagraph"/>
      </w:pPr>
      <w:r>
        <w:rPr>
          <w:rFonts w:hint="eastAsia"/>
        </w:rPr>
        <w:t xml:space="preserve">长期模型中的部分参数不是可以从附件直接读取的真实观测量，而是用于描述恢复速度、政策收缩和制度风险衰减的机制参数。本文对长期参数采用三条约束：一是方向必须来自赛题机制或能源市场逻辑；二是数值作为基准情景假设进入，不冒充官方统计数据；三是所有关键参数必须进入扰动区间、敏感性排序或蒙特卡洛检验。长期参数来源与校验方式见表</w:t>
      </w:r>
      <w:r>
        <w:t xml:space="preserve"> </w:t>
      </w:r>
      <w:hyperlink w:anchor="tab:long-parameter-audit">
        <w:r>
          <w:rPr>
            <w:rStyle w:val="Hyperlink"/>
          </w:rPr>
          <w:t xml:space="preserve">5</w:t>
        </w:r>
      </w:hyperlink>
      <w:r>
        <w:t xml:space="preserve">。</w:t>
      </w:r>
    </w:p>
    <w:bookmarkStart w:id="115" w:name="tab:long-parameter-audit"/>
    <w:p>
      <w:pPr>
        <w:pStyle w:val="TableCaption"/>
      </w:pPr>
      <w:r>
        <w:rPr>
          <w:rFonts w:hint="eastAsia"/>
        </w:rPr>
        <w:t xml:space="preserve">长期关键参数来源与校验方式</w:t>
      </w:r>
    </w:p>
    <w:tbl>
      <w:tblPr>
        <w:tblStyle w:val="Table"/>
        <w:tblW w:type="auto" w:w="0"/>
        <w:tblLook w:firstRow="1" w:lastRow="0" w:firstColumn="0" w:lastColumn="0" w:noHBand="0" w:noVBand="0" w:val="0020"/>
        <w:tblCaption w:val="长期关键参数来源与校验方式"/>
      </w:tblPr>
      <w:tblGrid>
        <w:gridCol w:w="2640"/>
        <w:gridCol w:w="2640"/>
        <w:gridCol w:w="2640"/>
      </w:tblGrid>
      <w:tr>
        <w:trPr>
          <w:tblHeader w:val="on"/>
        </w:trPr>
        <w:tc>
          <w:tcPr/>
          <w:p>
            <w:pPr>
              <w:pStyle w:val="Compact"/>
              <w:jc w:val="left"/>
            </w:pPr>
            <w:r>
              <w:rPr>
                <w:rFonts w:hint="eastAsia"/>
              </w:rPr>
              <w:t xml:space="preserve">参数组</w:t>
            </w:r>
          </w:p>
        </w:tc>
        <w:tc>
          <w:tcPr/>
          <w:p>
            <w:pPr>
              <w:pStyle w:val="Compact"/>
              <w:jc w:val="left"/>
            </w:pPr>
            <w:r>
              <w:rPr>
                <w:rFonts w:hint="eastAsia"/>
              </w:rPr>
              <w:t xml:space="preserve">来源逻辑</w:t>
            </w:r>
          </w:p>
        </w:tc>
        <w:tc>
          <w:tcPr/>
          <w:p>
            <w:pPr>
              <w:pStyle w:val="Compact"/>
              <w:jc w:val="left"/>
            </w:pPr>
            <w:r>
              <w:rPr>
                <w:rFonts w:hint="eastAsia"/>
              </w:rPr>
              <w:t xml:space="preserve">校验方式</w:t>
            </w:r>
          </w:p>
        </w:tc>
      </w:tr>
      <w:tr>
        <w:tc>
          <w:tcPr/>
          <w:p>
            <w:pPr>
              <w:pStyle w:val="Compact"/>
              <w:jc w:val="left"/>
            </w:pPr>
            <w:r>
              <w:t xml:space="preserve">SPR </w:t>
            </w:r>
            <w:r>
              <w:rPr>
                <w:rFonts w:hint="eastAsia"/>
              </w:rPr>
              <w:t xml:space="preserve">收缩起点与释放强度</w:t>
            </w:r>
          </w:p>
        </w:tc>
        <w:tc>
          <w:tcPr/>
          <w:p>
            <w:pPr>
              <w:pStyle w:val="Compact"/>
              <w:jc w:val="left"/>
            </w:pPr>
            <w:r>
              <w:rPr>
                <w:rFonts w:hint="eastAsia"/>
              </w:rPr>
              <w:t xml:space="preserve">来自赛题给出的</w:t>
            </w:r>
            <w:r>
              <w:t xml:space="preserve"> SPR </w:t>
            </w:r>
            <w:r>
              <w:rPr>
                <w:rFonts w:hint="eastAsia"/>
              </w:rPr>
              <w:t xml:space="preserve">缓冲机制，并结合</w:t>
            </w:r>
            <w:r>
              <w:rPr>
                <w:rFonts w:hint="eastAsia"/>
              </w:rPr>
              <w:t xml:space="preserve">“长期封锁下不能无限满额释放”</w:t>
            </w:r>
            <w:r>
              <w:rPr>
                <w:rFonts w:hint="eastAsia"/>
              </w:rPr>
              <w:t xml:space="preserve">的政策约束。</w:t>
            </w:r>
          </w:p>
        </w:tc>
        <w:tc>
          <w:tcPr/>
          <w:p>
            <w:pPr>
              <w:pStyle w:val="Compact"/>
              <w:jc w:val="left"/>
            </w:pPr>
            <w:r>
              <w:rPr>
                <w:rFonts w:hint="eastAsia"/>
              </w:rPr>
              <w:t xml:space="preserve">在</w:t>
            </w:r>
            <w:r>
              <w:t xml:space="preserve"> 60–105 </w:t>
            </w:r>
            <w:r>
              <w:rPr>
                <w:rFonts w:hint="eastAsia"/>
              </w:rPr>
              <w:t xml:space="preserve">天范围内扰动，检验其对第</w:t>
            </w:r>
            <w:r>
              <w:t xml:space="preserve"> 180 </w:t>
            </w:r>
            <w:r>
              <w:rPr>
                <w:rFonts w:hint="eastAsia"/>
              </w:rPr>
              <w:t xml:space="preserve">天价格和尾部峰值的影响。</w:t>
            </w:r>
          </w:p>
        </w:tc>
      </w:tr>
      <w:tr>
        <w:tc>
          <w:tcPr/>
          <w:p>
            <w:pPr>
              <w:pStyle w:val="Compact"/>
              <w:jc w:val="left"/>
            </w:pPr>
            <w:r>
              <w:rPr>
                <w:rFonts w:hint="eastAsia"/>
              </w:rPr>
              <w:t xml:space="preserve">冲击不确定性与制度风险</w:t>
            </w:r>
          </w:p>
        </w:tc>
        <w:tc>
          <w:tcPr/>
          <w:p>
            <w:pPr>
              <w:pStyle w:val="Compact"/>
              <w:jc w:val="left"/>
            </w:pPr>
            <w:r>
              <w:rPr>
                <w:rFonts w:hint="eastAsia"/>
              </w:rPr>
              <w:t xml:space="preserve">来自封锁未解除时保险、航运、二次升级和政策协调失败的持续风险。</w:t>
            </w:r>
          </w:p>
        </w:tc>
        <w:tc>
          <w:tcPr/>
          <w:p>
            <w:pPr>
              <w:pStyle w:val="Compact"/>
              <w:jc w:val="left"/>
            </w:pPr>
            <w:r>
              <w:rPr>
                <w:rFonts w:hint="eastAsia"/>
              </w:rPr>
              <w:t xml:space="preserve">与</w:t>
            </w:r>
            <w:r>
              <w:t xml:space="preserve"> GPR </w:t>
            </w:r>
            <w:r>
              <w:rPr>
                <w:rFonts w:hint="eastAsia"/>
              </w:rPr>
              <w:t xml:space="preserve">滞后检验、蒙特卡洛情景树和状态转移情景树合读，不作为同步价格拟合因子。</w:t>
            </w:r>
          </w:p>
        </w:tc>
      </w:tr>
      <w:tr>
        <w:tc>
          <w:tcPr/>
          <w:p>
            <w:pPr>
              <w:pStyle w:val="Compact"/>
              <w:jc w:val="left"/>
            </w:pPr>
            <w:r>
              <w:rPr>
                <w:rFonts w:hint="eastAsia"/>
              </w:rPr>
              <w:t xml:space="preserve">封锁风险衰减速度</w:t>
            </w:r>
          </w:p>
        </w:tc>
        <w:tc>
          <w:tcPr/>
          <w:p>
            <w:pPr>
              <w:pStyle w:val="Compact"/>
              <w:jc w:val="left"/>
            </w:pPr>
            <w:r>
              <w:rPr>
                <w:rFonts w:hint="eastAsia"/>
              </w:rPr>
              <w:t xml:space="preserve">表示市场对封锁信息逐步吸收和政策缓冲被确认后的风险消化速度。</w:t>
            </w:r>
          </w:p>
        </w:tc>
        <w:tc>
          <w:tcPr/>
          <w:p>
            <w:pPr>
              <w:pStyle w:val="Compact"/>
              <w:jc w:val="left"/>
            </w:pPr>
            <w:r>
              <w:rPr>
                <w:rFonts w:hint="eastAsia"/>
              </w:rPr>
              <w:t xml:space="preserve">设置</w:t>
            </w:r>
            <w:r>
              <w:t xml:space="preserve"> 0.002–0.008 </w:t>
            </w:r>
            <w:r>
              <w:rPr>
                <w:rFonts w:hint="eastAsia"/>
              </w:rPr>
              <w:t xml:space="preserve">日衰减率区间，并在敏感性分析中单独排序，避免隐藏常数。</w:t>
            </w:r>
          </w:p>
        </w:tc>
      </w:tr>
      <w:tr>
        <w:tc>
          <w:tcPr/>
          <w:p>
            <w:pPr>
              <w:pStyle w:val="Compact"/>
              <w:jc w:val="left"/>
            </w:pPr>
            <w:r>
              <w:rPr>
                <w:rFonts w:hint="eastAsia"/>
              </w:rPr>
              <w:t xml:space="preserve">过剩供给回归强度</w:t>
            </w:r>
          </w:p>
        </w:tc>
        <w:tc>
          <w:tcPr/>
          <w:p>
            <w:pPr>
              <w:pStyle w:val="Compact"/>
              <w:jc w:val="left"/>
            </w:pPr>
            <w:r>
              <w:rPr>
                <w:rFonts w:hint="eastAsia"/>
              </w:rPr>
              <w:t xml:space="preserve">表示当缓冲、增产和需求调整使供给压力缓解后，目标价格向下修正的速度。</w:t>
            </w:r>
          </w:p>
        </w:tc>
        <w:tc>
          <w:tcPr/>
          <w:p>
            <w:pPr>
              <w:pStyle w:val="Compact"/>
              <w:jc w:val="left"/>
            </w:pPr>
            <w:r>
              <w:rPr>
                <w:rFonts w:hint="eastAsia"/>
              </w:rPr>
              <w:t xml:space="preserve">通过扰动区间和情景曲线检验，防止中性路径被人为拉成固定直线。</w:t>
            </w:r>
          </w:p>
        </w:tc>
      </w:tr>
      <w:tr>
        <w:tc>
          <w:tcPr/>
          <w:p>
            <w:pPr>
              <w:pStyle w:val="Compact"/>
              <w:jc w:val="left"/>
            </w:pPr>
            <w:r>
              <w:rPr>
                <w:rFonts w:hint="eastAsia"/>
              </w:rPr>
              <w:t xml:space="preserve">其他产油国增产与绕道恢复</w:t>
            </w:r>
          </w:p>
        </w:tc>
        <w:tc>
          <w:tcPr/>
          <w:p>
            <w:pPr>
              <w:pStyle w:val="Compact"/>
              <w:jc w:val="left"/>
            </w:pPr>
            <w:r>
              <w:rPr>
                <w:rFonts w:hint="eastAsia"/>
              </w:rPr>
              <w:t xml:space="preserve">来自赛题要求的增产、运输瓶颈和绕道能力设定，并用</w:t>
            </w:r>
            <w:r>
              <w:t xml:space="preserve"> JODI </w:t>
            </w:r>
            <w:r>
              <w:rPr>
                <w:rFonts w:hint="eastAsia"/>
              </w:rPr>
              <w:t xml:space="preserve">多国月度产量、进出口和炼厂产出作数量级校验。</w:t>
            </w:r>
          </w:p>
        </w:tc>
        <w:tc>
          <w:tcPr/>
          <w:p>
            <w:pPr>
              <w:pStyle w:val="Compact"/>
              <w:jc w:val="left"/>
            </w:pPr>
            <w:r>
              <w:rPr>
                <w:rFonts w:hint="eastAsia"/>
              </w:rPr>
              <w:t xml:space="preserve">用于长期条件外推；JODI</w:t>
            </w:r>
            <w:r>
              <w:t xml:space="preserve"> </w:t>
            </w:r>
            <w:r>
              <w:rPr>
                <w:rFonts w:hint="eastAsia"/>
              </w:rPr>
              <w:t xml:space="preserve">按多国上报口径解释，不等同完整全球总量。</w:t>
            </w:r>
          </w:p>
        </w:tc>
      </w:tr>
    </w:tbl>
    <w:bookmarkEnd w:id="115"/>
    <w:p>
      <w:pPr>
        <w:pStyle w:val="BodyText"/>
      </w:pPr>
      <w:r>
        <w:rPr>
          <w:rFonts w:hint="eastAsia"/>
          <w:b/>
          <w:bCs/>
        </w:rPr>
        <w:t xml:space="preserve">关键结论</w:t>
      </w:r>
      <w:r>
        <w:rPr>
          <w:rFonts w:hint="eastAsia"/>
        </w:rPr>
        <w:t xml:space="preserve">长期参数的角色是描述机制强弱和恢复速度，而不是替代真实数据。本文把这些参数显式列出、放入扰动区间，并用敏感性和蒙特卡洛结果报告其不确定性。</w:t>
      </w:r>
    </w:p>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p>
      <w:pPr>
        <w:pStyle w:val="BodyText"/>
      </w:pPr>
      <w:r>
        <w:rPr>
          <w:rFonts w:hint="eastAsia"/>
        </w:rPr>
        <w:t xml:space="preserve">在补充官方外生数据后，本文将</w:t>
      </w:r>
      <w:r>
        <w:t xml:space="preserve"> EIA、JODI </w:t>
      </w:r>
      <w:r>
        <w:rPr>
          <w:rFonts w:hint="eastAsia"/>
        </w:rPr>
        <w:t xml:space="preserve">与</w:t>
      </w:r>
      <w:r>
        <w:t xml:space="preserve"> OPEC </w:t>
      </w:r>
      <w:r>
        <w:rPr>
          <w:rFonts w:hint="eastAsia"/>
        </w:rPr>
        <w:t xml:space="preserve">从</w:t>
      </w:r>
      <w:r>
        <w:rPr>
          <w:rFonts w:hint="eastAsia"/>
        </w:rPr>
        <w:t xml:space="preserve">“论文证据层”</w:t>
      </w:r>
      <w:r>
        <w:rPr>
          <w:rFonts w:hint="eastAsia"/>
        </w:rPr>
        <w:t xml:space="preserve">推进到</w:t>
      </w:r>
      <w:r>
        <w:rPr>
          <w:rFonts w:hint="eastAsia"/>
        </w:rPr>
        <w:t xml:space="preserve">“长期参数约束层”</w:t>
      </w:r>
      <w:r>
        <w:rPr>
          <w:rFonts w:hint="eastAsia"/>
        </w:rPr>
        <w:t xml:space="preserve">。具体做法是由</w:t>
      </w:r>
      <w:r>
        <w:t xml:space="preserve"> JODI </w:t>
      </w:r>
      <w:r>
        <w:rPr>
          <w:rFonts w:hint="eastAsia"/>
        </w:rPr>
        <w:t xml:space="preserve">多国同口径产量、库存、进出口、需求、炼厂产出、EIA</w:t>
      </w:r>
      <w:r>
        <w:t xml:space="preserve"> </w:t>
      </w:r>
      <w:r>
        <w:rPr>
          <w:rFonts w:hint="eastAsia"/>
        </w:rPr>
        <w:t xml:space="preserve">美国</w:t>
      </w:r>
      <w:r>
        <w:t xml:space="preserve"> SPR </w:t>
      </w:r>
      <w:r>
        <w:rPr>
          <w:rFonts w:hint="eastAsia"/>
        </w:rPr>
        <w:t xml:space="preserve">和商业库存变化，以及</w:t>
      </w:r>
      <w:r>
        <w:t xml:space="preserve"> OPEC </w:t>
      </w:r>
      <w:r>
        <w:rPr>
          <w:rFonts w:hint="eastAsia"/>
        </w:rPr>
        <w:t xml:space="preserve">全球供需平衡表中的需求增量、非</w:t>
      </w:r>
      <w:r>
        <w:t xml:space="preserve"> DoC </w:t>
      </w:r>
      <w:r>
        <w:rPr>
          <w:rFonts w:hint="eastAsia"/>
        </w:rPr>
        <w:t xml:space="preserve">供给增量和</w:t>
      </w:r>
      <w:r>
        <w:t xml:space="preserve"> DoC </w:t>
      </w:r>
      <w:r>
        <w:rPr>
          <w:rFonts w:hint="eastAsia"/>
        </w:rPr>
        <w:t xml:space="preserve">原油需求差额生成温和乘数，对绕道能力、库存缓冲、需求收缩、长期弹性、SPR</w:t>
      </w:r>
      <w:r>
        <w:t xml:space="preserve"> </w:t>
      </w:r>
      <w:r>
        <w:rPr>
          <w:rFonts w:hint="eastAsia"/>
        </w:rPr>
        <w:t xml:space="preserve">上限可信度和风险权重进行约束。得到的乘数见表</w:t>
      </w:r>
      <w:r>
        <w:t xml:space="preserve"> </w:t>
      </w:r>
      <w:hyperlink w:anchor="tab:official-factor-multipliers">
        <w:r>
          <w:rPr>
            <w:rStyle w:val="Hyperlink"/>
          </w:rPr>
          <w:t xml:space="preserve">6</w:t>
        </w:r>
      </w:hyperlink>
      <w:r>
        <w:t xml:space="preserve">。</w:t>
      </w:r>
    </w:p>
    <w:bookmarkStart w:id="116" w:name="tab:official-factor-multipliers"/>
    <w:p>
      <w:pPr>
        <w:pStyle w:val="TableCaption"/>
      </w:pPr>
      <w:r>
        <w:rPr>
          <w:rFonts w:hint="eastAsia"/>
        </w:rPr>
        <w:t xml:space="preserve">官方外生数据生成的长期参数约束因子</w:t>
      </w:r>
    </w:p>
    <w:tbl>
      <w:tblPr>
        <w:tblStyle w:val="Table"/>
        <w:tblW w:type="auto" w:w="0"/>
        <w:tblLook w:firstRow="1" w:lastRow="0" w:firstColumn="0" w:lastColumn="0" w:noHBand="0" w:noVBand="0" w:val="0020"/>
        <w:tblCaption w:val="官方外生数据生成的长期参数约束因子"/>
      </w:tblPr>
      <w:tblGrid>
        <w:gridCol w:w="2640"/>
        <w:gridCol w:w="2640"/>
        <w:gridCol w:w="2640"/>
      </w:tblGrid>
      <w:tr>
        <w:trPr>
          <w:tblHeader w:val="on"/>
        </w:trPr>
        <w:tc>
          <w:tcPr/>
          <w:p>
            <w:pPr>
              <w:pStyle w:val="Compact"/>
              <w:jc w:val="left"/>
            </w:pPr>
            <w:r>
              <w:rPr>
                <w:rFonts w:hint="eastAsia"/>
              </w:rPr>
              <w:t xml:space="preserve">约束因子</w:t>
            </w:r>
          </w:p>
        </w:tc>
        <w:tc>
          <w:tcPr/>
          <w:p>
            <w:pPr>
              <w:pStyle w:val="Compact"/>
              <w:jc w:val="right"/>
            </w:pPr>
            <w:r>
              <w:rPr>
                <w:rFonts w:hint="eastAsia"/>
              </w:rPr>
              <w:t xml:space="preserve">乘数</w:t>
            </w:r>
          </w:p>
        </w:tc>
        <w:tc>
          <w:tcPr/>
          <w:p>
            <w:pPr>
              <w:pStyle w:val="Compact"/>
              <w:jc w:val="left"/>
            </w:pPr>
            <w:r>
              <w:rPr>
                <w:rFonts w:hint="eastAsia"/>
              </w:rPr>
              <w:t xml:space="preserve">解释</w:t>
            </w:r>
          </w:p>
        </w:tc>
      </w:tr>
      <w:tr>
        <w:tc>
          <w:tcPr/>
          <w:p>
            <w:pPr>
              <w:pStyle w:val="Compact"/>
              <w:jc w:val="left"/>
            </w:pPr>
            <w:r>
              <w:rPr>
                <w:rFonts w:hint="eastAsia"/>
              </w:rPr>
              <w:t xml:space="preserve">绕道和替代贸易恢复能力</w:t>
            </w:r>
          </w:p>
        </w:tc>
        <w:tc>
          <w:tcPr/>
          <w:p>
            <w:pPr>
              <w:pStyle w:val="Compact"/>
              <w:jc w:val="right"/>
            </w:pPr>
            <w:r>
              <w:t xml:space="preserve">0.9725</w:t>
            </w:r>
          </w:p>
        </w:tc>
        <w:tc>
          <w:tcPr/>
          <w:p>
            <w:pPr>
              <w:pStyle w:val="Compact"/>
              <w:jc w:val="left"/>
            </w:pPr>
            <w:r>
              <w:t xml:space="preserve">JODI </w:t>
            </w:r>
            <w:r>
              <w:rPr>
                <w:rFonts w:hint="eastAsia"/>
              </w:rPr>
              <w:t xml:space="preserve">进出口同口径收缩，说明替代贸易恢复不宜过度乐观</w:t>
            </w:r>
          </w:p>
        </w:tc>
      </w:tr>
      <w:tr>
        <w:tc>
          <w:tcPr/>
          <w:p>
            <w:pPr>
              <w:pStyle w:val="Compact"/>
              <w:jc w:val="left"/>
            </w:pPr>
            <w:r>
              <w:rPr>
                <w:rFonts w:hint="eastAsia"/>
              </w:rPr>
              <w:t xml:space="preserve">商业库存日缓冲上限</w:t>
            </w:r>
          </w:p>
        </w:tc>
        <w:tc>
          <w:tcPr/>
          <w:p>
            <w:pPr>
              <w:pStyle w:val="Compact"/>
              <w:jc w:val="right"/>
            </w:pPr>
            <w:r>
              <w:t xml:space="preserve">1.0739</w:t>
            </w:r>
          </w:p>
        </w:tc>
        <w:tc>
          <w:tcPr/>
          <w:p>
            <w:pPr>
              <w:pStyle w:val="Compact"/>
              <w:jc w:val="left"/>
            </w:pPr>
            <w:r>
              <w:t xml:space="preserve">JODI </w:t>
            </w:r>
            <w:r>
              <w:rPr>
                <w:rFonts w:hint="eastAsia"/>
              </w:rPr>
              <w:t xml:space="preserve">原油/成品油库存和</w:t>
            </w:r>
            <w:r>
              <w:t xml:space="preserve"> EIA </w:t>
            </w:r>
            <w:r>
              <w:rPr>
                <w:rFonts w:hint="eastAsia"/>
              </w:rPr>
              <w:t xml:space="preserve">商业库存均提供缓冲数量级支撑</w:t>
            </w:r>
          </w:p>
        </w:tc>
      </w:tr>
      <w:tr>
        <w:tc>
          <w:tcPr/>
          <w:p>
            <w:pPr>
              <w:pStyle w:val="Compact"/>
              <w:jc w:val="left"/>
            </w:pPr>
            <w:r>
              <w:rPr>
                <w:rFonts w:hint="eastAsia"/>
              </w:rPr>
              <w:t xml:space="preserve">长期需求收缩幅度</w:t>
            </w:r>
          </w:p>
        </w:tc>
        <w:tc>
          <w:tcPr/>
          <w:p>
            <w:pPr>
              <w:pStyle w:val="Compact"/>
              <w:jc w:val="right"/>
            </w:pPr>
            <w:r>
              <w:t xml:space="preserve">0.9560</w:t>
            </w:r>
          </w:p>
        </w:tc>
        <w:tc>
          <w:tcPr/>
          <w:p>
            <w:pPr>
              <w:pStyle w:val="Compact"/>
              <w:jc w:val="left"/>
            </w:pPr>
            <w:r>
              <w:t xml:space="preserve">JODI </w:t>
            </w:r>
            <w:r>
              <w:rPr>
                <w:rFonts w:hint="eastAsia"/>
              </w:rPr>
              <w:t xml:space="preserve">与</w:t>
            </w:r>
            <w:r>
              <w:t xml:space="preserve"> OPEC </w:t>
            </w:r>
            <w:r>
              <w:rPr>
                <w:rFonts w:hint="eastAsia"/>
              </w:rPr>
              <w:t xml:space="preserve">均显示需求韧性，需求破坏不宜设得过强</w:t>
            </w:r>
          </w:p>
        </w:tc>
      </w:tr>
      <w:tr>
        <w:tc>
          <w:tcPr/>
          <w:p>
            <w:pPr>
              <w:pStyle w:val="Compact"/>
              <w:jc w:val="left"/>
            </w:pPr>
            <w:r>
              <w:rPr>
                <w:rFonts w:hint="eastAsia"/>
              </w:rPr>
              <w:t xml:space="preserve">长期需求弹性绝对值</w:t>
            </w:r>
          </w:p>
        </w:tc>
        <w:tc>
          <w:tcPr/>
          <w:p>
            <w:pPr>
              <w:pStyle w:val="Compact"/>
              <w:jc w:val="right"/>
            </w:pPr>
            <w:r>
              <w:t xml:space="preserve">0.9750</w:t>
            </w:r>
          </w:p>
        </w:tc>
        <w:tc>
          <w:tcPr/>
          <w:p>
            <w:pPr>
              <w:pStyle w:val="Compact"/>
              <w:jc w:val="left"/>
            </w:pPr>
            <w:r>
              <w:rPr>
                <w:rFonts w:hint="eastAsia"/>
              </w:rPr>
              <w:t xml:space="preserve">高价下需求会调整，但</w:t>
            </w:r>
            <w:r>
              <w:t xml:space="preserve"> OPEC </w:t>
            </w:r>
            <w:r>
              <w:rPr>
                <w:rFonts w:hint="eastAsia"/>
              </w:rPr>
              <w:t xml:space="preserve">正常需求增长使长期弹性略收敛</w:t>
            </w:r>
          </w:p>
        </w:tc>
      </w:tr>
      <w:tr>
        <w:tc>
          <w:tcPr/>
          <w:p>
            <w:pPr>
              <w:pStyle w:val="Compact"/>
              <w:jc w:val="left"/>
            </w:pPr>
            <w:r>
              <w:t xml:space="preserve">SPR </w:t>
            </w:r>
            <w:r>
              <w:rPr>
                <w:rFonts w:hint="eastAsia"/>
              </w:rPr>
              <w:t xml:space="preserve">释放上限可信度</w:t>
            </w:r>
          </w:p>
        </w:tc>
        <w:tc>
          <w:tcPr/>
          <w:p>
            <w:pPr>
              <w:pStyle w:val="Compact"/>
              <w:jc w:val="right"/>
            </w:pPr>
            <w:r>
              <w:t xml:space="preserve">0.9672</w:t>
            </w:r>
          </w:p>
        </w:tc>
        <w:tc>
          <w:tcPr/>
          <w:p>
            <w:pPr>
              <w:pStyle w:val="Compact"/>
              <w:jc w:val="left"/>
            </w:pPr>
            <w:r>
              <w:t xml:space="preserve">EIA </w:t>
            </w:r>
            <w:r>
              <w:rPr>
                <w:rFonts w:hint="eastAsia"/>
              </w:rPr>
              <w:t xml:space="preserve">美国</w:t>
            </w:r>
            <w:r>
              <w:t xml:space="preserve"> SPR </w:t>
            </w:r>
            <w:r>
              <w:rPr>
                <w:rFonts w:hint="eastAsia"/>
              </w:rPr>
              <w:t xml:space="preserve">实际释放较温和，因此全球协调释放上限作小幅折扣</w:t>
            </w:r>
          </w:p>
        </w:tc>
      </w:tr>
      <w:tr>
        <w:tc>
          <w:tcPr/>
          <w:p>
            <w:pPr>
              <w:pStyle w:val="Compact"/>
              <w:jc w:val="left"/>
            </w:pPr>
            <w:r>
              <w:rPr>
                <w:rFonts w:hint="eastAsia"/>
              </w:rPr>
              <w:t xml:space="preserve">贸易收缩风险权重</w:t>
            </w:r>
          </w:p>
        </w:tc>
        <w:tc>
          <w:tcPr/>
          <w:p>
            <w:pPr>
              <w:pStyle w:val="Compact"/>
              <w:jc w:val="right"/>
            </w:pPr>
            <w:r>
              <w:t xml:space="preserve">1.0543</w:t>
            </w:r>
          </w:p>
        </w:tc>
        <w:tc>
          <w:tcPr/>
          <w:p>
            <w:pPr>
              <w:pStyle w:val="Compact"/>
              <w:jc w:val="left"/>
            </w:pPr>
            <w:r>
              <w:t xml:space="preserve">JODI </w:t>
            </w:r>
            <w:r>
              <w:rPr>
                <w:rFonts w:hint="eastAsia"/>
              </w:rPr>
              <w:t xml:space="preserve">进出口收缩叠加</w:t>
            </w:r>
            <w:r>
              <w:t xml:space="preserve"> OPEC DoC </w:t>
            </w:r>
            <w:r>
              <w:rPr>
                <w:rFonts w:hint="eastAsia"/>
              </w:rPr>
              <w:t xml:space="preserve">需求差额上升，抬升尾部风险</w:t>
            </w:r>
          </w:p>
        </w:tc>
      </w:tr>
      <w:tr>
        <w:tc>
          <w:tcPr/>
          <w:p>
            <w:pPr>
              <w:pStyle w:val="Compact"/>
              <w:jc w:val="left"/>
            </w:pPr>
            <w:r>
              <w:rPr>
                <w:rFonts w:hint="eastAsia"/>
              </w:rPr>
              <w:t xml:space="preserve">长期不确定性强度</w:t>
            </w:r>
          </w:p>
        </w:tc>
        <w:tc>
          <w:tcPr/>
          <w:p>
            <w:pPr>
              <w:pStyle w:val="Compact"/>
              <w:jc w:val="right"/>
            </w:pPr>
            <w:r>
              <w:t xml:space="preserve">1.0303</w:t>
            </w:r>
          </w:p>
        </w:tc>
        <w:tc>
          <w:tcPr/>
          <w:p>
            <w:pPr>
              <w:pStyle w:val="Compact"/>
              <w:jc w:val="left"/>
            </w:pPr>
            <w:r>
              <w:rPr>
                <w:rFonts w:hint="eastAsia"/>
              </w:rPr>
              <w:t xml:space="preserve">贸易收缩和下半年需求差额峰值使制度风险略上调</w:t>
            </w:r>
          </w:p>
        </w:tc>
      </w:tr>
    </w:tbl>
    <w:bookmarkEnd w:id="116"/>
    <w:bookmarkEnd w:id="117"/>
    <w:bookmarkStart w:id="133"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94.36</w:t>
            </w:r>
          </w:p>
        </w:tc>
        <w:tc>
          <w:tcPr/>
          <w:p>
            <w:pPr>
              <w:pStyle w:val="Compact"/>
              <w:jc w:val="right"/>
            </w:pPr>
            <w:r>
              <w:t xml:space="preserve">92.79</w:t>
            </w:r>
          </w:p>
        </w:tc>
        <w:tc>
          <w:tcPr/>
          <w:p>
            <w:pPr>
              <w:pStyle w:val="Compact"/>
              <w:jc w:val="right"/>
            </w:pPr>
            <w:r>
              <w:t xml:space="preserve">87.78</w:t>
            </w:r>
          </w:p>
        </w:tc>
        <w:tc>
          <w:tcPr/>
          <w:p>
            <w:pPr>
              <w:pStyle w:val="Compact"/>
              <w:jc w:val="right"/>
            </w:pPr>
            <w:r>
              <w:t xml:space="preserve">103.79</w:t>
            </w:r>
          </w:p>
        </w:tc>
        <w:tc>
          <w:tcPr/>
          <w:p>
            <w:pPr>
              <w:pStyle w:val="Compact"/>
              <w:jc w:val="right"/>
            </w:pPr>
            <w:r>
              <w:t xml:space="preserve">92.16</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107.12</w:t>
            </w:r>
          </w:p>
        </w:tc>
        <w:tc>
          <w:tcPr/>
          <w:p>
            <w:pPr>
              <w:pStyle w:val="Compact"/>
              <w:jc w:val="right"/>
            </w:pPr>
            <w:r>
              <w:t xml:space="preserve">102.43</w:t>
            </w:r>
          </w:p>
        </w:tc>
        <w:tc>
          <w:tcPr/>
          <w:p>
            <w:pPr>
              <w:pStyle w:val="Compact"/>
              <w:jc w:val="right"/>
            </w:pPr>
            <w:r>
              <w:t xml:space="preserve">94.15</w:t>
            </w:r>
          </w:p>
        </w:tc>
        <w:tc>
          <w:tcPr/>
          <w:p>
            <w:pPr>
              <w:pStyle w:val="Compact"/>
              <w:jc w:val="right"/>
            </w:pPr>
            <w:r>
              <w:t xml:space="preserve">110.68</w:t>
            </w:r>
          </w:p>
        </w:tc>
        <w:tc>
          <w:tcPr/>
          <w:p>
            <w:pPr>
              <w:pStyle w:val="Compact"/>
              <w:jc w:val="right"/>
            </w:pPr>
            <w:r>
              <w:t xml:space="preserve">102.17</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127.81</w:t>
            </w:r>
          </w:p>
        </w:tc>
        <w:tc>
          <w:tcPr/>
          <w:p>
            <w:pPr>
              <w:pStyle w:val="Compact"/>
              <w:jc w:val="right"/>
            </w:pPr>
            <w:r>
              <w:t xml:space="preserve">118.64</w:t>
            </w:r>
          </w:p>
        </w:tc>
        <w:tc>
          <w:tcPr/>
          <w:p>
            <w:pPr>
              <w:pStyle w:val="Compact"/>
              <w:jc w:val="right"/>
            </w:pPr>
            <w:r>
              <w:t xml:space="preserve">110.16</w:t>
            </w:r>
          </w:p>
        </w:tc>
        <w:tc>
          <w:tcPr/>
          <w:p>
            <w:pPr>
              <w:pStyle w:val="Compact"/>
              <w:jc w:val="right"/>
            </w:pPr>
            <w:r>
              <w:t xml:space="preserve">133.91</w:t>
            </w:r>
          </w:p>
        </w:tc>
        <w:tc>
          <w:tcPr/>
          <w:p>
            <w:pPr>
              <w:pStyle w:val="Compact"/>
              <w:jc w:val="right"/>
            </w:pPr>
            <w:r>
              <w:t xml:space="preserve">120.01</w:t>
            </w:r>
          </w:p>
        </w:tc>
        <w:tc>
          <w:tcPr/>
          <w:p>
            <w:pPr>
              <w:pStyle w:val="Compact"/>
              <w:jc w:val="right"/>
            </w:pPr>
            <w:r>
              <w:rPr>
                <w:rFonts w:hint="eastAsia"/>
              </w:rPr>
              <w:t xml:space="preserve">高</w:t>
            </w:r>
          </w:p>
        </w:tc>
      </w:tr>
    </w:tbl>
    <w:bookmarkStart w:id="121" w:name="fig:long-term-fan"/>
    <w:p>
      <w:pPr>
        <w:pStyle w:val="CaptionedFigure"/>
      </w:pPr>
      <w:r>
        <w:drawing>
          <wp:inline>
            <wp:extent cx="5227320" cy="2777013"/>
            <wp:effectExtent b="0" l="0" r="0" t="0"/>
            <wp:docPr descr="" title="" id="119" name="Picture"/>
            <a:graphic>
              <a:graphicData uri="http://schemas.openxmlformats.org/drawingml/2006/picture">
                <pic:pic>
                  <pic:nvPicPr>
                    <pic:cNvPr descr="蒙特卡洛情景树高级组合图.png" id="120" name="Picture"/>
                    <pic:cNvPicPr>
                      <a:picLocks noChangeArrowheads="1" noChangeAspect="1"/>
                    </pic:cNvPicPr>
                  </pic:nvPicPr>
                  <pic:blipFill>
                    <a:blip r:embed="rId118"/>
                    <a:stretch>
                      <a:fillRect/>
                    </a:stretch>
                  </pic:blipFill>
                  <pic:spPr bwMode="auto">
                    <a:xfrm>
                      <a:off x="0" y="0"/>
                      <a:ext cx="5227320" cy="2777013"/>
                    </a:xfrm>
                    <a:prstGeom prst="rect">
                      <a:avLst/>
                    </a:prstGeom>
                    <a:noFill/>
                    <a:ln w="9525">
                      <a:noFill/>
                      <a:headEnd/>
                      <a:tailEnd/>
                    </a:ln>
                  </pic:spPr>
                </pic:pic>
              </a:graphicData>
            </a:graphic>
          </wp:inline>
        </w:drawing>
      </w:r>
    </w:p>
    <w:p>
      <w:pPr>
        <w:pStyle w:val="ImageCaption"/>
      </w:pPr>
      <w:r>
        <w:rPr>
          <w:rFonts w:hint="eastAsia"/>
        </w:rPr>
        <w:t xml:space="preserve">长期情景预测主图：蒙特卡洛情景树高级组合图。左侧展示中心路径、抽样路径云和</w:t>
      </w:r>
      <w:r>
        <w:t xml:space="preserve"> 5%–95% / 25%–75% </w:t>
      </w:r>
      <w:r>
        <w:rPr>
          <w:rFonts w:hint="eastAsia"/>
        </w:rPr>
        <w:t xml:space="preserve">条件区间，右上展示第</w:t>
      </w:r>
      <w:r>
        <w:t xml:space="preserve"> 180 </w:t>
      </w:r>
      <w:r>
        <w:rPr>
          <w:rFonts w:hint="eastAsia"/>
        </w:rPr>
        <w:t xml:space="preserve">天终点分布，右下展示外推期突破</w:t>
      </w:r>
      <w:r>
        <w:t xml:space="preserve"> 120、130 </w:t>
      </w:r>
      <w:r>
        <w:rPr>
          <w:rFonts w:hint="eastAsia"/>
        </w:rPr>
        <w:t xml:space="preserve">美元/桶的累计概率曲线；该图证明长期结论应读作条件区间和尾部概率，而不是单点预测。</w:t>
      </w:r>
    </w:p>
    <w:bookmarkEnd w:id="121"/>
    <w:p>
      <w:pPr>
        <w:pStyle w:val="CaptionedFigure"/>
      </w:pPr>
      <w:r>
        <w:drawing>
          <wp:inline>
            <wp:extent cx="5013960" cy="2757678"/>
            <wp:effectExtent b="0" l="0" r="0" t="0"/>
            <wp:docPr descr="" title="" id="123" name="Picture"/>
            <a:graphic>
              <a:graphicData uri="http://schemas.openxmlformats.org/drawingml/2006/picture">
                <pic:pic>
                  <pic:nvPicPr>
                    <pic:cNvPr descr="短期拟合与长期预测总览.png" id="124" name="Picture"/>
                    <pic:cNvPicPr>
                      <a:picLocks noChangeArrowheads="1" noChangeAspect="1"/>
                    </pic:cNvPicPr>
                  </pic:nvPicPr>
                  <pic:blipFill>
                    <a:blip r:embed="rId122"/>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图</w:t>
      </w:r>
      <w:r>
        <w:t xml:space="preserve"> </w:t>
      </w:r>
      <w:hyperlink w:anchor="fig:long-term-fan">
        <w:r>
          <w:rPr>
            <w:rStyle w:val="Hyperlink"/>
          </w:rPr>
          <w:t xml:space="preserve">6</w:t>
        </w:r>
      </w:hyperlink>
      <w:r>
        <w:t xml:space="preserve"> </w:t>
      </w:r>
      <w:r>
        <w:rPr>
          <w:rFonts w:hint="eastAsia"/>
        </w:rPr>
        <w:t xml:space="preserve">给出长期情景预测的主图。为刻画中心路径之外的事件状态不确定性，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进一步地，本文用</w:t>
      </w:r>
      <w:r>
        <w:t xml:space="preserve"> GPR </w:t>
      </w:r>
      <w:r>
        <w:rPr>
          <w:rFonts w:hint="eastAsia"/>
        </w:rPr>
        <w:t xml:space="preserve">事件月历史分位数、OVX</w:t>
      </w:r>
      <w:r>
        <w:t xml:space="preserve"> </w:t>
      </w:r>
      <w:r>
        <w:rPr>
          <w:rFonts w:hint="eastAsia"/>
        </w:rPr>
        <w:t xml:space="preserve">冲突窗口历史分位数以及滞后</w:t>
      </w:r>
      <w:r>
        <w:t xml:space="preserve"> OVX </w:t>
      </w:r>
      <w:r>
        <w:rPr>
          <w:rFonts w:hint="eastAsia"/>
        </w:rPr>
        <w:t xml:space="preserve">与实现波动率相关性生成综合状态转移压力，用于温和提高早中期升级概率。这样得到的长期图由中心路径、状态概率和尾部区间共同构成。</w:t>
      </w:r>
    </w:p>
    <w:p>
      <w:pPr>
        <w:pStyle w:val="BodyText"/>
      </w:pPr>
      <w:r>
        <w:rPr>
          <w:rFonts w:hint="eastAsia"/>
        </w:rPr>
        <w:t xml:space="preserve">三状态马尔可夫链的基础转移矩阵设为</w:t>
      </w:r>
    </w:p>
    <w:p>
      <w:pPr>
        <w:pStyle w:val="BodyText"/>
      </w:pPr>
      <m:oMathPara>
        <m:oMathParaPr>
          <m:jc m:val="center"/>
        </m:oMathParaPr>
        <m:oMath>
          <m:sSub>
            <m:e>
              <m:r>
                <m:t>M</m:t>
              </m:r>
            </m:e>
            <m:sub>
              <m:r>
                <m:t>0</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0.90</m:t>
                    </m:r>
                  </m:e>
                  <m:e>
                    <m:r>
                      <m:t>0.09</m:t>
                    </m:r>
                  </m:e>
                  <m:e>
                    <m:r>
                      <m:t>0.01</m:t>
                    </m:r>
                  </m:e>
                </m:mr>
                <m:mr>
                  <m:e>
                    <m:r>
                      <m:t>0.16</m:t>
                    </m:r>
                  </m:e>
                  <m:e>
                    <m:r>
                      <m:t>0.78</m:t>
                    </m:r>
                  </m:e>
                  <m:e>
                    <m:r>
                      <m:t>0.06</m:t>
                    </m:r>
                  </m:e>
                </m:mr>
                <m:mr>
                  <m:e>
                    <m:r>
                      <m:t>0.07</m:t>
                    </m:r>
                  </m:e>
                  <m:e>
                    <m:r>
                      <m:t>0.24</m:t>
                    </m:r>
                  </m:e>
                  <m:e>
                    <m:r>
                      <m:t>0.69</m:t>
                    </m:r>
                  </m:e>
                </m:mr>
              </m:m>
            </m:e>
          </m:d>
          <m:r>
            <m:rPr>
              <m:sty m:val="p"/>
            </m:rPr>
            <m:t>,</m:t>
          </m:r>
          <m:r>
            <m:t> </m:t>
          </m:r>
          <m:r>
            <m:rPr>
              <m:nor/>
              <m:sty m:val="p"/>
            </m:rPr>
            <m:t>行、列顺序均为 </m:t>
          </m:r>
          <m:r>
            <m:rPr>
              <m:sty m:val="p"/>
            </m:rPr>
            <m:t>(</m:t>
          </m:r>
          <m:r>
            <m:rPr>
              <m:nor/>
              <m:sty m:val="p"/>
            </m:rPr>
            <m:t>缓和</m:t>
          </m:r>
          <m:r>
            <m:rPr>
              <m:sty m:val="p"/>
            </m:rPr>
            <m:t>,</m:t>
          </m:r>
          <m:r>
            <m:rPr>
              <m:nor/>
              <m:sty m:val="p"/>
            </m:rPr>
            <m:t>维持</m:t>
          </m:r>
          <m:r>
            <m:rPr>
              <m:sty m:val="p"/>
            </m:rPr>
            <m:t>,</m:t>
          </m:r>
          <m:r>
            <m:rPr>
              <m:nor/>
              <m:sty m:val="p"/>
            </m:rPr>
            <m:t>升级</m:t>
          </m:r>
          <m:r>
            <m:rPr>
              <m:sty m:val="p"/>
            </m:rPr>
            <m:t>)</m:t>
          </m:r>
          <m:r>
            <m:rPr>
              <m:sty m:val="p"/>
            </m:rPr>
            <m:t>.</m:t>
          </m:r>
        </m:oMath>
      </m:oMathPara>
    </w:p>
    <w:p>
      <w:pPr>
        <w:pStyle w:val="FirstParagraph"/>
      </w:pPr>
      <w:r>
        <w:rPr>
          <w:rFonts w:hint="eastAsia"/>
        </w:rPr>
        <w:t xml:space="preserve">矩阵含义见表</w:t>
      </w:r>
      <w:r>
        <w:t xml:space="preserve"> </w:t>
      </w:r>
      <w:hyperlink w:anchor="tab:state-transition-matrix">
        <w:r>
          <w:rPr>
            <w:rStyle w:val="Hyperlink"/>
          </w:rPr>
          <w:t xml:space="preserve">7</w:t>
        </w:r>
      </w:hyperlink>
      <w:r>
        <w:rPr>
          <w:rFonts w:hint="eastAsia"/>
        </w:rPr>
        <w:t xml:space="preserve">。基础矩阵体现三个假设：缓和状态具有较强持续性，维持状态是最常见的中间状态，升级状态也可能持续但更容易回到维持状态。外部风险读数通过综合压力</w:t>
      </w:r>
      <w:r>
        <w:t xml:space="preserve"> </w:t>
      </w:r>
      <m:oMath>
        <m:r>
          <m:t>q</m:t>
        </m:r>
        <m:r>
          <m:rPr>
            <m:sty m:val="p"/>
          </m:rPr>
          <m:t>∈</m:t>
        </m:r>
        <m:r>
          <m:rPr>
            <m:sty m:val="p"/>
          </m:rPr>
          <m:t>[</m:t>
        </m:r>
        <m:r>
          <m:t>0</m:t>
        </m:r>
        <m:r>
          <m:rPr>
            <m:sty m:val="p"/>
          </m:rPr>
          <m:t>,</m:t>
        </m:r>
        <m:r>
          <m:t>1</m:t>
        </m:r>
        <m:r>
          <m:rPr>
            <m:sty m:val="p"/>
          </m:rPr>
          <m:t>]</m:t>
        </m:r>
      </m:oMath>
      <w:r>
        <w:t xml:space="preserve"> </w:t>
      </w:r>
      <w:r>
        <w:rPr>
          <w:rFonts w:hint="eastAsia"/>
        </w:rPr>
        <w:t xml:space="preserve">进入时变矩阵：</w:t>
      </w:r>
    </w:p>
    <w:p>
      <w:pPr>
        <w:pStyle w:val="BodyText"/>
      </w:pPr>
      <m:oMathPara>
        <m:oMathParaPr>
          <m:jc m:val="center"/>
        </m:oMathParaPr>
        <m:oMath>
          <m:r>
            <m:t>q</m:t>
          </m:r>
          <m:r>
            <m:rPr>
              <m:sty m:val="p"/>
            </m:rPr>
            <m:t>=</m:t>
          </m:r>
          <m:r>
            <m:t>0.6</m:t>
          </m:r>
          <m:sSub>
            <m:e>
              <m:r>
                <m:t>q</m:t>
              </m:r>
            </m:e>
            <m:sub>
              <m:r>
                <m:rPr>
                  <m:sty m:val="p"/>
                </m:rPr>
                <m:t>O</m:t>
              </m:r>
              <m:r>
                <m:rPr>
                  <m:sty m:val="p"/>
                </m:rPr>
                <m:t>V</m:t>
              </m:r>
              <m:r>
                <m:rPr>
                  <m:sty m:val="p"/>
                </m:rPr>
                <m:t>X</m:t>
              </m:r>
            </m:sub>
          </m:sSub>
          <m:r>
            <m:rPr>
              <m:sty m:val="p"/>
            </m:rPr>
            <m:t>+</m:t>
          </m:r>
          <m:r>
            <m:t>0.4</m:t>
          </m:r>
          <m:sSub>
            <m:e>
              <m:r>
                <m:t>q</m:t>
              </m:r>
            </m:e>
            <m:sub>
              <m:r>
                <m:rPr>
                  <m:sty m:val="p"/>
                </m:rPr>
                <m:t>G</m:t>
              </m:r>
              <m:r>
                <m:rPr>
                  <m:sty m:val="p"/>
                </m:rPr>
                <m:t>P</m:t>
              </m:r>
              <m:r>
                <m:rPr>
                  <m:sty m:val="p"/>
                </m:rPr>
                <m:t>R</m:t>
              </m:r>
            </m:sub>
          </m:sSub>
          <m:r>
            <m:rPr>
              <m:sty m:val="p"/>
            </m:rPr>
            <m:t>,</m:t>
          </m:r>
          <m:r>
            <m:t> </m:t>
          </m:r>
          <m:sSub>
            <m:e>
              <m:r>
                <m:t>d</m:t>
              </m:r>
            </m:e>
            <m:sub>
              <m:r>
                <m:t>t</m:t>
              </m:r>
            </m:sub>
          </m:sSub>
          <m:r>
            <m:rPr>
              <m:sty m:val="p"/>
            </m:rPr>
            <m:t>=</m:t>
          </m:r>
          <m:r>
            <m:rPr>
              <m:sty m:val="p"/>
            </m:rPr>
            <m:t>c</m:t>
          </m:r>
          <m:r>
            <m:rPr>
              <m:sty m:val="p"/>
            </m:rPr>
            <m:t>l</m:t>
          </m:r>
          <m:r>
            <m:rPr>
              <m:sty m:val="p"/>
            </m:rPr>
            <m:t>i</m:t>
          </m:r>
          <m:r>
            <m:rPr>
              <m:sty m:val="p"/>
            </m:rPr>
            <m:t>p</m:t>
          </m:r>
          <m:d>
            <m:dPr>
              <m:begChr m:val="("/>
              <m:sepChr m:val=""/>
              <m:endChr m:val=")"/>
              <m:grow/>
            </m:dPr>
            <m:e>
              <m:r>
                <m:t>1</m:t>
              </m:r>
              <m:r>
                <m:rPr>
                  <m:sty m:val="p"/>
                </m:rPr>
                <m:t>−</m:t>
              </m:r>
              <m:f>
                <m:fPr>
                  <m:type m:val="bar"/>
                </m:fPr>
                <m:num>
                  <m:r>
                    <m:t>t</m:t>
                  </m:r>
                  <m:r>
                    <m:rPr>
                      <m:sty m:val="p"/>
                    </m:rPr>
                    <m:t>−</m:t>
                  </m:r>
                  <m:r>
                    <m:t>60</m:t>
                  </m:r>
                </m:num>
                <m:den>
                  <m:r>
                    <m:t>140</m:t>
                  </m:r>
                </m:den>
              </m:f>
              <m:r>
                <m:rPr>
                  <m:sty m:val="p"/>
                </m:rPr>
                <m:t>,</m:t>
              </m:r>
              <m:r>
                <m:t>0.18</m:t>
              </m:r>
              <m:r>
                <m:rPr>
                  <m:sty m:val="p"/>
                </m:rPr>
                <m:t>,</m:t>
              </m:r>
              <m:r>
                <m:t>1</m:t>
              </m:r>
            </m:e>
          </m:d>
          <m:r>
            <m:rPr>
              <m:sty m:val="p"/>
            </m:rPr>
            <m:t>,</m:t>
          </m:r>
        </m:oMath>
      </m:oMathPara>
    </w:p>
    <w:p>
      <w:pPr>
        <w:pStyle w:val="FirstParagraph"/>
      </w:pPr>
      <w:r>
        <w:rPr>
          <w:rFonts w:hint="eastAsia"/>
        </w:rPr>
        <w:t xml:space="preserve">其中</w:t>
      </w:r>
      <w:r>
        <w:t xml:space="preserve"> </w:t>
      </w:r>
      <m:oMath>
        <m:sSub>
          <m:e>
            <m:r>
              <m:t>q</m:t>
            </m:r>
          </m:e>
          <m:sub>
            <m:r>
              <m:rPr>
                <m:sty m:val="p"/>
              </m:rPr>
              <m:t>O</m:t>
            </m:r>
            <m:r>
              <m:rPr>
                <m:sty m:val="p"/>
              </m:rPr>
              <m:t>V</m:t>
            </m:r>
            <m:r>
              <m:rPr>
                <m:sty m:val="p"/>
              </m:rPr>
              <m:t>X</m:t>
            </m:r>
          </m:sub>
        </m:sSub>
      </m:oMath>
      <w:r>
        <w:t xml:space="preserve"> </w:t>
      </w:r>
      <w:r>
        <w:rPr>
          <w:rFonts w:hint="eastAsia"/>
        </w:rPr>
        <w:t xml:space="preserve">由</w:t>
      </w:r>
      <w:r>
        <w:t xml:space="preserve"> OVX </w:t>
      </w:r>
      <w:r>
        <w:rPr>
          <w:rFonts w:hint="eastAsia"/>
        </w:rPr>
        <w:t xml:space="preserve">冲突窗口历史分位数和滞后</w:t>
      </w:r>
      <w:r>
        <w:t xml:space="preserve"> OVX </w:t>
      </w:r>
      <w:r>
        <w:rPr>
          <w:rFonts w:hint="eastAsia"/>
        </w:rPr>
        <w:t xml:space="preserve">与</w:t>
      </w:r>
      <w:r>
        <w:t xml:space="preserve"> 7 </w:t>
      </w:r>
      <w:r>
        <w:rPr>
          <w:rFonts w:hint="eastAsia"/>
        </w:rPr>
        <w:t xml:space="preserve">日实现波动率相关性计算，</w:t>
      </w:r>
      <m:oMath>
        <m:sSub>
          <m:e>
            <m:r>
              <m:t>q</m:t>
            </m:r>
          </m:e>
          <m:sub>
            <m:r>
              <m:rPr>
                <m:sty m:val="p"/>
              </m:rPr>
              <m:t>G</m:t>
            </m:r>
            <m:r>
              <m:rPr>
                <m:sty m:val="p"/>
              </m:rPr>
              <m:t>P</m:t>
            </m:r>
            <m:r>
              <m:rPr>
                <m:sty m:val="p"/>
              </m:rPr>
              <m:t>R</m:t>
            </m:r>
          </m:sub>
        </m:sSub>
      </m:oMath>
      <w:r>
        <w:t xml:space="preserve"> </w:t>
      </w:r>
      <w:r>
        <w:rPr>
          <w:rFonts w:hint="eastAsia"/>
        </w:rPr>
        <w:t xml:space="preserve">由</w:t>
      </w:r>
      <w:r>
        <w:t xml:space="preserve"> GPR </w:t>
      </w:r>
      <w:r>
        <w:rPr>
          <w:rFonts w:hint="eastAsia"/>
        </w:rPr>
        <w:t xml:space="preserve">事件月历史分位数计算。本项目实算得到</w:t>
      </w:r>
      <w:r>
        <w:t xml:space="preserve"> </w:t>
      </w:r>
      <m:oMath>
        <m:r>
          <m:t>q</m:t>
        </m:r>
        <m:r>
          <m:rPr>
            <m:sty m:val="p"/>
          </m:rPr>
          <m:t>=</m:t>
        </m:r>
        <m:r>
          <m:t>0.831</m:t>
        </m:r>
      </m:oMath>
      <w:r>
        <w:rPr>
          <w:rFonts w:hint="eastAsia"/>
        </w:rPr>
        <w:t xml:space="preserve">。对基础矩阵第</w:t>
      </w:r>
      <w:r>
        <w:t xml:space="preserve"> </w:t>
      </w:r>
      <m:oMath>
        <m:r>
          <m:t>i</m:t>
        </m:r>
      </m:oMath>
      <w:r>
        <w:t xml:space="preserve"> </w:t>
      </w:r>
      <w:r>
        <w:rPr>
          <w:rFonts w:hint="eastAsia"/>
        </w:rPr>
        <w:t xml:space="preserve">行</w:t>
      </w:r>
      <w:r>
        <w:t xml:space="preserve"> </w:t>
      </w:r>
      <m:oMath>
        <m:sSub>
          <m:e>
            <m:r>
              <m:t>m</m:t>
            </m:r>
          </m:e>
          <m:sub>
            <m:r>
              <m:t>i</m:t>
            </m:r>
          </m:sub>
        </m:sSub>
        <m:r>
          <m:rPr>
            <m:sty m:val="p"/>
          </m:rPr>
          <m:t>(</m:t>
        </m:r>
        <m:r>
          <m:t>t</m:t>
        </m:r>
        <m:r>
          <m:rPr>
            <m:sty m:val="p"/>
          </m:rPr>
          <m:t>)</m:t>
        </m:r>
      </m:oMath>
      <w:r>
        <w:t xml:space="preserve"> </w:t>
      </w:r>
      <w:r>
        <w:rPr>
          <w:rFonts w:hint="eastAsia"/>
        </w:rPr>
        <w:t xml:space="preserve">的修正为</w:t>
      </w:r>
    </w:p>
    <w:p>
      <w:pPr>
        <w:pStyle w:val="BodyText"/>
      </w:pPr>
      <m:oMathPara>
        <m:oMathParaPr>
          <m:jc m:val="center"/>
        </m:oMathParaPr>
        <m:oMath>
          <m:sSub>
            <m:e>
              <m:acc>
                <m:accPr>
                  <m:chr m:val="̃"/>
                </m:accPr>
                <m:e>
                  <m:r>
                    <m:t>m</m:t>
                  </m:r>
                </m:e>
              </m:acc>
            </m:e>
            <m:sub>
              <m:r>
                <m:t>i</m:t>
              </m:r>
              <m:r>
                <m:rPr>
                  <m:sty m:val="p"/>
                </m:rPr>
                <m:t>,</m:t>
              </m:r>
              <m:r>
                <m:t>E</m:t>
              </m:r>
            </m:sub>
          </m:sSub>
          <m:r>
            <m:rPr>
              <m:sty m:val="p"/>
            </m:rPr>
            <m:t>(</m:t>
          </m:r>
          <m:r>
            <m:t>t</m:t>
          </m:r>
          <m:r>
            <m:rPr>
              <m:sty m:val="p"/>
            </m:rPr>
            <m:t>)</m:t>
          </m:r>
          <m:r>
            <m:rPr>
              <m:sty m:val="p"/>
            </m:rPr>
            <m:t>=</m:t>
          </m:r>
          <m:sSub>
            <m:e>
              <m:r>
                <m:t>m</m:t>
              </m:r>
            </m:e>
            <m:sub>
              <m:r>
                <m:t>i</m:t>
              </m:r>
              <m:r>
                <m:rPr>
                  <m:sty m:val="p"/>
                </m:rPr>
                <m:t>,</m:t>
              </m:r>
              <m:r>
                <m:t>E</m:t>
              </m:r>
            </m:sub>
          </m:sSub>
          <m:r>
            <m:rPr>
              <m:sty m:val="p"/>
            </m:rPr>
            <m:t>+</m:t>
          </m:r>
          <m:r>
            <m:t>0.020</m:t>
          </m:r>
          <m:r>
            <m:t>q</m:t>
          </m:r>
          <m:sSub>
            <m:e>
              <m:r>
                <m:t>d</m:t>
              </m:r>
            </m:e>
            <m:sub>
              <m:r>
                <m:t>t</m:t>
              </m:r>
            </m:sub>
          </m:sSub>
          <m:r>
            <m:rPr>
              <m:sty m:val="p"/>
            </m:rPr>
            <m:t>,</m:t>
          </m:r>
          <m:r>
            <m:t> </m:t>
          </m:r>
          <m:sSub>
            <m:e>
              <m:acc>
                <m:accPr>
                  <m:chr m:val="̃"/>
                </m:accPr>
                <m:e>
                  <m:r>
                    <m:t>m</m:t>
                  </m:r>
                </m:e>
              </m:acc>
            </m:e>
            <m:sub>
              <m:r>
                <m:t>i</m:t>
              </m:r>
              <m:r>
                <m:rPr>
                  <m:sty m:val="p"/>
                </m:rPr>
                <m:t>,</m:t>
              </m:r>
              <m:r>
                <m:t>C</m:t>
              </m:r>
            </m:sub>
          </m:sSub>
          <m:r>
            <m:rPr>
              <m:sty m:val="p"/>
            </m:rPr>
            <m:t>(</m:t>
          </m:r>
          <m:r>
            <m:t>t</m:t>
          </m:r>
          <m:r>
            <m:rPr>
              <m:sty m:val="p"/>
            </m:rPr>
            <m:t>)</m:t>
          </m:r>
          <m:r>
            <m:rPr>
              <m:sty m:val="p"/>
            </m:rPr>
            <m:t>=</m:t>
          </m:r>
          <m:sSub>
            <m:e>
              <m:r>
                <m:t>m</m:t>
              </m:r>
            </m:e>
            <m:sub>
              <m:r>
                <m:t>i</m:t>
              </m:r>
              <m:r>
                <m:rPr>
                  <m:sty m:val="p"/>
                </m:rPr>
                <m:t>,</m:t>
              </m:r>
              <m:r>
                <m:t>C</m:t>
              </m:r>
            </m:sub>
          </m:sSub>
          <m:r>
            <m:rPr>
              <m:sty m:val="p"/>
            </m:rPr>
            <m:t>−</m:t>
          </m:r>
          <m:r>
            <m:t>0.014</m:t>
          </m:r>
          <m:r>
            <m:t>q</m:t>
          </m:r>
          <m:sSub>
            <m:e>
              <m:r>
                <m:t>d</m:t>
              </m:r>
            </m:e>
            <m:sub>
              <m:r>
                <m:t>t</m:t>
              </m:r>
            </m:sub>
          </m:sSub>
          <m:r>
            <m:rPr>
              <m:sty m:val="p"/>
            </m:rPr>
            <m:t>,</m:t>
          </m:r>
        </m:oMath>
      </m:oMathPara>
    </w:p>
    <w:p>
      <w:pPr>
        <w:pStyle w:val="FirstParagraph"/>
      </w:pPr>
      <w:r>
        <w:rPr>
          <w:rFonts w:hint="eastAsia"/>
        </w:rPr>
        <w:t xml:space="preserve">其中</w:t>
      </w:r>
      <w:r>
        <w:t xml:space="preserve"> </w:t>
      </w:r>
      <m:oMath>
        <m:r>
          <m:t>E</m:t>
        </m:r>
      </m:oMath>
      <w:r>
        <w:t xml:space="preserve"> </w:t>
      </w:r>
      <w:r>
        <w:rPr>
          <w:rFonts w:hint="eastAsia"/>
        </w:rPr>
        <w:t xml:space="preserve">表示升级列，</w:t>
      </w:r>
      <m:oMath>
        <m:r>
          <m:t>C</m:t>
        </m:r>
      </m:oMath>
      <w:r>
        <w:t xml:space="preserve"> </w:t>
      </w:r>
      <w:r>
        <w:rPr>
          <w:rFonts w:hint="eastAsia"/>
        </w:rPr>
        <w:t xml:space="preserve">表示缓和列；若当前已处于升级状态，则升级列额外增加</w:t>
      </w:r>
      <w:r>
        <w:t xml:space="preserve"> </w:t>
      </w:r>
      <m:oMath>
        <m:r>
          <m:t>0.010</m:t>
        </m:r>
        <m:r>
          <m:t>q</m:t>
        </m:r>
        <m:sSub>
          <m:e>
            <m:r>
              <m:t>d</m:t>
            </m:r>
          </m:e>
          <m:sub>
            <m:r>
              <m:t>t</m:t>
            </m:r>
          </m:sub>
        </m:sSub>
      </m:oMath>
      <w:r>
        <w:rPr>
          <w:rFonts w:hint="eastAsia"/>
        </w:rPr>
        <w:t xml:space="preserve">，维持列减少</w:t>
      </w:r>
      <w:r>
        <w:t xml:space="preserve"> </w:t>
      </w:r>
      <m:oMath>
        <m:r>
          <m:t>0.004</m:t>
        </m:r>
        <m:r>
          <m:t>q</m:t>
        </m:r>
        <m:sSub>
          <m:e>
            <m:r>
              <m:t>d</m:t>
            </m:r>
          </m:e>
          <m:sub>
            <m:r>
              <m:t>t</m:t>
            </m:r>
          </m:sub>
        </m:sSub>
      </m:oMath>
      <w:r>
        <w:rPr>
          <w:rFonts w:hint="eastAsia"/>
        </w:rPr>
        <w:t xml:space="preserve">；若当前处于缓和状态，则维持列增加</w:t>
      </w:r>
      <w:r>
        <w:t xml:space="preserve"> </w:t>
      </w:r>
      <m:oMath>
        <m:r>
          <m:t>0.006</m:t>
        </m:r>
        <m:r>
          <m:t>q</m:t>
        </m:r>
        <m:sSub>
          <m:e>
            <m:r>
              <m:t>d</m:t>
            </m:r>
          </m:e>
          <m:sub>
            <m:r>
              <m:t>t</m:t>
            </m:r>
          </m:sub>
        </m:sSub>
      </m:oMath>
      <w:r>
        <w:rPr>
          <w:rFonts w:hint="eastAsia"/>
        </w:rPr>
        <w:t xml:space="preserve">。第</w:t>
      </w:r>
      <w:r>
        <w:t xml:space="preserve"> 120 </w:t>
      </w:r>
      <w:r>
        <w:rPr>
          <w:rFonts w:hint="eastAsia"/>
        </w:rPr>
        <w:t xml:space="preserve">天后，缓和列上调</w:t>
      </w:r>
      <w:r>
        <w:t xml:space="preserve"> </w:t>
      </w:r>
      <w:r>
        <w:rPr>
          <w:rFonts w:hint="eastAsia"/>
        </w:rPr>
        <w:t xml:space="preserve">0.04、升级列下调</w:t>
      </w:r>
      <w:r>
        <w:t xml:space="preserve"> </w:t>
      </w:r>
      <w:r>
        <w:rPr>
          <w:rFonts w:hint="eastAsia"/>
        </w:rPr>
        <w:t xml:space="preserve">0.04；第</w:t>
      </w:r>
      <w:r>
        <w:t xml:space="preserve"> 150 </w:t>
      </w:r>
      <w:r>
        <w:rPr>
          <w:rFonts w:hint="eastAsia"/>
        </w:rPr>
        <w:t xml:space="preserve">天后，缓和列再上调</w:t>
      </w:r>
      <w:r>
        <w:t xml:space="preserve"> </w:t>
      </w:r>
      <w:r>
        <w:rPr>
          <w:rFonts w:hint="eastAsia"/>
        </w:rPr>
        <w:t xml:space="preserve">0.03，维持列和升级列分别下调</w:t>
      </w:r>
      <w:r>
        <w:t xml:space="preserve"> 0.02 </w:t>
      </w:r>
      <w:r>
        <w:rPr>
          <w:rFonts w:hint="eastAsia"/>
        </w:rPr>
        <w:t xml:space="preserve">与</w:t>
      </w:r>
      <w:r>
        <w:t xml:space="preserve"> </w:t>
      </w:r>
      <w:r>
        <w:rPr>
          <w:rFonts w:hint="eastAsia"/>
        </w:rPr>
        <w:t xml:space="preserve">0.01。所有行最后经非负裁剪和归一化处理。这一设定使状态转移既有固定结构，也受到市场隐含波动率和地缘风险读数的约束。</w:t>
      </w:r>
    </w:p>
    <w:bookmarkStart w:id="125" w:name="tab:state-transition-matrix"/>
    <w:p>
      <w:pPr>
        <w:pStyle w:val="TableCaption"/>
      </w:pPr>
      <w:r>
        <w:rPr>
          <w:rFonts w:hint="eastAsia"/>
        </w:rPr>
        <w:t xml:space="preserve">长期状态转移基础矩阵</w:t>
      </w:r>
    </w:p>
    <w:tbl>
      <w:tblPr>
        <w:tblStyle w:val="Table"/>
        <w:tblW w:type="auto" w:w="0"/>
        <w:tblLook w:firstRow="1" w:lastRow="0" w:firstColumn="0" w:lastColumn="0" w:noHBand="0" w:noVBand="0" w:val="0020"/>
        <w:tblCaption w:val="长期状态转移基础矩阵"/>
      </w:tblPr>
      <w:tblGrid>
        <w:gridCol w:w="1980"/>
        <w:gridCol w:w="1980"/>
        <w:gridCol w:w="1980"/>
        <w:gridCol w:w="1980"/>
      </w:tblGrid>
      <w:tr>
        <w:trPr>
          <w:tblHeader w:val="on"/>
        </w:trPr>
        <w:tc>
          <w:tcPr/>
          <w:p>
            <w:pPr>
              <w:pStyle w:val="Compact"/>
              <w:jc w:val="left"/>
            </w:pPr>
            <w:r>
              <w:rPr>
                <w:rFonts w:hint="eastAsia"/>
              </w:rPr>
              <w:t xml:space="preserve">当前状态</w:t>
            </w:r>
          </w:p>
        </w:tc>
        <w:tc>
          <w:tcPr/>
          <w:p>
            <w:pPr>
              <w:pStyle w:val="Compact"/>
              <w:jc w:val="right"/>
            </w:pPr>
            <w:r>
              <w:rPr>
                <w:rFonts w:hint="eastAsia"/>
              </w:rPr>
              <w:t xml:space="preserve">转为缓和</w:t>
            </w:r>
          </w:p>
        </w:tc>
        <w:tc>
          <w:tcPr/>
          <w:p>
            <w:pPr>
              <w:pStyle w:val="Compact"/>
              <w:jc w:val="right"/>
            </w:pPr>
            <w:r>
              <w:rPr>
                <w:rFonts w:hint="eastAsia"/>
              </w:rPr>
              <w:t xml:space="preserve">转为维持</w:t>
            </w:r>
          </w:p>
        </w:tc>
        <w:tc>
          <w:tcPr/>
          <w:p>
            <w:pPr>
              <w:pStyle w:val="Compact"/>
              <w:jc w:val="right"/>
            </w:pPr>
            <w:r>
              <w:rPr>
                <w:rFonts w:hint="eastAsia"/>
              </w:rPr>
              <w:t xml:space="preserve">转为升级</w:t>
            </w:r>
          </w:p>
        </w:tc>
      </w:tr>
      <w:tr>
        <w:tc>
          <w:tcPr/>
          <w:p>
            <w:pPr>
              <w:pStyle w:val="Compact"/>
              <w:jc w:val="left"/>
            </w:pPr>
            <w:r>
              <w:rPr>
                <w:rFonts w:hint="eastAsia"/>
              </w:rPr>
              <w:t xml:space="preserve">缓和</w:t>
            </w:r>
          </w:p>
        </w:tc>
        <w:tc>
          <w:tcPr/>
          <w:p>
            <w:pPr>
              <w:pStyle w:val="Compact"/>
              <w:jc w:val="right"/>
            </w:pPr>
            <w:r>
              <w:t xml:space="preserve">0.90</w:t>
            </w:r>
          </w:p>
        </w:tc>
        <w:tc>
          <w:tcPr/>
          <w:p>
            <w:pPr>
              <w:pStyle w:val="Compact"/>
              <w:jc w:val="right"/>
            </w:pPr>
            <w:r>
              <w:t xml:space="preserve">0.09</w:t>
            </w:r>
          </w:p>
        </w:tc>
        <w:tc>
          <w:tcPr/>
          <w:p>
            <w:pPr>
              <w:pStyle w:val="Compact"/>
              <w:jc w:val="right"/>
            </w:pPr>
            <w:r>
              <w:t xml:space="preserve">0.01</w:t>
            </w:r>
          </w:p>
        </w:tc>
      </w:tr>
      <w:tr>
        <w:tc>
          <w:tcPr/>
          <w:p>
            <w:pPr>
              <w:pStyle w:val="Compact"/>
              <w:jc w:val="left"/>
            </w:pPr>
            <w:r>
              <w:rPr>
                <w:rFonts w:hint="eastAsia"/>
              </w:rPr>
              <w:t xml:space="preserve">维持</w:t>
            </w:r>
          </w:p>
        </w:tc>
        <w:tc>
          <w:tcPr/>
          <w:p>
            <w:pPr>
              <w:pStyle w:val="Compact"/>
              <w:jc w:val="right"/>
            </w:pPr>
            <w:r>
              <w:t xml:space="preserve">0.16</w:t>
            </w:r>
          </w:p>
        </w:tc>
        <w:tc>
          <w:tcPr/>
          <w:p>
            <w:pPr>
              <w:pStyle w:val="Compact"/>
              <w:jc w:val="right"/>
            </w:pPr>
            <w:r>
              <w:t xml:space="preserve">0.78</w:t>
            </w:r>
          </w:p>
        </w:tc>
        <w:tc>
          <w:tcPr/>
          <w:p>
            <w:pPr>
              <w:pStyle w:val="Compact"/>
              <w:jc w:val="right"/>
            </w:pPr>
            <w:r>
              <w:t xml:space="preserve">0.06</w:t>
            </w:r>
          </w:p>
        </w:tc>
      </w:tr>
      <w:tr>
        <w:tc>
          <w:tcPr/>
          <w:p>
            <w:pPr>
              <w:pStyle w:val="Compact"/>
              <w:jc w:val="left"/>
            </w:pPr>
            <w:r>
              <w:rPr>
                <w:rFonts w:hint="eastAsia"/>
              </w:rPr>
              <w:t xml:space="preserve">升级</w:t>
            </w:r>
          </w:p>
        </w:tc>
        <w:tc>
          <w:tcPr/>
          <w:p>
            <w:pPr>
              <w:pStyle w:val="Compact"/>
              <w:jc w:val="right"/>
            </w:pPr>
            <w:r>
              <w:t xml:space="preserve">0.07</w:t>
            </w:r>
          </w:p>
        </w:tc>
        <w:tc>
          <w:tcPr/>
          <w:p>
            <w:pPr>
              <w:pStyle w:val="Compact"/>
              <w:jc w:val="right"/>
            </w:pPr>
            <w:r>
              <w:t xml:space="preserve">0.24</w:t>
            </w:r>
          </w:p>
        </w:tc>
        <w:tc>
          <w:tcPr/>
          <w:p>
            <w:pPr>
              <w:pStyle w:val="Compact"/>
              <w:jc w:val="right"/>
            </w:pPr>
            <w:r>
              <w:t xml:space="preserve">0.69</w:t>
            </w:r>
          </w:p>
        </w:tc>
      </w:tr>
    </w:tbl>
    <w:bookmarkEnd w:id="125"/>
    <w:bookmarkStart w:id="129" w:name="fig:state-transition-fan"/>
    <w:p>
      <w:pPr>
        <w:pStyle w:val="CaptionedFigure"/>
      </w:pPr>
      <w:r>
        <w:drawing>
          <wp:inline>
            <wp:extent cx="5013960" cy="3654242"/>
            <wp:effectExtent b="0" l="0" r="0" t="0"/>
            <wp:docPr descr="" title="" id="127" name="Picture"/>
            <a:graphic>
              <a:graphicData uri="http://schemas.openxmlformats.org/drawingml/2006/picture">
                <pic:pic>
                  <pic:nvPicPr>
                    <pic:cNvPr descr="长期状态转移情景树.png" id="128" name="Picture"/>
                    <pic:cNvPicPr>
                      <a:picLocks noChangeArrowheads="1" noChangeAspect="1"/>
                    </pic:cNvPicPr>
                  </pic:nvPicPr>
                  <pic:blipFill>
                    <a:blip r:embed="rId126"/>
                    <a:stretch>
                      <a:fillRect/>
                    </a:stretch>
                  </pic:blipFill>
                  <pic:spPr bwMode="auto">
                    <a:xfrm>
                      <a:off x="0" y="0"/>
                      <a:ext cx="5013960" cy="3654242"/>
                    </a:xfrm>
                    <a:prstGeom prst="rect">
                      <a:avLst/>
                    </a:prstGeom>
                    <a:noFill/>
                    <a:ln w="9525">
                      <a:noFill/>
                      <a:headEnd/>
                      <a:tailEnd/>
                    </a:ln>
                  </pic:spPr>
                </pic:pic>
              </a:graphicData>
            </a:graphic>
          </wp:inline>
        </w:drawing>
      </w:r>
    </w:p>
    <w:p>
      <w:pPr>
        <w:pStyle w:val="ImageCaption"/>
      </w:pPr>
      <w:r>
        <w:rPr>
          <w:rFonts w:hint="eastAsia"/>
        </w:rPr>
        <w:t xml:space="preserve">长期状态转移情景树。上图为状态转移后的价格扇形区间，下图为缓和、维持、升级三类状态的样本占比；该图用于回应长期中性线过平的问题，并展示二次升级风险如何进入尾部区间。</w:t>
      </w:r>
    </w:p>
    <w:bookmarkEnd w:id="129"/>
    <w:p>
      <w:pPr>
        <w:pStyle w:val="BodyText"/>
      </w:pPr>
      <w:r>
        <w:rPr>
          <w:rFonts w:hint="eastAsia"/>
        </w:rPr>
        <w:t xml:space="preserve">结果显示，中性情景下价格在</w:t>
      </w:r>
      <w:r>
        <w:t xml:space="preserve"> 180 </w:t>
      </w:r>
      <w:r>
        <w:rPr>
          <w:rFonts w:hint="eastAsia"/>
        </w:rPr>
        <w:t xml:space="preserve">天附近回落至约</w:t>
      </w:r>
      <w:r>
        <w:t xml:space="preserve"> 94.15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133.91 </w:t>
      </w:r>
      <w:r>
        <w:rPr>
          <w:rFonts w:hint="eastAsia"/>
        </w:rPr>
        <w:t xml:space="preserve">美元/桶的高点。图</w:t>
      </w:r>
      <w:r>
        <w:t xml:space="preserve"> </w:t>
      </w:r>
      <w:hyperlink w:anchor="fig:state-transition-fan">
        <w:r>
          <w:rPr>
            <w:rStyle w:val="Hyperlink"/>
          </w:rPr>
          <w:t xml:space="preserve">7</w:t>
        </w:r>
      </w:hyperlink>
      <w:r>
        <w:t xml:space="preserve"> </w:t>
      </w:r>
      <w:r>
        <w:rPr>
          <w:rFonts w:hint="eastAsia"/>
        </w:rPr>
        <w:t xml:space="preserve">的状态转移增强模型进一步给出第</w:t>
      </w:r>
      <w:r>
        <w:t xml:space="preserve"> 180 </w:t>
      </w:r>
      <w:r>
        <w:rPr>
          <w:rFonts w:hint="eastAsia"/>
        </w:rPr>
        <w:t xml:space="preserve">天</w:t>
      </w:r>
      <w:r>
        <w:t xml:space="preserve"> 5%–95% </w:t>
      </w:r>
      <w:r>
        <w:rPr>
          <w:rFonts w:hint="eastAsia"/>
        </w:rPr>
        <w:t xml:space="preserve">条件区间</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38.3%，说明长期中心路径的日度精度不能单独夸大，真正应关注的是尾部区间和状态切换风险。</w:t>
      </w:r>
    </w:p>
    <w:p>
      <w:pPr>
        <w:pStyle w:val="TableCaption"/>
      </w:pPr>
      <w:r>
        <w:rPr>
          <w:rFonts w:hint="eastAsia"/>
        </w:rPr>
        <w:t xml:space="preserve">长期情景预测的可信度评价框架</w:t>
      </w:r>
    </w:p>
    <w:tbl>
      <w:tblPr>
        <w:tblStyle w:val="Table"/>
        <w:tblW w:type="auto" w:w="0"/>
        <w:tblLook w:firstRow="1" w:lastRow="0" w:firstColumn="0" w:lastColumn="0" w:noHBand="0" w:noVBand="0" w:val="0020"/>
        <w:tblCaption w:val="长期情景预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检验情景逻辑是否自洽，不代表未来真实价格已经被验证</w:t>
            </w:r>
          </w:p>
        </w:tc>
      </w:tr>
      <w:tr>
        <w:tc>
          <w:tcPr/>
          <w:p>
            <w:pPr>
              <w:pStyle w:val="Compact"/>
              <w:jc w:val="left"/>
            </w:pPr>
            <w:r>
              <w:rPr>
                <w:rFonts w:hint="eastAsia"/>
              </w:rPr>
              <w:t xml:space="preserve">外部数量级校验</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SPR、商业库存和美国原油产量，叠加</w:t>
            </w:r>
            <w:r>
              <w:t xml:space="preserve"> JODI </w:t>
            </w:r>
            <w:r>
              <w:rPr>
                <w:rFonts w:hint="eastAsia"/>
              </w:rPr>
              <w:t xml:space="preserve">多国月度产量、库存、进出口、需求和炼厂产出、OPEC</w:t>
            </w:r>
            <w:r>
              <w:t xml:space="preserve"> </w:t>
            </w:r>
            <w:r>
              <w:rPr>
                <w:rFonts w:hint="eastAsia"/>
              </w:rPr>
              <w:t xml:space="preserve">全球供需平衡表，以及</w:t>
            </w:r>
            <w:r>
              <w:t xml:space="preserve"> OVX </w:t>
            </w:r>
            <w:r>
              <w:rPr>
                <w:rFonts w:hint="eastAsia"/>
              </w:rPr>
              <w:t xml:space="preserve">隐含波动率</w:t>
            </w:r>
          </w:p>
        </w:tc>
        <w:tc>
          <w:tcPr/>
          <w:p>
            <w:pPr>
              <w:pStyle w:val="Compact"/>
              <w:jc w:val="left"/>
            </w:pPr>
            <w:r>
              <w:t xml:space="preserve">EIA </w:t>
            </w:r>
            <w:r>
              <w:rPr>
                <w:rFonts w:hint="eastAsia"/>
              </w:rPr>
              <w:t xml:space="preserve">为美国口径，JODI</w:t>
            </w:r>
            <w:r>
              <w:t xml:space="preserve"> </w:t>
            </w:r>
            <w:r>
              <w:rPr>
                <w:rFonts w:hint="eastAsia"/>
              </w:rPr>
              <w:t xml:space="preserve">为多国上报口径，OPEC</w:t>
            </w:r>
            <w:r>
              <w:t xml:space="preserve"> </w:t>
            </w:r>
            <w:r>
              <w:rPr>
                <w:rFonts w:hint="eastAsia"/>
              </w:rPr>
              <w:t xml:space="preserve">为正常基线预测，OVX</w:t>
            </w:r>
            <w:r>
              <w:t xml:space="preserve"> </w:t>
            </w:r>
            <w:r>
              <w:rPr>
                <w:rFonts w:hint="eastAsia"/>
              </w:rPr>
              <w:t xml:space="preserve">为期权市场波动预期；这些数据用于数量级和风险约束，不能直接替代赛题冲击参数</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天价格对封锁风险衰减速度、地缘风险权重和制度风险强度最敏感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89.58–106.44 </w:t>
            </w:r>
            <w:r>
              <w:rPr>
                <w:rFonts w:hint="eastAsia"/>
              </w:rPr>
              <w:t xml:space="preserve">美元/桶，最高价突破</w:t>
            </w:r>
            <w:r>
              <w:t xml:space="preserve"> 120 </w:t>
            </w:r>
            <w:r>
              <w:rPr>
                <w:rFonts w:hint="eastAsia"/>
              </w:rPr>
              <w:t xml:space="preserve">概率约</w:t>
            </w:r>
            <w:r>
              <w:t xml:space="preserve"> 16.3%</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概率约</w:t>
            </w:r>
            <w:r>
              <w:t xml:space="preserve"> 38.3%</w:t>
            </w:r>
          </w:p>
        </w:tc>
        <w:tc>
          <w:tcPr/>
          <w:p>
            <w:pPr>
              <w:pStyle w:val="Compact"/>
              <w:jc w:val="left"/>
            </w:pPr>
            <w:r>
              <w:rPr>
                <w:rFonts w:hint="eastAsia"/>
              </w:rPr>
              <w:t xml:space="preserve">用于解释平滑中心线之外的事件状态切换和短期扰动，不代表未来真实价格已被观测</w:t>
            </w:r>
          </w:p>
        </w:tc>
      </w:tr>
    </w:tbl>
    <w:p>
      <w:pPr>
        <w:pStyle w:val="BodyText"/>
      </w:pPr>
      <w:r>
        <w:rPr>
          <w:rFonts w:hint="eastAsia"/>
        </w:rPr>
        <w:t xml:space="preserve">从价格平衡点看，乐观情景最终回落至约</w:t>
      </w:r>
      <w:r>
        <w:t xml:space="preserve"> 87.78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94.15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释放已经从计划上限自动收缩，且物理缺口基本闭合，说明价格回落不是依赖政策变量机械满额托底。悲观情景第</w:t>
      </w:r>
      <w:r>
        <w:t xml:space="preserve"> 180 </w:t>
      </w:r>
      <w:r>
        <w:rPr>
          <w:rFonts w:hint="eastAsia"/>
        </w:rPr>
        <w:t xml:space="preserve">天仍为</w:t>
      </w:r>
      <w:r>
        <w:t xml:space="preserve"> 110.16 </w:t>
      </w:r>
      <w:r>
        <w:rPr>
          <w:rFonts w:hint="eastAsia"/>
        </w:rPr>
        <w:t xml:space="preserve">美元/桶，说明若供应中断规模接近上界、SPR</w:t>
      </w:r>
      <w:r>
        <w:t xml:space="preserve"> </w:t>
      </w:r>
      <w:r>
        <w:rPr>
          <w:rFonts w:hint="eastAsia"/>
        </w:rPr>
        <w:t xml:space="preserve">释放不足且制度风险溢价持续，市场仍可能维持相对高位，并保留二次跳涨尾部风险。</w:t>
      </w:r>
    </w:p>
    <w:p>
      <w:pPr>
        <w:pStyle w:val="BodyText"/>
      </w:pPr>
      <w:r>
        <w:rPr>
          <w:rFonts w:hint="eastAsia"/>
        </w:rPr>
        <w:t xml:space="preserve">中性第</w:t>
      </w:r>
      <w:r>
        <w:t xml:space="preserve"> 180 </w:t>
      </w:r>
      <w:r>
        <w:rPr>
          <w:rFonts w:hint="eastAsia"/>
        </w:rPr>
        <w:t xml:space="preserve">天物理缺口已基本闭合，但价格仍高于战前</w:t>
      </w:r>
      <w:r>
        <w:t xml:space="preserve"> 75 </w:t>
      </w:r>
      <w:r>
        <w:rPr>
          <w:rFonts w:hint="eastAsia"/>
        </w:rPr>
        <w:t xml:space="preserve">美元/桶，原因是模型中仍保留不确定性和制度风险溢价。该设定表示：即便物理缺口基本闭合，只要霍尔木兹封锁的制度状态没有完全解除，市场仍会对运输保险、航运安全、库存再补充和再次升级风险给出残余溢价。因此</w:t>
      </w:r>
      <w:r>
        <w:t xml:space="preserve"> 94.15 </w:t>
      </w:r>
      <w:r>
        <w:rPr>
          <w:rFonts w:hint="eastAsia"/>
        </w:rPr>
        <w:t xml:space="preserve">美元/桶应理解为</w:t>
      </w:r>
      <w:r>
        <w:rPr>
          <w:rFonts w:hint="eastAsia"/>
        </w:rPr>
        <w:t xml:space="preserve">“物理缺口闭合但制度风险尚未完全消失”</w:t>
      </w:r>
      <w:r>
        <w:rPr>
          <w:rFonts w:hint="eastAsia"/>
        </w:rPr>
        <w:t xml:space="preserve">条件下的中心路径。</w:t>
      </w:r>
    </w:p>
    <w:p>
      <w:pPr>
        <w:pStyle w:val="CaptionedFigure"/>
      </w:pPr>
      <w:r>
        <w:drawing>
          <wp:inline>
            <wp:extent cx="4907280" cy="3413760"/>
            <wp:effectExtent b="0" l="0" r="0" t="0"/>
            <wp:docPr descr="" title="" id="131" name="Picture"/>
            <a:graphic>
              <a:graphicData uri="http://schemas.openxmlformats.org/drawingml/2006/picture">
                <pic:pic>
                  <pic:nvPicPr>
                    <pic:cNvPr descr="库存与供需缺口风险.png" id="132" name="Picture"/>
                    <pic:cNvPicPr>
                      <a:picLocks noChangeArrowheads="1" noChangeAspect="1"/>
                    </pic:cNvPicPr>
                  </pic:nvPicPr>
                  <pic:blipFill>
                    <a:blip r:embed="rId130"/>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商业库存剩余量与剩余供需缺口变化。悲观情景下缓冲能力下降、剩余缺口更难闭合，因此二次跳涨风险主要来自库存约束与制度风险叠加。</w:t>
      </w:r>
    </w:p>
    <w:bookmarkEnd w:id="133"/>
    <w:bookmarkEnd w:id="134"/>
    <w:bookmarkStart w:id="178" w:name="敏感性分析"/>
    <w:p>
      <w:pPr>
        <w:pStyle w:val="Heading1"/>
      </w:pPr>
      <w:r>
        <w:rPr>
          <w:rFonts w:hint="eastAsia"/>
        </w:rPr>
        <w:t xml:space="preserve">敏感性分析</w:t>
      </w:r>
    </w:p>
    <w:bookmarkStart w:id="135" w:name="分析方法"/>
    <w:p>
      <w:pPr>
        <w:pStyle w:val="Heading2"/>
      </w:pPr>
      <w:r>
        <w:rPr>
          <w:rFonts w:hint="eastAsia"/>
        </w:rPr>
        <w:t xml:space="preserve">分析方法</w:t>
      </w:r>
    </w:p>
    <w:p>
      <w:pPr>
        <w:pStyle w:val="FirstParagraph"/>
      </w:pPr>
      <w:r>
        <w:rPr>
          <w:rFonts w:hint="eastAsia"/>
        </w:rPr>
        <w:t xml:space="preserve">敏感性分析以中性情景为基准，对</w:t>
      </w:r>
      <w:r>
        <w:t xml:space="preserve"> 16 </w:t>
      </w:r>
      <w:r>
        <w:rPr>
          <w:rFonts w:hint="eastAsia"/>
        </w:rPr>
        <w:t xml:space="preserve">个关键参数进行单因素扰动，观察第</w:t>
      </w:r>
      <w:r>
        <w:t xml:space="preserve"> 180 </w:t>
      </w:r>
      <w:r>
        <w:rPr>
          <w:rFonts w:hint="eastAsia"/>
        </w:rPr>
        <w:t xml:space="preserve">天价格、外推期最高价、剩余供需缺口和二次跳涨风险变化。除题面物理量和行为参数外，本阶段还把长期机制强度参数单独纳入检验，使长期结论的关键常数透明化。综合敏感度定义为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135"/>
    <w:bookmarkStart w:id="144" w:name="参数重要性排序"/>
    <w:p>
      <w:pPr>
        <w:pStyle w:val="Heading2"/>
      </w:pPr>
      <w:r>
        <w:rPr>
          <w:rFonts w:hint="eastAsia"/>
        </w:rPr>
        <w:t xml:space="preserve">参数重要性排序</w:t>
      </w:r>
    </w:p>
    <w:p>
      <w:pPr>
        <w:pStyle w:val="TableCaption"/>
      </w:pPr>
      <w:r>
        <w:rPr>
          <w:rFonts w:hint="eastAsia"/>
        </w:rPr>
        <w:t xml:space="preserve">参数综合敏感度排序</w:t>
      </w:r>
    </w:p>
    <w:tbl>
      <w:tblPr>
        <w:tblStyle w:val="Table"/>
        <w:tblW w:type="auto" w:w="0"/>
        <w:tblLook w:firstRow="1" w:lastRow="0" w:firstColumn="0" w:lastColumn="0" w:noHBand="0" w:noVBand="0" w:val="0020"/>
        <w:tblCaption w:val="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封锁风险衰减速度</w:t>
            </w:r>
          </w:p>
        </w:tc>
        <w:tc>
          <w:tcPr/>
          <w:p>
            <w:pPr>
              <w:pStyle w:val="Compact"/>
              <w:jc w:val="right"/>
            </w:pPr>
            <w:r>
              <w:t xml:space="preserve">18.37</w:t>
            </w:r>
          </w:p>
        </w:tc>
        <w:tc>
          <w:tcPr/>
          <w:p>
            <w:pPr>
              <w:pStyle w:val="Compact"/>
              <w:jc w:val="right"/>
            </w:pPr>
            <w:r>
              <w:t xml:space="preserve">14.93</w:t>
            </w:r>
          </w:p>
        </w:tc>
        <w:tc>
          <w:tcPr/>
          <w:p>
            <w:pPr>
              <w:pStyle w:val="Compact"/>
              <w:jc w:val="right"/>
            </w:pPr>
            <w:r>
              <w:t xml:space="preserve">7.65</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13.58</w:t>
            </w:r>
          </w:p>
        </w:tc>
        <w:tc>
          <w:tcPr/>
          <w:p>
            <w:pPr>
              <w:pStyle w:val="Compact"/>
              <w:jc w:val="right"/>
            </w:pPr>
            <w:r>
              <w:t xml:space="preserve">8.41</w:t>
            </w:r>
          </w:p>
        </w:tc>
        <w:tc>
          <w:tcPr/>
          <w:p>
            <w:pPr>
              <w:pStyle w:val="Compact"/>
              <w:jc w:val="right"/>
            </w:pPr>
            <w:r>
              <w:t xml:space="preserve">11.48</w:t>
            </w:r>
          </w:p>
        </w:tc>
      </w:tr>
      <w:tr>
        <w:tc>
          <w:tcPr/>
          <w:p>
            <w:pPr>
              <w:pStyle w:val="Compact"/>
              <w:jc w:val="right"/>
            </w:pPr>
            <w:r>
              <w:t xml:space="preserve">3</w:t>
            </w:r>
          </w:p>
        </w:tc>
        <w:tc>
          <w:tcPr/>
          <w:p>
            <w:pPr>
              <w:pStyle w:val="Compact"/>
              <w:jc w:val="left"/>
            </w:pPr>
            <w:r>
              <w:rPr>
                <w:rFonts w:hint="eastAsia"/>
              </w:rPr>
              <w:t xml:space="preserve">不确定性与制度风险强度</w:t>
            </w:r>
          </w:p>
        </w:tc>
        <w:tc>
          <w:tcPr/>
          <w:p>
            <w:pPr>
              <w:pStyle w:val="Compact"/>
              <w:jc w:val="right"/>
            </w:pPr>
            <w:r>
              <w:t xml:space="preserve">10.04</w:t>
            </w:r>
          </w:p>
        </w:tc>
        <w:tc>
          <w:tcPr/>
          <w:p>
            <w:pPr>
              <w:pStyle w:val="Compact"/>
              <w:jc w:val="right"/>
            </w:pPr>
            <w:r>
              <w:t xml:space="preserve">4.94</w:t>
            </w:r>
          </w:p>
        </w:tc>
        <w:tc>
          <w:tcPr/>
          <w:p>
            <w:pPr>
              <w:pStyle w:val="Compact"/>
              <w:jc w:val="right"/>
            </w:pPr>
            <w:r>
              <w:t xml:space="preserve">11.33</w:t>
            </w:r>
          </w:p>
        </w:tc>
      </w:tr>
      <w:tr>
        <w:tc>
          <w:tcPr/>
          <w:p>
            <w:pPr>
              <w:pStyle w:val="Compact"/>
              <w:jc w:val="right"/>
            </w:pPr>
            <w:r>
              <w:t xml:space="preserve">4</w:t>
            </w:r>
          </w:p>
        </w:tc>
        <w:tc>
          <w:tcPr/>
          <w:p>
            <w:pPr>
              <w:pStyle w:val="Compact"/>
              <w:jc w:val="left"/>
            </w:pPr>
            <w:r>
              <w:rPr>
                <w:rFonts w:hint="eastAsia"/>
              </w:rPr>
              <w:t xml:space="preserve">制度风险占比</w:t>
            </w:r>
          </w:p>
        </w:tc>
        <w:tc>
          <w:tcPr/>
          <w:p>
            <w:pPr>
              <w:pStyle w:val="Compact"/>
              <w:jc w:val="right"/>
            </w:pPr>
            <w:r>
              <w:t xml:space="preserve">6.68</w:t>
            </w:r>
          </w:p>
        </w:tc>
        <w:tc>
          <w:tcPr/>
          <w:p>
            <w:pPr>
              <w:pStyle w:val="Compact"/>
              <w:jc w:val="right"/>
            </w:pPr>
            <w:r>
              <w:t xml:space="preserve">5.21</w:t>
            </w:r>
          </w:p>
        </w:tc>
        <w:tc>
          <w:tcPr/>
          <w:p>
            <w:pPr>
              <w:pStyle w:val="Compact"/>
              <w:jc w:val="right"/>
            </w:pPr>
            <w:r>
              <w:t xml:space="preserve">3.27</w:t>
            </w:r>
          </w:p>
        </w:tc>
      </w:tr>
      <w:tr>
        <w:tc>
          <w:tcPr/>
          <w:p>
            <w:pPr>
              <w:pStyle w:val="Compact"/>
              <w:jc w:val="right"/>
            </w:pPr>
            <w:r>
              <w:t xml:space="preserve">5</w:t>
            </w:r>
          </w:p>
        </w:tc>
        <w:tc>
          <w:tcPr/>
          <w:p>
            <w:pPr>
              <w:pStyle w:val="Compact"/>
              <w:jc w:val="left"/>
            </w:pPr>
            <w:r>
              <w:rPr>
                <w:rFonts w:hint="eastAsia"/>
              </w:rPr>
              <w:t xml:space="preserve">供应中断量</w:t>
            </w:r>
          </w:p>
        </w:tc>
        <w:tc>
          <w:tcPr/>
          <w:p>
            <w:pPr>
              <w:pStyle w:val="Compact"/>
              <w:jc w:val="right"/>
            </w:pPr>
            <w:r>
              <w:t xml:space="preserve">6.17</w:t>
            </w:r>
          </w:p>
        </w:tc>
        <w:tc>
          <w:tcPr/>
          <w:p>
            <w:pPr>
              <w:pStyle w:val="Compact"/>
              <w:jc w:val="right"/>
            </w:pPr>
            <w:r>
              <w:t xml:space="preserve">3.39</w:t>
            </w:r>
          </w:p>
        </w:tc>
        <w:tc>
          <w:tcPr/>
          <w:p>
            <w:pPr>
              <w:pStyle w:val="Compact"/>
              <w:jc w:val="right"/>
            </w:pPr>
            <w:r>
              <w:t xml:space="preserve">6.18</w:t>
            </w:r>
          </w:p>
        </w:tc>
      </w:tr>
      <w:tr>
        <w:tc>
          <w:tcPr/>
          <w:p>
            <w:pPr>
              <w:pStyle w:val="Compact"/>
              <w:jc w:val="right"/>
            </w:pPr>
            <w:r>
              <w:t xml:space="preserve">6</w:t>
            </w:r>
          </w:p>
        </w:tc>
        <w:tc>
          <w:tcPr/>
          <w:p>
            <w:pPr>
              <w:pStyle w:val="Compact"/>
              <w:jc w:val="left"/>
            </w:pPr>
            <w:r>
              <w:rPr>
                <w:rFonts w:hint="eastAsia"/>
              </w:rPr>
              <w:t xml:space="preserve">长期需求弹性</w:t>
            </w:r>
          </w:p>
        </w:tc>
        <w:tc>
          <w:tcPr/>
          <w:p>
            <w:pPr>
              <w:pStyle w:val="Compact"/>
              <w:jc w:val="right"/>
            </w:pPr>
            <w:r>
              <w:t xml:space="preserve">3.82</w:t>
            </w:r>
          </w:p>
        </w:tc>
        <w:tc>
          <w:tcPr/>
          <w:p>
            <w:pPr>
              <w:pStyle w:val="Compact"/>
              <w:jc w:val="right"/>
            </w:pPr>
            <w:r>
              <w:t xml:space="preserve">3.34</w:t>
            </w:r>
          </w:p>
        </w:tc>
        <w:tc>
          <w:tcPr/>
          <w:p>
            <w:pPr>
              <w:pStyle w:val="Compact"/>
              <w:jc w:val="right"/>
            </w:pPr>
            <w:r>
              <w:t xml:space="preserve">1.07</w:t>
            </w:r>
          </w:p>
        </w:tc>
      </w:tr>
      <w:tr>
        <w:tc>
          <w:tcPr/>
          <w:p>
            <w:pPr>
              <w:pStyle w:val="Compact"/>
              <w:jc w:val="right"/>
            </w:pPr>
            <w:r>
              <w:t xml:space="preserve">7</w:t>
            </w:r>
          </w:p>
        </w:tc>
        <w:tc>
          <w:tcPr/>
          <w:p>
            <w:pPr>
              <w:pStyle w:val="Compact"/>
              <w:jc w:val="left"/>
            </w:pPr>
            <w:r>
              <w:rPr>
                <w:rFonts w:hint="eastAsia"/>
              </w:rPr>
              <w:t xml:space="preserve">信心恢复后风险底座</w:t>
            </w:r>
          </w:p>
        </w:tc>
        <w:tc>
          <w:tcPr/>
          <w:p>
            <w:pPr>
              <w:pStyle w:val="Compact"/>
              <w:jc w:val="right"/>
            </w:pPr>
            <w:r>
              <w:t xml:space="preserve">2.36</w:t>
            </w:r>
          </w:p>
        </w:tc>
        <w:tc>
          <w:tcPr/>
          <w:p>
            <w:pPr>
              <w:pStyle w:val="Compact"/>
              <w:jc w:val="right"/>
            </w:pPr>
            <w:r>
              <w:t xml:space="preserve">2.34</w:t>
            </w:r>
          </w:p>
        </w:tc>
        <w:tc>
          <w:tcPr/>
          <w:p>
            <w:pPr>
              <w:pStyle w:val="Compact"/>
              <w:jc w:val="right"/>
            </w:pPr>
            <w:r>
              <w:t xml:space="preserve">0.05</w:t>
            </w:r>
          </w:p>
        </w:tc>
      </w:tr>
      <w:tr>
        <w:tc>
          <w:tcPr/>
          <w:p>
            <w:pPr>
              <w:pStyle w:val="Compact"/>
              <w:jc w:val="right"/>
            </w:pPr>
            <w:r>
              <w:t xml:space="preserve">8</w:t>
            </w:r>
          </w:p>
        </w:tc>
        <w:tc>
          <w:tcPr/>
          <w:p>
            <w:pPr>
              <w:pStyle w:val="Compact"/>
              <w:jc w:val="left"/>
            </w:pPr>
            <w:r>
              <w:rPr>
                <w:rFonts w:hint="eastAsia"/>
              </w:rPr>
              <w:t xml:space="preserve">冲击不确定性占比</w:t>
            </w:r>
          </w:p>
        </w:tc>
        <w:tc>
          <w:tcPr/>
          <w:p>
            <w:pPr>
              <w:pStyle w:val="Compact"/>
              <w:jc w:val="right"/>
            </w:pPr>
            <w:r>
              <w:t xml:space="preserve">2.13</w:t>
            </w:r>
          </w:p>
        </w:tc>
        <w:tc>
          <w:tcPr/>
          <w:p>
            <w:pPr>
              <w:pStyle w:val="Compact"/>
              <w:jc w:val="right"/>
            </w:pPr>
            <w:r>
              <w:t xml:space="preserve">1.29</w:t>
            </w:r>
          </w:p>
        </w:tc>
        <w:tc>
          <w:tcPr/>
          <w:p>
            <w:pPr>
              <w:pStyle w:val="Compact"/>
              <w:jc w:val="right"/>
            </w:pPr>
            <w:r>
              <w:t xml:space="preserve">1.86</w:t>
            </w:r>
          </w:p>
        </w:tc>
      </w:tr>
      <w:tr>
        <w:tc>
          <w:tcPr/>
          <w:p>
            <w:pPr>
              <w:pStyle w:val="Compact"/>
              <w:jc w:val="right"/>
            </w:pPr>
            <w:r>
              <w:t xml:space="preserve">9</w:t>
            </w:r>
          </w:p>
        </w:tc>
        <w:tc>
          <w:tcPr/>
          <w:p>
            <w:pPr>
              <w:pStyle w:val="Compact"/>
              <w:jc w:val="left"/>
            </w:pPr>
            <w:r>
              <w:t xml:space="preserve">SPR </w:t>
            </w:r>
            <w:r>
              <w:rPr>
                <w:rFonts w:hint="eastAsia"/>
              </w:rPr>
              <w:t xml:space="preserve">释放上限</w:t>
            </w:r>
          </w:p>
        </w:tc>
        <w:tc>
          <w:tcPr/>
          <w:p>
            <w:pPr>
              <w:pStyle w:val="Compact"/>
              <w:jc w:val="right"/>
            </w:pPr>
            <w:r>
              <w:t xml:space="preserve">0.94</w:t>
            </w:r>
          </w:p>
        </w:tc>
        <w:tc>
          <w:tcPr/>
          <w:p>
            <w:pPr>
              <w:pStyle w:val="Compact"/>
              <w:jc w:val="right"/>
            </w:pPr>
            <w:r>
              <w:t xml:space="preserve">0.69</w:t>
            </w:r>
          </w:p>
        </w:tc>
        <w:tc>
          <w:tcPr/>
          <w:p>
            <w:pPr>
              <w:pStyle w:val="Compact"/>
              <w:jc w:val="right"/>
            </w:pPr>
            <w:r>
              <w:t xml:space="preserve">0.49</w:t>
            </w:r>
          </w:p>
        </w:tc>
      </w:tr>
      <w:tr>
        <w:tc>
          <w:tcPr/>
          <w:p>
            <w:pPr>
              <w:pStyle w:val="Compact"/>
              <w:jc w:val="right"/>
            </w:pPr>
            <w:r>
              <w:t xml:space="preserve">10</w:t>
            </w:r>
          </w:p>
        </w:tc>
        <w:tc>
          <w:tcPr/>
          <w:p>
            <w:pPr>
              <w:pStyle w:val="Compact"/>
              <w:jc w:val="left"/>
            </w:pPr>
            <w:r>
              <w:rPr>
                <w:rFonts w:hint="eastAsia"/>
              </w:rPr>
              <w:t xml:space="preserve">绕道运输能力</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0.86</w:t>
            </w:r>
          </w:p>
        </w:tc>
      </w:tr>
      <w:tr>
        <w:tc>
          <w:tcPr/>
          <w:p>
            <w:pPr>
              <w:pStyle w:val="Compact"/>
              <w:jc w:val="right"/>
            </w:pPr>
            <w:r>
              <w:t xml:space="preserve">11</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12</w:t>
            </w:r>
          </w:p>
        </w:tc>
        <w:tc>
          <w:tcPr/>
          <w:p>
            <w:pPr>
              <w:pStyle w:val="Compact"/>
              <w:jc w:val="left"/>
            </w:pPr>
            <w:r>
              <w:rPr>
                <w:rFonts w:hint="eastAsia"/>
              </w:rPr>
              <w:t xml:space="preserve">恐慌衰减速度</w:t>
            </w:r>
          </w:p>
        </w:tc>
        <w:tc>
          <w:tcPr/>
          <w:p>
            <w:pPr>
              <w:pStyle w:val="Compact"/>
              <w:jc w:val="right"/>
            </w:pPr>
            <w:r>
              <w:t xml:space="preserve">0.15</w:t>
            </w:r>
          </w:p>
        </w:tc>
        <w:tc>
          <w:tcPr/>
          <w:p>
            <w:pPr>
              <w:pStyle w:val="Compact"/>
              <w:jc w:val="right"/>
            </w:pPr>
            <w:r>
              <w:t xml:space="preserve">0.00</w:t>
            </w:r>
          </w:p>
        </w:tc>
        <w:tc>
          <w:tcPr/>
          <w:p>
            <w:pPr>
              <w:pStyle w:val="Compact"/>
              <w:jc w:val="right"/>
            </w:pPr>
            <w:r>
              <w:t xml:space="preserve">0.33</w:t>
            </w:r>
          </w:p>
        </w:tc>
      </w:tr>
      <w:tr>
        <w:tc>
          <w:tcPr/>
          <w:p>
            <w:pPr>
              <w:pStyle w:val="Compact"/>
              <w:jc w:val="right"/>
            </w:pPr>
            <w:r>
              <w:t xml:space="preserve">13</w:t>
            </w:r>
          </w:p>
        </w:tc>
        <w:tc>
          <w:tcPr/>
          <w:p>
            <w:pPr>
              <w:pStyle w:val="Compact"/>
              <w:jc w:val="left"/>
            </w:pPr>
            <w:r>
              <w:rPr>
                <w:rFonts w:hint="eastAsia"/>
              </w:rPr>
              <w:t xml:space="preserve">过剩供给回归强度</w:t>
            </w:r>
          </w:p>
        </w:tc>
        <w:tc>
          <w:tcPr/>
          <w:p>
            <w:pPr>
              <w:pStyle w:val="Compact"/>
              <w:jc w:val="right"/>
            </w:pPr>
            <w:r>
              <w:t xml:space="preserve">0.12</w:t>
            </w:r>
          </w:p>
        </w:tc>
        <w:tc>
          <w:tcPr/>
          <w:p>
            <w:pPr>
              <w:pStyle w:val="Compact"/>
              <w:jc w:val="right"/>
            </w:pPr>
            <w:r>
              <w:t xml:space="preserve">0.07</w:t>
            </w:r>
          </w:p>
        </w:tc>
        <w:tc>
          <w:tcPr/>
          <w:p>
            <w:pPr>
              <w:pStyle w:val="Compact"/>
              <w:jc w:val="right"/>
            </w:pPr>
            <w:r>
              <w:t xml:space="preserve">0.12</w:t>
            </w:r>
          </w:p>
        </w:tc>
      </w:tr>
      <w:tr>
        <w:tc>
          <w:tcPr/>
          <w:p>
            <w:pPr>
              <w:pStyle w:val="Compact"/>
              <w:jc w:val="right"/>
            </w:pPr>
            <w:r>
              <w:t xml:space="preserve">14</w:t>
            </w:r>
          </w:p>
        </w:tc>
        <w:tc>
          <w:tcPr/>
          <w:p>
            <w:pPr>
              <w:pStyle w:val="Compact"/>
              <w:jc w:val="left"/>
            </w:pPr>
            <w:r>
              <w:t xml:space="preserve">SPR </w:t>
            </w:r>
            <w:r>
              <w:rPr>
                <w:rFonts w:hint="eastAsia"/>
              </w:rPr>
              <w:t xml:space="preserve">启动延迟</w:t>
            </w:r>
          </w:p>
        </w:tc>
        <w:tc>
          <w:tcPr/>
          <w:p>
            <w:pPr>
              <w:pStyle w:val="Compact"/>
              <w:jc w:val="right"/>
            </w:pPr>
            <w:r>
              <w:t xml:space="preserve">0.06</w:t>
            </w:r>
          </w:p>
        </w:tc>
        <w:tc>
          <w:tcPr/>
          <w:p>
            <w:pPr>
              <w:pStyle w:val="Compact"/>
              <w:jc w:val="right"/>
            </w:pPr>
            <w:r>
              <w:t xml:space="preserve">0.00</w:t>
            </w:r>
          </w:p>
        </w:tc>
        <w:tc>
          <w:tcPr/>
          <w:p>
            <w:pPr>
              <w:pStyle w:val="Compact"/>
              <w:jc w:val="right"/>
            </w:pPr>
            <w:r>
              <w:t xml:space="preserve">0.13</w:t>
            </w:r>
          </w:p>
        </w:tc>
      </w:tr>
      <w:tr>
        <w:tc>
          <w:tcPr/>
          <w:p>
            <w:pPr>
              <w:pStyle w:val="Compact"/>
              <w:jc w:val="right"/>
            </w:pPr>
            <w:r>
              <w:t xml:space="preserve">15</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0.05</w:t>
            </w:r>
          </w:p>
        </w:tc>
      </w:tr>
      <w:tr>
        <w:tc>
          <w:tcPr/>
          <w:p>
            <w:pPr>
              <w:pStyle w:val="Compact"/>
              <w:jc w:val="right"/>
            </w:pPr>
            <w:r>
              <w:t xml:space="preserve">16</w:t>
            </w:r>
          </w:p>
        </w:tc>
        <w:tc>
          <w:tcPr/>
          <w:p>
            <w:pPr>
              <w:pStyle w:val="Compact"/>
              <w:jc w:val="left"/>
            </w:pPr>
            <w:r>
              <w:t xml:space="preserve">SPR </w:t>
            </w:r>
            <w:r>
              <w:rPr>
                <w:rFonts w:hint="eastAsia"/>
              </w:rPr>
              <w:t xml:space="preserve">收缩起点</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bookmarkStart w:id="139" w:name="fig:sensitivity-tornado"/>
    <w:p>
      <w:pPr>
        <w:pStyle w:val="CaptionedFigure"/>
      </w:pPr>
      <w:r>
        <w:drawing>
          <wp:inline>
            <wp:extent cx="4907280" cy="2998893"/>
            <wp:effectExtent b="0" l="0" r="0" t="0"/>
            <wp:docPr descr="" title="" id="137" name="Picture"/>
            <a:graphic>
              <a:graphicData uri="http://schemas.openxmlformats.org/drawingml/2006/picture">
                <pic:pic>
                  <pic:nvPicPr>
                    <pic:cNvPr descr="参数敏感性龙卷风图.png" id="138" name="Picture"/>
                    <pic:cNvPicPr>
                      <a:picLocks noChangeArrowheads="1" noChangeAspect="1"/>
                    </pic:cNvPicPr>
                  </pic:nvPicPr>
                  <pic:blipFill>
                    <a:blip r:embed="rId136"/>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关键参数综合敏感度排序。封锁风险衰减速度、地缘风险权重和制度风险强度排名靠前，说明长期结论主要受市场吸收封锁风险的速度控制。</w:t>
      </w:r>
    </w:p>
    <w:bookmarkEnd w:id="139"/>
    <w:bookmarkStart w:id="143" w:name="fig:sensitivity-heatmap"/>
    <w:p>
      <w:pPr>
        <w:pStyle w:val="CaptionedFigure"/>
      </w:pPr>
      <w:r>
        <w:drawing>
          <wp:inline>
            <wp:extent cx="4800600" cy="2971150"/>
            <wp:effectExtent b="0" l="0" r="0" t="0"/>
            <wp:docPr descr="" title="" id="141" name="Picture"/>
            <a:graphic>
              <a:graphicData uri="http://schemas.openxmlformats.org/drawingml/2006/picture">
                <pic:pic>
                  <pic:nvPicPr>
                    <pic:cNvPr descr="长期敏感性扰动热力图.png" id="142" name="Picture"/>
                    <pic:cNvPicPr>
                      <a:picLocks noChangeArrowheads="1" noChangeAspect="1"/>
                    </pic:cNvPicPr>
                  </pic:nvPicPr>
                  <pic:blipFill>
                    <a:blip r:embed="rId140"/>
                    <a:stretch>
                      <a:fillRect/>
                    </a:stretch>
                  </pic:blipFill>
                  <pic:spPr bwMode="auto">
                    <a:xfrm>
                      <a:off x="0" y="0"/>
                      <a:ext cx="4800600" cy="2971150"/>
                    </a:xfrm>
                    <a:prstGeom prst="rect">
                      <a:avLst/>
                    </a:prstGeom>
                    <a:noFill/>
                    <a:ln w="9525">
                      <a:noFill/>
                      <a:headEnd/>
                      <a:tailEnd/>
                    </a:ln>
                  </pic:spPr>
                </pic:pic>
              </a:graphicData>
            </a:graphic>
          </wp:inline>
        </w:drawing>
      </w:r>
    </w:p>
    <w:p>
      <w:pPr>
        <w:pStyle w:val="ImageCaption"/>
      </w:pPr>
      <w:r>
        <w:rPr>
          <w:rFonts w:hint="eastAsia"/>
        </w:rPr>
        <w:t xml:space="preserve">长期敏感性扰动热力图。颜色表示不同参数扰动档位下第</w:t>
      </w:r>
      <w:r>
        <w:t xml:space="preserve"> 180 </w:t>
      </w:r>
      <w:r>
        <w:rPr>
          <w:rFonts w:hint="eastAsia"/>
        </w:rPr>
        <w:t xml:space="preserve">天价格相对中性基准的变化方向和幅度，红色代表终点价格上升，蓝色代表终点价格下降。相比单一排序图，该图进一步展示同一参数在不同扰动档位下是否呈现稳定方向，说明长期结论主要受封锁风险衰减速度、地缘风险权重和制度风险强度共同控制。</w:t>
      </w:r>
    </w:p>
    <w:bookmarkEnd w:id="143"/>
    <w:p>
      <w:pPr>
        <w:pStyle w:val="BodyText"/>
      </w:pPr>
      <w:r>
        <w:rPr>
          <w:rFonts w:hint="eastAsia"/>
        </w:rPr>
        <w:t xml:space="preserve">敏感性分析表明，第</w:t>
      </w:r>
      <w:r>
        <w:t xml:space="preserve"> 180 </w:t>
      </w:r>
      <w:r>
        <w:rPr>
          <w:rFonts w:hint="eastAsia"/>
        </w:rPr>
        <w:t xml:space="preserve">天终点价格对市场风险吸收速度最敏感。图</w:t>
      </w:r>
      <w:r>
        <w:t xml:space="preserve"> </w:t>
      </w:r>
      <w:hyperlink w:anchor="fig:sensitivity-tornado">
        <w:r>
          <w:rPr>
            <w:rStyle w:val="Hyperlink"/>
          </w:rPr>
          <w:t xml:space="preserve">8</w:t>
        </w:r>
      </w:hyperlink>
      <w:r>
        <w:t xml:space="preserve"> </w:t>
      </w:r>
      <w:r>
        <w:rPr>
          <w:rFonts w:hint="eastAsia"/>
        </w:rPr>
        <w:t xml:space="preserve">中，封锁风险衰减速度从</w:t>
      </w:r>
      <w:r>
        <w:t xml:space="preserve"> 0.002 </w:t>
      </w:r>
      <w:r>
        <w:rPr>
          <w:rFonts w:hint="eastAsia"/>
        </w:rPr>
        <w:t xml:space="preserve">扰动到</w:t>
      </w:r>
      <w:r>
        <w:t xml:space="preserve"> 0.008 </w:t>
      </w:r>
      <w:r>
        <w:rPr>
          <w:rFonts w:hint="eastAsia"/>
        </w:rPr>
        <w:t xml:space="preserve">时，第</w:t>
      </w:r>
      <w:r>
        <w:t xml:space="preserve"> 180 </w:t>
      </w:r>
      <w:r>
        <w:rPr>
          <w:rFonts w:hint="eastAsia"/>
        </w:rPr>
        <w:t xml:space="preserve">天价格波动范围达到</w:t>
      </w:r>
      <w:r>
        <w:t xml:space="preserve"> 14.93 </w:t>
      </w:r>
      <w:r>
        <w:rPr>
          <w:rFonts w:hint="eastAsia"/>
        </w:rPr>
        <w:t xml:space="preserve">美元/桶，说明长期中心路径的关键不只是物理缺口何时闭合，而是市场多快把封锁状态从突发风险重新定价为可管理的制度风险。地缘风险权重和不确定性与制度风险强度仍保持高敏感，供应中断量决定价格上行压力的物理底座。新增的长期机制透明层中，制度风险占比和信心恢复后风险底座具有可观影响；过剩供给回归强度和</w:t>
      </w:r>
      <w:r>
        <w:t xml:space="preserve"> SPR </w:t>
      </w:r>
      <w:r>
        <w:rPr>
          <w:rFonts w:hint="eastAsia"/>
        </w:rPr>
        <w:t xml:space="preserve">收缩起点敏感度很低，说明当前中性路径的价格回落主要来自风险溢价衰减和需求再平衡，而不是依靠轻微供给过剩或人为设定的</w:t>
      </w:r>
      <w:r>
        <w:t xml:space="preserve"> SPR </w:t>
      </w:r>
      <w:r>
        <w:rPr>
          <w:rFonts w:hint="eastAsia"/>
        </w:rPr>
        <w:t xml:space="preserve">时间开关。SPR</w:t>
      </w:r>
      <w:r>
        <w:t xml:space="preserve"> </w:t>
      </w:r>
      <w:r>
        <w:rPr>
          <w:rFonts w:hint="eastAsia"/>
        </w:rPr>
        <w:t xml:space="preserve">释放、启动延迟和绕道运输在中性路径下对第</w:t>
      </w:r>
      <w:r>
        <w:t xml:space="preserve"> 180 </w:t>
      </w:r>
      <w:r>
        <w:rPr>
          <w:rFonts w:hint="eastAsia"/>
        </w:rPr>
        <w:t xml:space="preserve">天终点价影响相对较小，但会改变外推期峰值、缺口闭合速度和二次跳涨幅度，因此更适合被解释为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p>
      <w:pPr>
        <w:pStyle w:val="BodyText"/>
      </w:pPr>
      <w:r>
        <w:rPr>
          <w:rFonts w:hint="eastAsia"/>
          <w:b/>
          <w:bCs/>
        </w:rPr>
        <w:t xml:space="preserve">关键结论</w:t>
      </w:r>
      <w:r>
        <w:rPr>
          <w:rFonts w:hint="eastAsia"/>
        </w:rPr>
        <w:t xml:space="preserve">敏感性排序将隐藏常数显性化：长期预测最依赖封锁风险衰减速度，其次才是地缘风险权重和制度风险强度。这种写法主动承认模型边界，比只报一个中性预测点更稳。</w:t>
      </w:r>
    </w:p>
    <w:bookmarkEnd w:id="144"/>
    <w:bookmarkStart w:id="155" w:name="sec:monte-carlo"/>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释放不足、绕道运输恢复慢、长期需求弹性偏低、制度风险溢价偏高等因素可能共同出现。因此，本文进一步建立蒙特卡洛情景树，在赛题边界和敏感性扰动范围内对关键参数进行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天价格路径。这样做的目的不是生成未来真实价格，而是回答：在合理参数联合扰动下，价格路径大概率落在哪个区间，尾部风险有多大。</w:t>
      </w:r>
    </w:p>
    <w:p>
      <w:pPr>
        <w:pStyle w:val="BodyText"/>
      </w:pPr>
      <w:r>
        <w:rPr>
          <w:rFonts w:hint="eastAsia"/>
        </w:rPr>
        <w:t xml:space="preserve">需要说明的是，蒙特卡洛抽样并不把所有参数视为彼此独立。本文通过综合压力指数引入方向一致的相关结构：高压状态下，供应中断更大、政策缓冲更弱、运输恢复更慢、风险溢价更高；低压状态下则相反。因此，蒙特卡洛结果应理解为基于题面机制和历史波动尺度的条件先验分布，而不是从未来市场中估计出来的真实协方差矩阵。表中突破概率也是在这些条件假设下的尾部概率，不是无条件历史频率。</w:t>
      </w:r>
    </w:p>
    <w:p>
      <w:pPr>
        <w:pStyle w:val="BodyText"/>
      </w:pPr>
      <w:r>
        <w:rPr>
          <w:rFonts w:hint="eastAsia"/>
        </w:rPr>
        <w:t xml:space="preserve">本文进一步利用</w:t>
      </w:r>
      <w:r>
        <w:t xml:space="preserve"> 2017–2025 </w:t>
      </w:r>
      <w:r>
        <w:rPr>
          <w:rFonts w:hint="eastAsia"/>
        </w:rPr>
        <w:t xml:space="preserve">年附件历史数据构造</w:t>
      </w:r>
      <w:r>
        <w:t xml:space="preserve"> 2146 </w:t>
      </w:r>
      <w:r>
        <w:rPr>
          <w:rFonts w:hint="eastAsia"/>
        </w:rPr>
        <w:t xml:space="preserve">个同长度窗口，校准长期扰动尺度。2026</w:t>
      </w:r>
      <w:r>
        <w:t xml:space="preserve"> </w:t>
      </w:r>
      <w:r>
        <w:rPr>
          <w:rFonts w:hint="eastAsia"/>
        </w:rPr>
        <w:t xml:space="preserve">冲突窗口的日收益波动率位于历史约</w:t>
      </w:r>
      <w:r>
        <w:t xml:space="preserve"> 95.5% </w:t>
      </w:r>
      <w:r>
        <w:rPr>
          <w:rFonts w:hint="eastAsia"/>
        </w:rPr>
        <w:t xml:space="preserve">分位，最大单日跳变位于约</w:t>
      </w:r>
      <w:r>
        <w:t xml:space="preserve"> 89.4% </w:t>
      </w:r>
      <w:r>
        <w:rPr>
          <w:rFonts w:hint="eastAsia"/>
        </w:rPr>
        <w:t xml:space="preserve">分位；据此设定压力指数噪声标准差为</w:t>
      </w:r>
      <w:r>
        <w:t xml:space="preserve"> </w:t>
      </w:r>
      <w:r>
        <w:rPr>
          <w:rFonts w:hint="eastAsia"/>
        </w:rPr>
        <w:t xml:space="preserve">0.073，并将状态转移日度扰动波动率校准为</w:t>
      </w:r>
      <w:r>
        <w:t xml:space="preserve"> </w:t>
      </w:r>
      <w:r>
        <w:rPr>
          <w:rFonts w:hint="eastAsia"/>
        </w:rPr>
        <w:t xml:space="preserve">0.0132。历史数据因此进入长期模型的不确定性参数层，而不直接替代霍尔木兹封锁机制。</w:t>
      </w:r>
    </w:p>
    <w:p>
      <w:pPr>
        <w:pStyle w:val="CaptionedFigure"/>
      </w:pPr>
      <w:r>
        <w:drawing>
          <wp:inline>
            <wp:extent cx="4587240" cy="1761500"/>
            <wp:effectExtent b="0" l="0" r="0" t="0"/>
            <wp:docPr descr="" title="" id="146" name="Picture"/>
            <a:graphic>
              <a:graphicData uri="http://schemas.openxmlformats.org/drawingml/2006/picture">
                <pic:pic>
                  <pic:nvPicPr>
                    <pic:cNvPr descr="历史波动参数校准.png" id="147" name="Picture"/>
                    <pic:cNvPicPr>
                      <a:picLocks noChangeArrowheads="1" noChangeAspect="1"/>
                    </pic:cNvPicPr>
                  </pic:nvPicPr>
                  <pic:blipFill>
                    <a:blip r:embed="rId145"/>
                    <a:stretch>
                      <a:fillRect/>
                    </a:stretch>
                  </pic:blipFill>
                  <pic:spPr bwMode="auto">
                    <a:xfrm>
                      <a:off x="0" y="0"/>
                      <a:ext cx="4587240" cy="1761500"/>
                    </a:xfrm>
                    <a:prstGeom prst="rect">
                      <a:avLst/>
                    </a:prstGeom>
                    <a:noFill/>
                    <a:ln w="9525">
                      <a:noFill/>
                      <a:headEnd/>
                      <a:tailEnd/>
                    </a:ln>
                  </pic:spPr>
                </pic:pic>
              </a:graphicData>
            </a:graphic>
          </wp:inline>
        </w:drawing>
      </w:r>
    </w:p>
    <w:p>
      <w:pPr>
        <w:pStyle w:val="ImageCaption"/>
      </w:pPr>
      <w:r>
        <w:rPr>
          <w:rFonts w:hint="eastAsia"/>
        </w:rPr>
        <w:t xml:space="preserve">历史波动参数校准。2017–2025</w:t>
      </w:r>
      <w:r>
        <w:t xml:space="preserve"> </w:t>
      </w:r>
      <w:r>
        <w:rPr>
          <w:rFonts w:hint="eastAsia"/>
        </w:rPr>
        <w:t xml:space="preserve">同长度窗口为长期蒙特卡洛和状态转移扰动提供历史尺度。</w:t>
      </w:r>
    </w:p>
    <w:bookmarkStart w:id="151" w:name="fig:mc-path-cloud"/>
    <w:p>
      <w:pPr>
        <w:pStyle w:val="CaptionedFigure"/>
      </w:pPr>
      <w:r>
        <w:drawing>
          <wp:inline>
            <wp:extent cx="4907280" cy="2661575"/>
            <wp:effectExtent b="0" l="0" r="0" t="0"/>
            <wp:docPr descr="" title="" id="149" name="Picture"/>
            <a:graphic>
              <a:graphicData uri="http://schemas.openxmlformats.org/drawingml/2006/picture">
                <pic:pic>
                  <pic:nvPicPr>
                    <pic:cNvPr descr="传统蒙特卡洛路径云图.png" id="150" name="Picture"/>
                    <pic:cNvPicPr>
                      <a:picLocks noChangeArrowheads="1" noChangeAspect="1"/>
                    </pic:cNvPicPr>
                  </pic:nvPicPr>
                  <pic:blipFill>
                    <a:blip r:embed="rId148"/>
                    <a:stretch>
                      <a:fillRect/>
                    </a:stretch>
                  </pic:blipFill>
                  <pic:spPr bwMode="auto">
                    <a:xfrm>
                      <a:off x="0" y="0"/>
                      <a:ext cx="4907280" cy="2661575"/>
                    </a:xfrm>
                    <a:prstGeom prst="rect">
                      <a:avLst/>
                    </a:prstGeom>
                    <a:noFill/>
                    <a:ln w="9525">
                      <a:noFill/>
                      <a:headEnd/>
                      <a:tailEnd/>
                    </a:ln>
                  </pic:spPr>
                </pic:pic>
              </a:graphicData>
            </a:graphic>
          </wp:inline>
        </w:drawing>
      </w:r>
    </w:p>
    <w:p>
      <w:pPr>
        <w:pStyle w:val="ImageCaption"/>
      </w:pPr>
      <w:r>
        <w:rPr>
          <w:rFonts w:hint="eastAsia"/>
        </w:rPr>
        <w:t xml:space="preserve">传统蒙特卡洛路径云图。图中从</w:t>
      </w:r>
      <w:r>
        <w:t xml:space="preserve"> 2000 </w:t>
      </w:r>
      <w:r>
        <w:rPr>
          <w:rFonts w:hint="eastAsia"/>
        </w:rPr>
        <w:t xml:space="preserve">条模拟路径中分层抽取代表路径，黑线为中位数路径，蓝色虚线为</w:t>
      </w:r>
      <w:r>
        <w:t xml:space="preserve"> P05/P95 </w:t>
      </w:r>
      <w:r>
        <w:rPr>
          <w:rFonts w:hint="eastAsia"/>
        </w:rPr>
        <w:t xml:space="preserve">条件边界，红色虚线为</w:t>
      </w:r>
      <w:r>
        <w:t xml:space="preserve"> 120 </w:t>
      </w:r>
      <w:r>
        <w:rPr>
          <w:rFonts w:hint="eastAsia"/>
        </w:rPr>
        <w:t xml:space="preserve">美元/桶风险线。</w:t>
      </w:r>
    </w:p>
    <w:bookmarkEnd w:id="151"/>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16.3%</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3.9%</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0.1%</w:t>
            </w:r>
          </w:p>
        </w:tc>
      </w:tr>
      <w:tr>
        <w:tc>
          <w:tcPr/>
          <w:p>
            <w:pPr>
              <w:pStyle w:val="Compact"/>
              <w:jc w:val="left"/>
            </w:pPr>
            <w:r>
              <w:rPr>
                <w:rFonts w:hint="eastAsia"/>
              </w:rPr>
              <w:t xml:space="preserve">二次跳涨风险为高概率</w:t>
            </w:r>
          </w:p>
        </w:tc>
        <w:tc>
          <w:tcPr/>
          <w:p>
            <w:pPr>
              <w:pStyle w:val="Compact"/>
              <w:jc w:val="right"/>
            </w:pPr>
            <w:r>
              <w:t xml:space="preserve">8.4%</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89.58</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96.69</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106.44</w:t>
            </w:r>
          </w:p>
        </w:tc>
      </w:tr>
      <w:tr>
        <w:tc>
          <w:tcPr/>
          <w:p>
            <w:pPr>
              <w:pStyle w:val="Compact"/>
              <w:jc w:val="left"/>
            </w:pPr>
            <w:r>
              <w:rPr>
                <w:rFonts w:hint="eastAsia"/>
              </w:rPr>
              <w:t xml:space="preserve">外推期最高价</w:t>
            </w:r>
            <w:r>
              <w:t xml:space="preserve"> P95</w:t>
            </w:r>
          </w:p>
        </w:tc>
        <w:tc>
          <w:tcPr/>
          <w:p>
            <w:pPr>
              <w:pStyle w:val="Compact"/>
              <w:jc w:val="right"/>
            </w:pPr>
            <w:r>
              <w:t xml:space="preserve">128.53</w:t>
            </w:r>
          </w:p>
        </w:tc>
      </w:tr>
    </w:tbl>
    <w:p>
      <w:pPr>
        <w:pStyle w:val="CaptionedFigure"/>
      </w:pPr>
      <w:r>
        <w:drawing>
          <wp:inline>
            <wp:extent cx="4160520" cy="2352876"/>
            <wp:effectExtent b="0" l="0" r="0" t="0"/>
            <wp:docPr descr="" title="" id="153" name="Picture"/>
            <a:graphic>
              <a:graphicData uri="http://schemas.openxmlformats.org/drawingml/2006/picture">
                <pic:pic>
                  <pic:nvPicPr>
                    <pic:cNvPr descr="蒙特卡洛尾部风险概率.png" id="154" name="Picture"/>
                    <pic:cNvPicPr>
                      <a:picLocks noChangeArrowheads="1" noChangeAspect="1"/>
                    </pic:cNvPicPr>
                  </pic:nvPicPr>
                  <pic:blipFill>
                    <a:blip r:embed="rId152"/>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蒙特卡洛尾部风险概率。突破阈值概率随外推时间变化，说明长期模型应报告条件尾部风险，而不是只给单条中性预测线。</w:t>
      </w:r>
    </w:p>
    <w:p>
      <w:pPr>
        <w:pStyle w:val="BodyText"/>
      </w:pPr>
      <w:r>
        <w:rPr>
          <w:rFonts w:hint="eastAsia"/>
        </w:rPr>
        <w:t xml:space="preserve">结果表明，蒙特卡洛路径的第</w:t>
      </w:r>
      <w:r>
        <w:t xml:space="preserve"> 180 </w:t>
      </w:r>
      <w:r>
        <w:rPr>
          <w:rFonts w:hint="eastAsia"/>
        </w:rPr>
        <w:t xml:space="preserve">天中位数价格为</w:t>
      </w:r>
      <w:r>
        <w:t xml:space="preserve"> 96.69 </w:t>
      </w:r>
      <w:r>
        <w:rPr>
          <w:rFonts w:hint="eastAsia"/>
        </w:rPr>
        <w:t xml:space="preserve">美元/桶，与接入官方外生约束和</w:t>
      </w:r>
      <w:r>
        <w:t xml:space="preserve"> OVX </w:t>
      </w:r>
      <w:r>
        <w:rPr>
          <w:rFonts w:hint="eastAsia"/>
        </w:rPr>
        <w:t xml:space="preserve">后的中性情景</w:t>
      </w:r>
      <w:r>
        <w:t xml:space="preserve"> 94.15 </w:t>
      </w:r>
      <w:r>
        <w:rPr>
          <w:rFonts w:hint="eastAsia"/>
        </w:rPr>
        <w:t xml:space="preserve">美元/桶处在同一数量级，说明中性路径不是孤立的单点调参结果。与此同时，外推期最高价突破</w:t>
      </w:r>
      <w:r>
        <w:t xml:space="preserve"> 120 </w:t>
      </w:r>
      <w:r>
        <w:rPr>
          <w:rFonts w:hint="eastAsia"/>
        </w:rPr>
        <w:t xml:space="preserve">美元/桶的概率为</w:t>
      </w:r>
      <w:r>
        <w:t xml:space="preserve"> </w:t>
      </w:r>
      <w:r>
        <w:rPr>
          <w:rFonts w:hint="eastAsia"/>
        </w:rPr>
        <w:t xml:space="preserve">16.3%，突破</w:t>
      </w:r>
      <w:r>
        <w:t xml:space="preserve"> 130 </w:t>
      </w:r>
      <w:r>
        <w:rPr>
          <w:rFonts w:hint="eastAsia"/>
        </w:rPr>
        <w:t xml:space="preserve">美元/桶的概率为</w:t>
      </w:r>
      <w:r>
        <w:t xml:space="preserve"> </w:t>
      </w:r>
      <w:r>
        <w:rPr>
          <w:rFonts w:hint="eastAsia"/>
        </w:rPr>
        <w:t xml:space="preserve">3.9%。这说明长期风险的重点不是中性点预测本身，而是多因素联动恶化下的尾部组合风险；OVX</w:t>
      </w:r>
      <w:r>
        <w:t xml:space="preserve"> </w:t>
      </w:r>
      <w:r>
        <w:rPr>
          <w:rFonts w:hint="eastAsia"/>
        </w:rPr>
        <w:t xml:space="preserve">接入后，模型对市场隐含波动率给出的尾部定价更加敏感。</w:t>
      </w:r>
    </w:p>
    <w:bookmarkEnd w:id="155"/>
    <w:bookmarkStart w:id="159" w:name="状态转移扰动检验"/>
    <w:p>
      <w:pPr>
        <w:pStyle w:val="Heading2"/>
      </w:pPr>
      <w:r>
        <w:rPr>
          <w:rFonts w:hint="eastAsia"/>
        </w:rPr>
        <w:t xml:space="preserve">状态转移扰动检验</w:t>
      </w:r>
    </w:p>
    <w:p>
      <w:pPr>
        <w:pStyle w:val="FirstParagraph"/>
      </w:pPr>
      <w:r>
        <w:rPr>
          <w:rFonts w:hint="eastAsia"/>
        </w:rPr>
        <w:t xml:space="preserve">蒙特卡洛情景树主要扰动参数，而状态转移情景树主要扰动事件状态。设长期状态变量</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rPr>
          <w:rFonts w:hint="eastAsia"/>
        </w:rPr>
        <w:t xml:space="preserve">，分别表示缓和、维持和升级三类状态，其转移概率满足</w:t>
      </w:r>
    </w:p>
    <w:p>
      <w:pPr>
        <w:pStyle w:val="BodyText"/>
      </w:pPr>
      <m:oMathPara>
        <m:oMathParaPr>
          <m:jc m:val="center"/>
        </m:oMathParaPr>
        <m:oMath>
          <m:r>
            <m:rPr>
              <m:sty m:val="p"/>
            </m:rPr>
            <m:t>Pr</m:t>
          </m:r>
          <m:r>
            <m:rPr>
              <m:sty m:val="p"/>
            </m:rPr>
            <m:t>(</m:t>
          </m:r>
          <m:sSub>
            <m:e>
              <m:r>
                <m:t>Z</m:t>
              </m:r>
            </m:e>
            <m:sub>
              <m:r>
                <m:t>t</m:t>
              </m:r>
              <m:r>
                <m:rPr>
                  <m:sty m:val="p"/>
                </m:rPr>
                <m:t>+</m:t>
              </m:r>
              <m:r>
                <m:t>1</m:t>
              </m:r>
            </m:sub>
          </m:sSub>
          <m:r>
            <m:rPr>
              <m:sty m:val="p"/>
            </m:rPr>
            <m:t>=</m:t>
          </m:r>
          <m:r>
            <m:t>j</m:t>
          </m:r>
          <m:r>
            <m:rPr>
              <m:sty m:val="p"/>
            </m:rPr>
            <m:t>∣</m:t>
          </m:r>
          <m:sSub>
            <m:e>
              <m:r>
                <m:t>Z</m:t>
              </m:r>
            </m:e>
            <m:sub>
              <m:r>
                <m:t>t</m:t>
              </m:r>
            </m:sub>
          </m:sSub>
          <m:r>
            <m:rPr>
              <m:sty m:val="p"/>
            </m:rPr>
            <m:t>=</m:t>
          </m:r>
          <m:r>
            <m:t>i</m:t>
          </m:r>
          <m:r>
            <m:rPr>
              <m:sty m:val="p"/>
            </m:rPr>
            <m:t>)</m:t>
          </m:r>
          <m:r>
            <m:rPr>
              <m:sty m:val="p"/>
            </m:rPr>
            <m:t>=</m:t>
          </m:r>
          <m:sSub>
            <m:e>
              <m:r>
                <m:t>m</m:t>
              </m:r>
            </m:e>
            <m:sub>
              <m:r>
                <m:t>i</m:t>
              </m:r>
              <m:r>
                <m:t>j</m:t>
              </m:r>
            </m:sub>
          </m:sSub>
          <m:r>
            <m:rPr>
              <m:sty m:val="p"/>
            </m:rPr>
            <m:t>(</m:t>
          </m:r>
          <m:r>
            <m:t>t</m:t>
          </m:r>
          <m:r>
            <m:rPr>
              <m:sty m:val="p"/>
            </m:rPr>
            <m:t>)</m:t>
          </m:r>
          <m:r>
            <m:rPr>
              <m:sty m:val="p"/>
            </m:rPr>
            <m:t>,</m:t>
          </m:r>
        </m:oMath>
      </m:oMathPara>
    </w:p>
    <w:p>
      <w:pPr>
        <w:pStyle w:val="FirstParagraph"/>
      </w:pPr>
      <w:r>
        <w:rPr>
          <w:rFonts w:hint="eastAsia"/>
        </w:rPr>
        <w:t xml:space="preserve">其中</w:t>
      </w:r>
      <w:r>
        <w:t xml:space="preserve"> </w:t>
      </w:r>
      <m:oMath>
        <m:sSub>
          <m:e>
            <m:r>
              <m:t>m</m:t>
            </m:r>
          </m:e>
          <m:sub>
            <m:r>
              <m:t>i</m:t>
            </m:r>
            <m:r>
              <m:t>j</m:t>
            </m:r>
          </m:sub>
        </m:sSub>
        <m:r>
          <m:rPr>
            <m:sty m:val="p"/>
          </m:rPr>
          <m:t>(</m:t>
        </m:r>
        <m:r>
          <m:t>t</m:t>
        </m:r>
        <m:r>
          <m:rPr>
            <m:sty m:val="p"/>
          </m:rPr>
          <m:t>)</m:t>
        </m:r>
      </m:oMath>
      <w:r>
        <w:t xml:space="preserve"> </w:t>
      </w:r>
      <w:r>
        <w:rPr>
          <w:rFonts w:hint="eastAsia"/>
        </w:rPr>
        <w:t xml:space="preserve">允许随封锁持续时间缓慢偏向缓和状态，表示市场逐步观察到政策缓冲和替代运输效果。给定状态</w:t>
      </w:r>
      <w:r>
        <w:t xml:space="preserve"> </w:t>
      </w:r>
      <m:oMath>
        <m:sSub>
          <m:e>
            <m:r>
              <m:t>Z</m:t>
            </m:r>
          </m:e>
          <m:sub>
            <m:r>
              <m:t>t</m:t>
            </m:r>
          </m:sub>
        </m:sSub>
      </m:oMath>
      <w:r>
        <w:t xml:space="preserve"> </w:t>
      </w:r>
      <w:r>
        <w:rPr>
          <w:rFonts w:hint="eastAsia"/>
        </w:rPr>
        <w:t xml:space="preserve">后，价格不直接等于某条三情景曲线，而是向相应中心路径</w:t>
      </w:r>
      <w:r>
        <w:t xml:space="preserve"> </w:t>
      </w:r>
      <m:oMath>
        <m:sSub>
          <m:e>
            <m:acc>
              <m:accPr>
                <m:chr m:val="‾"/>
              </m:accPr>
              <m:e>
                <m:r>
                  <m:t>P</m:t>
                </m:r>
              </m:e>
            </m:acc>
          </m:e>
          <m:sub>
            <m:r>
              <m:t>t</m:t>
            </m:r>
          </m:sub>
        </m:sSub>
        <m:r>
          <m:rPr>
            <m:sty m:val="p"/>
          </m:rPr>
          <m:t>(</m:t>
        </m:r>
        <m:sSub>
          <m:e>
            <m:r>
              <m:t>Z</m:t>
            </m:r>
          </m:e>
          <m:sub>
            <m:r>
              <m:t>t</m:t>
            </m:r>
          </m:sub>
        </m:sSub>
        <m:r>
          <m:rPr>
            <m:sty m:val="p"/>
          </m:rPr>
          <m:t>)</m:t>
        </m:r>
      </m:oMath>
      <w:r>
        <w:t xml:space="preserve"> </w:t>
      </w:r>
      <w:r>
        <w:rPr>
          <w:rFonts w:hint="eastAsia"/>
        </w:rPr>
        <w:t xml:space="preserve">均值回复：</w:t>
      </w:r>
    </w:p>
    <w:p>
      <w:pPr>
        <w:pStyle w:val="BodyText"/>
      </w:pPr>
      <m:oMathPara>
        <m:oMathParaPr>
          <m:jc m:val="center"/>
        </m:oMathParaPr>
        <m:oMath>
          <m:sSubSup>
            <m:e>
              <m:r>
                <m:t>P</m:t>
              </m:r>
            </m:e>
            <m:sub>
              <m:r>
                <m:t>t</m:t>
              </m:r>
            </m:sub>
            <m:sup>
              <m:r>
                <m:rPr>
                  <m:sty m:val="p"/>
                </m:rPr>
                <m:t>(</m:t>
              </m:r>
              <m:r>
                <m:t>s</m:t>
              </m:r>
              <m:r>
                <m:rPr>
                  <m:sty m:val="p"/>
                </m:rPr>
                <m:t>)</m:t>
              </m:r>
            </m:sup>
          </m:sSubSup>
          <m:r>
            <m:rPr>
              <m:sty m:val="p"/>
            </m:rPr>
            <m:t>=</m:t>
          </m:r>
          <m:r>
            <m:t>0.82</m:t>
          </m:r>
          <m:sSubSup>
            <m:e>
              <m:r>
                <m:t>P</m:t>
              </m:r>
            </m:e>
            <m:sub>
              <m:r>
                <m:t>t</m:t>
              </m:r>
              <m:r>
                <m:rPr>
                  <m:sty m:val="p"/>
                </m:rPr>
                <m:t>−</m:t>
              </m:r>
              <m:r>
                <m:t>1</m:t>
              </m:r>
            </m:sub>
            <m:sup>
              <m:r>
                <m:rPr>
                  <m:sty m:val="p"/>
                </m:rPr>
                <m:t>(</m:t>
              </m:r>
              <m:r>
                <m:t>s</m:t>
              </m:r>
              <m:r>
                <m:rPr>
                  <m:sty m:val="p"/>
                </m:rPr>
                <m:t>)</m:t>
              </m:r>
            </m:sup>
          </m:sSubSup>
          <m:r>
            <m:rPr>
              <m:sty m:val="p"/>
            </m:rPr>
            <m:t>+</m:t>
          </m:r>
          <m:r>
            <m:t>0.18</m:t>
          </m:r>
          <m:sSub>
            <m:e>
              <m:acc>
                <m:accPr>
                  <m:chr m:val="‾"/>
                </m:accPr>
                <m:e>
                  <m:r>
                    <m:t>P</m:t>
                  </m:r>
                </m:e>
              </m:acc>
            </m:e>
            <m:sub>
              <m:r>
                <m:t>t</m:t>
              </m:r>
            </m:sub>
          </m:sSub>
          <m:r>
            <m:rPr>
              <m:sty m:val="p"/>
            </m:rPr>
            <m:t>(</m:t>
          </m:r>
          <m:sSub>
            <m:e>
              <m:r>
                <m:t>Z</m:t>
              </m:r>
            </m:e>
            <m:sub>
              <m:r>
                <m:t>t</m:t>
              </m:r>
            </m:sub>
          </m:sSub>
          <m:r>
            <m:rPr>
              <m:sty m:val="p"/>
            </m:rPr>
            <m:t>)</m:t>
          </m:r>
          <m:r>
            <m:rPr>
              <m:sty m:val="p"/>
            </m:rPr>
            <m:t>+</m:t>
          </m:r>
          <m:sSub>
            <m:e>
              <m:r>
                <m:t>u</m:t>
              </m:r>
            </m:e>
            <m:sub>
              <m:r>
                <m:t>t</m:t>
              </m:r>
            </m:sub>
          </m:sSub>
          <m:r>
            <m:rPr>
              <m:sty m:val="p"/>
            </m:rPr>
            <m:t>(</m:t>
          </m:r>
          <m:sSub>
            <m:e>
              <m:r>
                <m:t>Z</m:t>
              </m:r>
            </m:e>
            <m:sub>
              <m:r>
                <m:t>t</m:t>
              </m:r>
            </m:sub>
          </m:sSub>
          <m:r>
            <m:rPr>
              <m:sty m:val="p"/>
            </m:rPr>
            <m:t>)</m:t>
          </m:r>
          <m:r>
            <m:rPr>
              <m:sty m:val="p"/>
            </m:rPr>
            <m:t>+</m:t>
          </m:r>
          <m:sSub>
            <m:e>
              <m:r>
                <m:t>η</m:t>
              </m:r>
            </m:e>
            <m:sub>
              <m:r>
                <m:t>t</m:t>
              </m:r>
            </m:sub>
          </m:sSub>
          <m:r>
            <m:rPr>
              <m:sty m:val="p"/>
            </m:rPr>
            <m:t>(</m:t>
          </m:r>
          <m:sSub>
            <m:e>
              <m:r>
                <m:t>Z</m:t>
              </m:r>
            </m:e>
            <m:sub>
              <m:r>
                <m:t>t</m:t>
              </m:r>
              <m:r>
                <m:rPr>
                  <m:sty m:val="p"/>
                </m:rPr>
                <m:t>−</m:t>
              </m:r>
              <m:r>
                <m:t>1</m:t>
              </m:r>
            </m:sub>
          </m:sSub>
          <m:r>
            <m:rPr>
              <m:sty m:val="p"/>
            </m:rPr>
            <m:t>,</m:t>
          </m:r>
          <m:sSub>
            <m:e>
              <m:r>
                <m:t>Z</m:t>
              </m:r>
            </m:e>
            <m:sub>
              <m:r>
                <m:t>t</m:t>
              </m:r>
            </m:sub>
          </m:sSub>
          <m:r>
            <m:rPr>
              <m:sty m:val="p"/>
            </m:rPr>
            <m:t>)</m:t>
          </m:r>
          <m:r>
            <m:rPr>
              <m:sty m:val="p"/>
            </m:rPr>
            <m:t>,</m:t>
          </m:r>
        </m:oMath>
      </m:oMathPara>
    </w:p>
    <w:p>
      <w:pPr>
        <w:pStyle w:val="FirstParagraph"/>
      </w:pPr>
      <w:r>
        <w:rPr>
          <w:rFonts w:hint="eastAsia"/>
        </w:rPr>
        <w:t xml:space="preserve">其中</w:t>
      </w:r>
      <w:r>
        <w:t xml:space="preserve"> </w:t>
      </w:r>
      <m:oMath>
        <m:sSub>
          <m:e>
            <m:r>
              <m:t>u</m:t>
            </m:r>
          </m:e>
          <m:sub>
            <m:r>
              <m:t>t</m:t>
            </m:r>
          </m:sub>
        </m:sSub>
      </m:oMath>
      <w:r>
        <w:t xml:space="preserve"> </w:t>
      </w:r>
      <w:r>
        <w:rPr>
          <w:rFonts w:hint="eastAsia"/>
        </w:rPr>
        <w:t xml:space="preserve">为由附件历史波动估计的保守扰动项，</w:t>
      </w:r>
      <m:oMath>
        <m:sSub>
          <m:e>
            <m:r>
              <m:t>η</m:t>
            </m:r>
          </m:e>
          <m:sub>
            <m:r>
              <m:t>t</m:t>
            </m:r>
          </m:sub>
        </m:sSub>
      </m:oMath>
      <w:r>
        <w:t xml:space="preserve"> </w:t>
      </w:r>
      <w:r>
        <w:rPr>
          <w:rFonts w:hint="eastAsia"/>
        </w:rPr>
        <w:t xml:space="preserve">为状态切换时的跳变项。状态转移概率</w:t>
      </w:r>
      <w:r>
        <w:t xml:space="preserve"> </w:t>
      </w:r>
      <m:oMath>
        <m:sSub>
          <m:e>
            <m:r>
              <m:t>m</m:t>
            </m:r>
          </m:e>
          <m:sub>
            <m:r>
              <m:t>i</m:t>
            </m:r>
            <m:r>
              <m:t>j</m:t>
            </m:r>
          </m:sub>
        </m:sSub>
        <m:r>
          <m:rPr>
            <m:sty m:val="p"/>
          </m:rPr>
          <m:t>(</m:t>
        </m:r>
        <m:r>
          <m:t>t</m:t>
        </m:r>
        <m:r>
          <m:rPr>
            <m:sty m:val="p"/>
          </m:rPr>
          <m:t>)</m:t>
        </m:r>
      </m:oMath>
      <w:r>
        <w:t xml:space="preserve"> </w:t>
      </w:r>
      <w:r>
        <w:rPr>
          <w:rFonts w:hint="eastAsia"/>
        </w:rPr>
        <w:t xml:space="preserve">还受到</w:t>
      </w:r>
      <w:r>
        <w:t xml:space="preserve"> GPR </w:t>
      </w:r>
      <w:r>
        <w:rPr>
          <w:rFonts w:hint="eastAsia"/>
        </w:rPr>
        <w:t xml:space="preserve">与</w:t>
      </w:r>
      <w:r>
        <w:t xml:space="preserve"> OVX </w:t>
      </w:r>
      <w:r>
        <w:rPr>
          <w:rFonts w:hint="eastAsia"/>
        </w:rPr>
        <w:t xml:space="preserve">生成的综合状态转移压力约束：GPR</w:t>
      </w:r>
      <w:r>
        <w:t xml:space="preserve"> </w:t>
      </w:r>
      <w:r>
        <w:rPr>
          <w:rFonts w:hint="eastAsia"/>
        </w:rPr>
        <w:t xml:space="preserve">反映地缘风险高位，OVX</w:t>
      </w:r>
      <w:r>
        <w:t xml:space="preserve"> </w:t>
      </w:r>
      <w:r>
        <w:rPr>
          <w:rFonts w:hint="eastAsia"/>
        </w:rPr>
        <w:t xml:space="preserve">反映期权市场对未来波动的定价，二者只温和提高早中期升级概率，并随外推时间衰减。该设定的含义是：长期物理机制决定价格中枢，事件状态切换决定价格围绕中枢的震荡和局部跳变。</w:t>
      </w:r>
    </w:p>
    <w:p>
      <w:pPr>
        <w:pStyle w:val="BodyText"/>
      </w:pPr>
      <w:r>
        <w:rPr>
          <w:rFonts w:hint="eastAsia"/>
        </w:rPr>
        <w:t xml:space="preserve">本检验共生成</w:t>
      </w:r>
      <w:r>
        <w:t xml:space="preserve"> 3000 </w:t>
      </w:r>
      <w:r>
        <w:rPr>
          <w:rFonts w:hint="eastAsia"/>
        </w:rPr>
        <w:t xml:space="preserve">条状态转移路径。结果显示，第</w:t>
      </w:r>
      <w:r>
        <w:t xml:space="preserve"> 180 </w:t>
      </w:r>
      <w:r>
        <w:rPr>
          <w:rFonts w:hint="eastAsia"/>
        </w:rPr>
        <w:t xml:space="preserve">天价格中位数为</w:t>
      </w:r>
      <w:r>
        <w:t xml:space="preserve"> 89.58 </w:t>
      </w:r>
      <w:r>
        <w:rPr>
          <w:rFonts w:hint="eastAsia"/>
        </w:rPr>
        <w:t xml:space="preserve">美元/桶，5%–95%</w:t>
      </w:r>
      <w:r>
        <w:t xml:space="preserve"> </w:t>
      </w:r>
      <w:r>
        <w:rPr>
          <w:rFonts w:hint="eastAsia"/>
        </w:rPr>
        <w:t xml:space="preserve">条件区间为</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38.3%，突破</w:t>
      </w:r>
      <w:r>
        <w:t xml:space="preserve"> 130 </w:t>
      </w:r>
      <w:r>
        <w:rPr>
          <w:rFonts w:hint="eastAsia"/>
        </w:rPr>
        <w:t xml:space="preserve">美元/桶的条件概率为</w:t>
      </w:r>
      <w:r>
        <w:t xml:space="preserve"> </w:t>
      </w:r>
      <w:r>
        <w:rPr>
          <w:rFonts w:hint="eastAsia"/>
        </w:rPr>
        <w:t xml:space="preserve">5.7%。这说明状态切换和市场风险约束确实会放大外推期局部峰值，但不会推翻</w:t>
      </w:r>
      <w:r>
        <w:rPr>
          <w:rFonts w:hint="eastAsia"/>
        </w:rPr>
        <w:t xml:space="preserve">“中性平衡点回落、悲观尾部保留”</w:t>
      </w:r>
      <w:r>
        <w:rPr>
          <w:rFonts w:hint="eastAsia"/>
        </w:rPr>
        <w:t xml:space="preserve">的主结论。也就是说，长期模型的可信表达不应是</w:t>
      </w:r>
      <w:r>
        <w:rPr>
          <w:rFonts w:hint="eastAsia"/>
        </w:rPr>
        <w:t xml:space="preserve">“我能精确预测每天油价”</w:t>
      </w:r>
      <w:r>
        <w:rPr>
          <w:rFonts w:hint="eastAsia"/>
        </w:rPr>
        <w:t xml:space="preserve">，而应是</w:t>
      </w:r>
      <w:r>
        <w:rPr>
          <w:rFonts w:hint="eastAsia"/>
        </w:rPr>
        <w:t xml:space="preserve">“在不同冲突状态下给出可解释的中心、区间和尾部风险”</w:t>
      </w:r>
      <w:r>
        <w:t xml:space="preserve">。</w:t>
      </w:r>
    </w:p>
    <w:p>
      <w:pPr>
        <w:pStyle w:val="CaptionedFigure"/>
      </w:pPr>
      <w:r>
        <w:drawing>
          <wp:inline>
            <wp:extent cx="4907280" cy="2846222"/>
            <wp:effectExtent b="0" l="0" r="0" t="0"/>
            <wp:docPr descr="" title="" id="157" name="Picture"/>
            <a:graphic>
              <a:graphicData uri="http://schemas.openxmlformats.org/drawingml/2006/picture">
                <pic:pic>
                  <pic:nvPicPr>
                    <pic:cNvPr descr="R长期状态转移扇形图.png" id="158" name="Picture"/>
                    <pic:cNvPicPr>
                      <a:picLocks noChangeArrowheads="1" noChangeAspect="1"/>
                    </pic:cNvPicPr>
                  </pic:nvPicPr>
                  <pic:blipFill>
                    <a:blip r:embed="rId156"/>
                    <a:stretch>
                      <a:fillRect/>
                    </a:stretch>
                  </pic:blipFill>
                  <pic:spPr bwMode="auto">
                    <a:xfrm>
                      <a:off x="0" y="0"/>
                      <a:ext cx="4907280" cy="284622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长期状态转移区间预测。双层阴影分别表示</w:t>
      </w:r>
      <w:r>
        <w:t xml:space="preserve"> 5%–95% </w:t>
      </w:r>
      <w:r>
        <w:rPr>
          <w:rFonts w:hint="eastAsia"/>
        </w:rPr>
        <w:t xml:space="preserve">和</w:t>
      </w:r>
      <w:r>
        <w:t xml:space="preserve"> 25%–75% </w:t>
      </w:r>
      <w:r>
        <w:rPr>
          <w:rFonts w:hint="eastAsia"/>
        </w:rPr>
        <w:t xml:space="preserve">条件区间，虚线为原中性中心路径；该图证明长期预测的可信表达是区间和状态切换，而非逐日点预测。</w:t>
      </w:r>
    </w:p>
    <w:bookmarkEnd w:id="159"/>
    <w:bookmarkStart w:id="166" w:name="滞后地缘风险指数检验"/>
    <w:p>
      <w:pPr>
        <w:pStyle w:val="Heading2"/>
      </w:pPr>
      <w:r>
        <w:rPr>
          <w:rFonts w:hint="eastAsia"/>
        </w:rPr>
        <w:t xml:space="preserve">滞后地缘风险指数检验</w:t>
      </w:r>
    </w:p>
    <w:p>
      <w:pPr>
        <w:pStyle w:val="FirstParagraph"/>
      </w:pPr>
      <w:r>
        <w:rPr>
          <w:rFonts w:hint="eastAsia"/>
        </w:rPr>
        <w:t xml:space="preserve">综合机制递推模型中包含地缘风险权重和恐慌衰减项。若直接用新闻情绪或风险指数解释同日油价，可能存在反向因果：油价上涨可能先刺激媒体报道增加，随后模型又用新闻恐慌解释油价上涨。本文使用</w:t>
      </w:r>
      <w:r>
        <w:t xml:space="preserve"> Caldara-Iacoviello GPR </w:t>
      </w:r>
      <w:r>
        <w:rPr>
          <w:rFonts w:hint="eastAsia"/>
        </w:rPr>
        <w:t xml:space="preserve">月度指数做外部校验，并采用滞后一期口径处理新闻风险变量与油价之间的反馈关系。</w:t>
      </w:r>
    </w:p>
    <w:p>
      <w:pPr>
        <w:pStyle w:val="TableCaption"/>
      </w:pPr>
      <w:r>
        <w:rPr>
          <w:rFonts w:hint="eastAsia"/>
        </w:rPr>
        <w:t xml:space="preserve">滞后</w:t>
      </w:r>
      <w:r>
        <w:t xml:space="preserve"> GPR </w:t>
      </w:r>
      <w:r>
        <w:rPr>
          <w:rFonts w:hint="eastAsia"/>
        </w:rPr>
        <w:t xml:space="preserve">风险检验指标</w:t>
      </w:r>
    </w:p>
    <w:tbl>
      <w:tblPr>
        <w:tblStyle w:val="Table"/>
        <w:tblW w:type="auto" w:w="0"/>
        <w:tblLook w:firstRow="1" w:lastRow="0" w:firstColumn="0" w:lastColumn="0" w:noHBand="0" w:noVBand="0" w:val="0020"/>
        <w:tblCaption w:val="滞后 GPR 风险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同期</w:t>
            </w:r>
            <w:r>
              <w:t xml:space="preserve"> GPR </w:t>
            </w:r>
            <w:r>
              <w:rPr>
                <w:rFonts w:hint="eastAsia"/>
              </w:rPr>
              <w:t xml:space="preserve">与本月油价收益相关系数</w:t>
            </w:r>
          </w:p>
        </w:tc>
        <w:tc>
          <w:tcPr/>
          <w:p>
            <w:pPr>
              <w:pStyle w:val="Compact"/>
              <w:jc w:val="right"/>
            </w:pPr>
            <w:r>
              <w:t xml:space="preserve">0.156</w:t>
            </w:r>
          </w:p>
        </w:tc>
        <w:tc>
          <w:tcPr/>
          <w:p>
            <w:pPr>
              <w:pStyle w:val="Compact"/>
              <w:jc w:val="left"/>
            </w:pPr>
            <w:r>
              <w:rPr>
                <w:rFonts w:hint="eastAsia"/>
              </w:rPr>
              <w:t xml:space="preserve">只作为描述性同步关系，不用于预测</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与本月油价收益相关系数</w:t>
            </w:r>
          </w:p>
        </w:tc>
        <w:tc>
          <w:tcPr/>
          <w:p>
            <w:pPr>
              <w:pStyle w:val="Compact"/>
              <w:jc w:val="right"/>
            </w:pPr>
            <w:r>
              <w:t xml:space="preserve">0.030</w:t>
            </w:r>
          </w:p>
        </w:tc>
        <w:tc>
          <w:tcPr/>
          <w:p>
            <w:pPr>
              <w:pStyle w:val="Compact"/>
              <w:jc w:val="left"/>
            </w:pPr>
            <w:r>
              <w:rPr>
                <w:rFonts w:hint="eastAsia"/>
              </w:rPr>
              <w:t xml:space="preserve">避免同月新闻–价格反馈循环的核心检验</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与本月实现波动率相关系数</w:t>
            </w:r>
          </w:p>
        </w:tc>
        <w:tc>
          <w:tcPr/>
          <w:p>
            <w:pPr>
              <w:pStyle w:val="Compact"/>
              <w:jc w:val="right"/>
            </w:pPr>
            <w:r>
              <w:t xml:space="preserve">0.107</w:t>
            </w:r>
          </w:p>
        </w:tc>
        <w:tc>
          <w:tcPr/>
          <w:p>
            <w:pPr>
              <w:pStyle w:val="Compact"/>
              <w:jc w:val="left"/>
            </w:pPr>
            <w:r>
              <w:rPr>
                <w:rFonts w:hint="eastAsia"/>
              </w:rPr>
              <w:t xml:space="preserve">风险指数更适合解释波动和尾部风险</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收益回归</w:t>
            </w:r>
            <w:r>
              <w:t xml:space="preserve"> </w:t>
            </w:r>
            <m:oMath>
              <m:sSup>
                <m:e>
                  <m:r>
                    <m:t>R</m:t>
                  </m:r>
                </m:e>
                <m:sup>
                  <m:r>
                    <m:t>2</m:t>
                  </m:r>
                </m:sup>
              </m:sSup>
            </m:oMath>
          </w:p>
        </w:tc>
        <w:tc>
          <w:tcPr/>
          <w:p>
            <w:pPr>
              <w:pStyle w:val="Compact"/>
              <w:jc w:val="right"/>
            </w:pPr>
            <w:r>
              <w:t xml:space="preserve">0.001</w:t>
            </w:r>
          </w:p>
        </w:tc>
        <w:tc>
          <w:tcPr/>
          <w:p>
            <w:pPr>
              <w:pStyle w:val="Compact"/>
              <w:jc w:val="left"/>
            </w:pPr>
            <w:r>
              <w:rPr>
                <w:rFonts w:hint="eastAsia"/>
              </w:rPr>
              <w:t xml:space="preserve">不支持把</w:t>
            </w:r>
            <w:r>
              <w:t xml:space="preserve"> GPR </w:t>
            </w:r>
            <w:r>
              <w:rPr>
                <w:rFonts w:hint="eastAsia"/>
              </w:rPr>
              <w:t xml:space="preserve">包装成强短期收益预测器</w:t>
            </w:r>
          </w:p>
        </w:tc>
      </w:tr>
      <w:tr>
        <w:tc>
          <w:tcPr/>
          <w:p>
            <w:pPr>
              <w:pStyle w:val="Compact"/>
              <w:jc w:val="left"/>
            </w:pPr>
            <w:r>
              <w:t xml:space="preserve">2026 </w:t>
            </w:r>
            <w:r>
              <w:rPr>
                <w:rFonts w:hint="eastAsia"/>
              </w:rPr>
              <w:t xml:space="preserve">年</w:t>
            </w:r>
            <w:r>
              <w:t xml:space="preserve"> 3 </w:t>
            </w:r>
            <w:r>
              <w:rPr>
                <w:rFonts w:hint="eastAsia"/>
              </w:rPr>
              <w:t xml:space="preserve">月</w:t>
            </w:r>
            <w:r>
              <w:t xml:space="preserve"> GPR </w:t>
            </w:r>
            <w:r>
              <w:rPr>
                <w:rFonts w:hint="eastAsia"/>
              </w:rPr>
              <w:t xml:space="preserve">历史分位数</w:t>
            </w:r>
          </w:p>
        </w:tc>
        <w:tc>
          <w:tcPr/>
          <w:p>
            <w:pPr>
              <w:pStyle w:val="Compact"/>
              <w:jc w:val="right"/>
            </w:pPr>
            <w:r>
              <w:t xml:space="preserve">98.98%</w:t>
            </w:r>
          </w:p>
        </w:tc>
        <w:tc>
          <w:tcPr/>
          <w:p>
            <w:pPr>
              <w:pStyle w:val="Compact"/>
              <w:jc w:val="left"/>
            </w:pPr>
            <w:r>
              <w:rPr>
                <w:rFonts w:hint="eastAsia"/>
              </w:rPr>
              <w:t xml:space="preserve">冲突爆发月风险读数处于罕见高位</w:t>
            </w:r>
          </w:p>
        </w:tc>
      </w:tr>
      <w:tr>
        <w:tc>
          <w:tcPr/>
          <w:p>
            <w:pPr>
              <w:pStyle w:val="Compact"/>
              <w:jc w:val="left"/>
            </w:pPr>
            <w:r>
              <w:t xml:space="preserve">2026 </w:t>
            </w:r>
            <w:r>
              <w:rPr>
                <w:rFonts w:hint="eastAsia"/>
              </w:rPr>
              <w:t xml:space="preserve">年</w:t>
            </w:r>
            <w:r>
              <w:t xml:space="preserve"> 4 </w:t>
            </w:r>
            <w:r>
              <w:rPr>
                <w:rFonts w:hint="eastAsia"/>
              </w:rPr>
              <w:t xml:space="preserve">月</w:t>
            </w:r>
            <w:r>
              <w:t xml:space="preserve"> GPR </w:t>
            </w:r>
            <w:r>
              <w:rPr>
                <w:rFonts w:hint="eastAsia"/>
              </w:rPr>
              <w:t xml:space="preserve">历史分位数</w:t>
            </w:r>
          </w:p>
        </w:tc>
        <w:tc>
          <w:tcPr/>
          <w:p>
            <w:pPr>
              <w:pStyle w:val="Compact"/>
              <w:jc w:val="right"/>
            </w:pPr>
            <w:r>
              <w:t xml:space="preserve">97.76%</w:t>
            </w:r>
          </w:p>
        </w:tc>
        <w:tc>
          <w:tcPr/>
          <w:p>
            <w:pPr>
              <w:pStyle w:val="Compact"/>
              <w:jc w:val="left"/>
            </w:pPr>
            <w:r>
              <w:rPr>
                <w:rFonts w:hint="eastAsia"/>
              </w:rPr>
              <w:t xml:space="preserve">冲突延续月风险读数仍处于历史高位</w:t>
            </w:r>
          </w:p>
        </w:tc>
      </w:tr>
    </w:tbl>
    <w:p>
      <w:pPr>
        <w:pStyle w:val="CaptionedFigure"/>
      </w:pPr>
      <w:r>
        <w:drawing>
          <wp:inline>
            <wp:extent cx="4907280" cy="2628899"/>
            <wp:effectExtent b="0" l="0" r="0" t="0"/>
            <wp:docPr descr="" title="" id="161" name="Picture"/>
            <a:graphic>
              <a:graphicData uri="http://schemas.openxmlformats.org/drawingml/2006/picture">
                <pic:pic>
                  <pic:nvPicPr>
                    <pic:cNvPr descr="地缘风险指数滞后审计.png" id="162" name="Picture"/>
                    <pic:cNvPicPr>
                      <a:picLocks noChangeArrowheads="1" noChangeAspect="1"/>
                    </pic:cNvPicPr>
                  </pic:nvPicPr>
                  <pic:blipFill>
                    <a:blip r:embed="rId160"/>
                    <a:stretch>
                      <a:fillRect/>
                    </a:stretch>
                  </pic:blipFill>
                  <pic:spPr bwMode="auto">
                    <a:xfrm>
                      <a:off x="0" y="0"/>
                      <a:ext cx="4907280" cy="2628899"/>
                    </a:xfrm>
                    <a:prstGeom prst="rect">
                      <a:avLst/>
                    </a:prstGeom>
                    <a:noFill/>
                    <a:ln w="9525">
                      <a:noFill/>
                      <a:headEnd/>
                      <a:tailEnd/>
                    </a:ln>
                  </pic:spPr>
                </pic:pic>
              </a:graphicData>
            </a:graphic>
          </wp:inline>
        </w:drawing>
      </w:r>
    </w:p>
    <w:p>
      <w:pPr>
        <w:pStyle w:val="ImageCaption"/>
      </w:pPr>
      <w:r>
        <w:rPr>
          <w:rFonts w:hint="eastAsia"/>
        </w:rPr>
        <w:t xml:space="preserve">地缘风险指数检验：同步</w:t>
      </w:r>
      <w:r>
        <w:t xml:space="preserve"> GPR </w:t>
      </w:r>
      <w:r>
        <w:rPr>
          <w:rFonts w:hint="eastAsia"/>
        </w:rPr>
        <w:t xml:space="preserve">与滞后可用</w:t>
      </w:r>
      <w:r>
        <w:t xml:space="preserve"> GPR。3 </w:t>
      </w:r>
      <w:r>
        <w:rPr>
          <w:rFonts w:hint="eastAsia"/>
        </w:rPr>
        <w:t xml:space="preserve">月油价解释不能使用</w:t>
      </w:r>
      <w:r>
        <w:t xml:space="preserve"> 3 </w:t>
      </w:r>
      <w:r>
        <w:rPr>
          <w:rFonts w:hint="eastAsia"/>
        </w:rPr>
        <w:t xml:space="preserve">月同步</w:t>
      </w:r>
      <w:r>
        <w:t xml:space="preserve"> </w:t>
      </w:r>
      <w:r>
        <w:rPr>
          <w:rFonts w:hint="eastAsia"/>
        </w:rPr>
        <w:t xml:space="preserve">GPR，4</w:t>
      </w:r>
      <w:r>
        <w:t xml:space="preserve"> </w:t>
      </w:r>
      <w:r>
        <w:rPr>
          <w:rFonts w:hint="eastAsia"/>
        </w:rPr>
        <w:t xml:space="preserve">月以后才可使用已实现的</w:t>
      </w:r>
      <w:r>
        <w:t xml:space="preserve"> 3 </w:t>
      </w:r>
      <w:r>
        <w:rPr>
          <w:rFonts w:hint="eastAsia"/>
        </w:rPr>
        <w:t xml:space="preserve">月风险读数。</w:t>
      </w:r>
    </w:p>
    <w:p>
      <w:pPr>
        <w:pStyle w:val="CaptionedFigure"/>
      </w:pPr>
      <w:r>
        <w:drawing>
          <wp:inline>
            <wp:extent cx="4480560" cy="3054927"/>
            <wp:effectExtent b="0" l="0" r="0" t="0"/>
            <wp:docPr descr="" title="" id="164" name="Picture"/>
            <a:graphic>
              <a:graphicData uri="http://schemas.openxmlformats.org/drawingml/2006/picture">
                <pic:pic>
                  <pic:nvPicPr>
                    <pic:cNvPr descr="滞后GPR与布伦特收益关系.png" id="165" name="Picture"/>
                    <pic:cNvPicPr>
                      <a:picLocks noChangeArrowheads="1" noChangeAspect="1"/>
                    </pic:cNvPicPr>
                  </pic:nvPicPr>
                  <pic:blipFill>
                    <a:blip r:embed="rId163"/>
                    <a:stretch>
                      <a:fillRect/>
                    </a:stretch>
                  </pic:blipFill>
                  <pic:spPr bwMode="auto">
                    <a:xfrm>
                      <a:off x="0" y="0"/>
                      <a:ext cx="4480560" cy="3054927"/>
                    </a:xfrm>
                    <a:prstGeom prst="rect">
                      <a:avLst/>
                    </a:prstGeom>
                    <a:noFill/>
                    <a:ln w="9525">
                      <a:noFill/>
                      <a:headEnd/>
                      <a:tailEnd/>
                    </a:ln>
                  </pic:spPr>
                </pic:pic>
              </a:graphicData>
            </a:graphic>
          </wp:inline>
        </w:drawing>
      </w:r>
    </w:p>
    <w:p>
      <w:pPr>
        <w:pStyle w:val="ImageCaption"/>
      </w:pPr>
      <w:r>
        <w:rPr>
          <w:rFonts w:hint="eastAsia"/>
        </w:rPr>
        <w:t xml:space="preserve">滞后</w:t>
      </w:r>
      <w:r>
        <w:t xml:space="preserve"> 1 </w:t>
      </w:r>
      <w:r>
        <w:rPr>
          <w:rFonts w:hint="eastAsia"/>
        </w:rPr>
        <w:t xml:space="preserve">月</w:t>
      </w:r>
      <w:r>
        <w:t xml:space="preserve"> GPR </w:t>
      </w:r>
      <w:r>
        <w:rPr>
          <w:rFonts w:hint="eastAsia"/>
        </w:rPr>
        <w:t xml:space="preserve">与布伦特月度收益关系。散点关系较弱，说明</w:t>
      </w:r>
      <w:r>
        <w:t xml:space="preserve"> GPR </w:t>
      </w:r>
      <w:r>
        <w:rPr>
          <w:rFonts w:hint="eastAsia"/>
        </w:rPr>
        <w:t xml:space="preserve">更适合作为风险溢价外部校验，而非单独点预测模型。</w:t>
      </w:r>
    </w:p>
    <w:p>
      <w:pPr>
        <w:pStyle w:val="BodyText"/>
      </w:pPr>
      <w:r>
        <w:rPr>
          <w:rFonts w:hint="eastAsia"/>
        </w:rPr>
        <w:t xml:space="preserve">该结果对本文有两层含义。第一，2026</w:t>
      </w:r>
      <w:r>
        <w:t xml:space="preserve"> </w:t>
      </w:r>
      <w:r>
        <w:rPr>
          <w:rFonts w:hint="eastAsia"/>
        </w:rPr>
        <w:t xml:space="preserve">年</w:t>
      </w:r>
      <w:r>
        <w:t xml:space="preserve"> 3–4 </w:t>
      </w:r>
      <w:r>
        <w:rPr>
          <w:rFonts w:hint="eastAsia"/>
        </w:rPr>
        <w:t xml:space="preserve">月</w:t>
      </w:r>
      <w:r>
        <w:t xml:space="preserve"> GPR </w:t>
      </w:r>
      <w:r>
        <w:rPr>
          <w:rFonts w:hint="eastAsia"/>
        </w:rPr>
        <w:t xml:space="preserve">处于历史高分位，说明模型中的地缘风险溢价具有外部风险指数支撑。第二，滞后</w:t>
      </w:r>
      <w:r>
        <w:t xml:space="preserve"> GPR </w:t>
      </w:r>
      <w:r>
        <w:rPr>
          <w:rFonts w:hint="eastAsia"/>
        </w:rPr>
        <w:t xml:space="preserve">对月度收益的解释力有限，因此本文不将其直接加入短期拟合，也不把风险指数写成强点预测变量。这使模型在风险解释和内生性边界之间保持较稳妥的定位。</w:t>
      </w:r>
    </w:p>
    <w:bookmarkEnd w:id="166"/>
    <w:bookmarkStart w:id="170" w:name="市场隐含波动率检验"/>
    <w:p>
      <w:pPr>
        <w:pStyle w:val="Heading2"/>
      </w:pPr>
      <w:r>
        <w:rPr>
          <w:rFonts w:hint="eastAsia"/>
        </w:rPr>
        <w:t xml:space="preserve">市场隐含波动率检验</w:t>
      </w:r>
    </w:p>
    <w:p>
      <w:pPr>
        <w:pStyle w:val="FirstParagraph"/>
      </w:pPr>
      <w:r>
        <w:t xml:space="preserve">GPR </w:t>
      </w:r>
      <w:r>
        <w:rPr>
          <w:rFonts w:hint="eastAsia"/>
        </w:rPr>
        <w:t xml:space="preserve">的优势是覆盖长期地缘政治风险叙事，但它来自新闻文本，天然存在内生性边界。为补充更接近市场交易定价的风险变量，本文接入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隐含波动率日度序列，并与附件布伦特主力合约价格进行滞后检验。</w:t>
      </w:r>
    </w:p>
    <w:p>
      <w:pPr>
        <w:pStyle w:val="TableCaption"/>
      </w:pPr>
      <w:r>
        <w:t xml:space="preserve">OVX </w:t>
      </w:r>
      <w:r>
        <w:rPr>
          <w:rFonts w:hint="eastAsia"/>
        </w:rPr>
        <w:t xml:space="preserve">市场隐含波动率检验指标</w:t>
      </w:r>
    </w:p>
    <w:tbl>
      <w:tblPr>
        <w:tblStyle w:val="Table"/>
        <w:tblW w:type="auto" w:w="0"/>
        <w:tblLook w:firstRow="1" w:lastRow="0" w:firstColumn="0" w:lastColumn="0" w:noHBand="0" w:noVBand="0" w:val="0020"/>
        <w:tblCaption w:val="OVX 市场隐含波动率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冲突窗口</w:t>
            </w:r>
            <w:r>
              <w:t xml:space="preserve"> OVX </w:t>
            </w:r>
            <w:r>
              <w:rPr>
                <w:rFonts w:hint="eastAsia"/>
              </w:rPr>
              <w:t xml:space="preserve">均值</w:t>
            </w:r>
          </w:p>
        </w:tc>
        <w:tc>
          <w:tcPr/>
          <w:p>
            <w:pPr>
              <w:pStyle w:val="Compact"/>
              <w:jc w:val="right"/>
            </w:pPr>
            <w:r>
              <w:t xml:space="preserve">87.07</w:t>
            </w:r>
          </w:p>
        </w:tc>
        <w:tc>
          <w:tcPr/>
          <w:p>
            <w:pPr>
              <w:pStyle w:val="Compact"/>
              <w:jc w:val="left"/>
            </w:pPr>
            <w:r>
              <w:rPr>
                <w:rFonts w:hint="eastAsia"/>
              </w:rPr>
              <w:t xml:space="preserve">期权市场定价出的冲突窗口平均预期波动率</w:t>
            </w:r>
          </w:p>
        </w:tc>
      </w:tr>
      <w:tr>
        <w:tc>
          <w:tcPr/>
          <w:p>
            <w:pPr>
              <w:pStyle w:val="Compact"/>
              <w:jc w:val="left"/>
            </w:pPr>
            <w:r>
              <w:rPr>
                <w:rFonts w:hint="eastAsia"/>
              </w:rPr>
              <w:t xml:space="preserve">冲突窗口</w:t>
            </w:r>
            <w:r>
              <w:t xml:space="preserve"> OVX </w:t>
            </w:r>
            <w:r>
              <w:rPr>
                <w:rFonts w:hint="eastAsia"/>
              </w:rPr>
              <w:t xml:space="preserve">最大值</w:t>
            </w:r>
          </w:p>
        </w:tc>
        <w:tc>
          <w:tcPr/>
          <w:p>
            <w:pPr>
              <w:pStyle w:val="Compact"/>
              <w:jc w:val="right"/>
            </w:pPr>
            <w:r>
              <w:t xml:space="preserve">120.91</w:t>
            </w:r>
          </w:p>
        </w:tc>
        <w:tc>
          <w:tcPr/>
          <w:p>
            <w:pPr>
              <w:pStyle w:val="Compact"/>
              <w:jc w:val="left"/>
            </w:pPr>
            <w:r>
              <w:rPr>
                <w:rFonts w:hint="eastAsia"/>
              </w:rPr>
              <w:t xml:space="preserve">冲突窗口内市场隐含波动率峰值</w:t>
            </w:r>
          </w:p>
        </w:tc>
      </w:tr>
      <w:tr>
        <w:tc>
          <w:tcPr/>
          <w:p>
            <w:pPr>
              <w:pStyle w:val="Compact"/>
              <w:jc w:val="left"/>
            </w:pPr>
            <w:r>
              <w:rPr>
                <w:rFonts w:hint="eastAsia"/>
              </w:rPr>
              <w:t xml:space="preserve">冲突窗口</w:t>
            </w:r>
            <w:r>
              <w:t xml:space="preserve"> OVX </w:t>
            </w:r>
            <w:r>
              <w:rPr>
                <w:rFonts w:hint="eastAsia"/>
              </w:rPr>
              <w:t xml:space="preserve">均值历史分位</w:t>
            </w:r>
          </w:p>
        </w:tc>
        <w:tc>
          <w:tcPr/>
          <w:p>
            <w:pPr>
              <w:pStyle w:val="Compact"/>
              <w:jc w:val="right"/>
            </w:pPr>
            <w:r>
              <w:t xml:space="preserve">97.3%</w:t>
            </w:r>
          </w:p>
        </w:tc>
        <w:tc>
          <w:tcPr/>
          <w:p>
            <w:pPr>
              <w:pStyle w:val="Compact"/>
              <w:jc w:val="left"/>
            </w:pPr>
            <w:r>
              <w:rPr>
                <w:rFonts w:hint="eastAsia"/>
              </w:rPr>
              <w:t xml:space="preserve">同长度历史窗口均值口径下的异常程度</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与绝对收益相关系数</w:t>
            </w:r>
          </w:p>
        </w:tc>
        <w:tc>
          <w:tcPr/>
          <w:p>
            <w:pPr>
              <w:pStyle w:val="Compact"/>
              <w:jc w:val="right"/>
            </w:pPr>
            <w:r>
              <w:t xml:space="preserve">0.422</w:t>
            </w:r>
          </w:p>
        </w:tc>
        <w:tc>
          <w:tcPr/>
          <w:p>
            <w:pPr>
              <w:pStyle w:val="Compact"/>
              <w:jc w:val="left"/>
            </w:pPr>
            <w:r>
              <w:rPr>
                <w:rFonts w:hint="eastAsia"/>
              </w:rPr>
              <w:t xml:space="preserve">隐含波动率对未来波动强度有解释力</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w:t>
            </w:r>
            <w:r>
              <w:t xml:space="preserve"> 7 </w:t>
            </w:r>
            <w:r>
              <w:rPr>
                <w:rFonts w:hint="eastAsia"/>
              </w:rPr>
              <w:t xml:space="preserve">日实现波动率相关系数</w:t>
            </w:r>
          </w:p>
        </w:tc>
        <w:tc>
          <w:tcPr/>
          <w:p>
            <w:pPr>
              <w:pStyle w:val="Compact"/>
              <w:jc w:val="right"/>
            </w:pPr>
            <w:r>
              <w:t xml:space="preserve">0.790</w:t>
            </w:r>
          </w:p>
        </w:tc>
        <w:tc>
          <w:tcPr/>
          <w:p>
            <w:pPr>
              <w:pStyle w:val="Compact"/>
              <w:jc w:val="left"/>
            </w:pPr>
            <w:r>
              <w:t xml:space="preserve">OVX </w:t>
            </w:r>
            <w:r>
              <w:rPr>
                <w:rFonts w:hint="eastAsia"/>
              </w:rPr>
              <w:t xml:space="preserve">更适合约束波动和尾部风险</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变化与收益相关系数</w:t>
            </w:r>
          </w:p>
        </w:tc>
        <w:tc>
          <w:tcPr/>
          <w:p>
            <w:pPr>
              <w:pStyle w:val="Compact"/>
              <w:jc w:val="right"/>
            </w:pPr>
            <w:r>
              <w:t xml:space="preserve">-0.074</w:t>
            </w:r>
          </w:p>
        </w:tc>
        <w:tc>
          <w:tcPr/>
          <w:p>
            <w:pPr>
              <w:pStyle w:val="Compact"/>
              <w:jc w:val="left"/>
            </w:pPr>
            <w:r>
              <w:rPr>
                <w:rFonts w:hint="eastAsia"/>
              </w:rPr>
              <w:t xml:space="preserve">不支持把</w:t>
            </w:r>
            <w:r>
              <w:t xml:space="preserve"> OVX </w:t>
            </w:r>
            <w:r>
              <w:rPr>
                <w:rFonts w:hint="eastAsia"/>
              </w:rPr>
              <w:t xml:space="preserve">包装成强方向预测变量</w:t>
            </w:r>
          </w:p>
        </w:tc>
      </w:tr>
    </w:tbl>
    <w:p>
      <w:pPr>
        <w:pStyle w:val="CaptionedFigure"/>
      </w:pPr>
      <w:r>
        <w:drawing>
          <wp:inline>
            <wp:extent cx="4907280" cy="3141983"/>
            <wp:effectExtent b="0" l="0" r="0" t="0"/>
            <wp:docPr descr="" title="" id="168" name="Picture"/>
            <a:graphic>
              <a:graphicData uri="http://schemas.openxmlformats.org/drawingml/2006/picture">
                <pic:pic>
                  <pic:nvPicPr>
                    <pic:cNvPr descr="OVX隐含波动率滞后检验.png" id="169" name="Picture"/>
                    <pic:cNvPicPr>
                      <a:picLocks noChangeArrowheads="1" noChangeAspect="1"/>
                    </pic:cNvPicPr>
                  </pic:nvPicPr>
                  <pic:blipFill>
                    <a:blip r:embed="rId167"/>
                    <a:stretch>
                      <a:fillRect/>
                    </a:stretch>
                  </pic:blipFill>
                  <pic:spPr bwMode="auto">
                    <a:xfrm>
                      <a:off x="0" y="0"/>
                      <a:ext cx="4907280" cy="3141983"/>
                    </a:xfrm>
                    <a:prstGeom prst="rect">
                      <a:avLst/>
                    </a:prstGeom>
                    <a:noFill/>
                    <a:ln w="9525">
                      <a:noFill/>
                      <a:headEnd/>
                      <a:tailEnd/>
                    </a:ln>
                  </pic:spPr>
                </pic:pic>
              </a:graphicData>
            </a:graphic>
          </wp:inline>
        </w:drawing>
      </w:r>
    </w:p>
    <w:p>
      <w:pPr>
        <w:pStyle w:val="ImageCaption"/>
      </w:pPr>
      <w:r>
        <w:t xml:space="preserve">OVX </w:t>
      </w:r>
      <w:r>
        <w:rPr>
          <w:rFonts w:hint="eastAsia"/>
        </w:rPr>
        <w:t xml:space="preserve">隐含波动率滞后检验。冲突窗口内</w:t>
      </w:r>
      <w:r>
        <w:t xml:space="preserve"> OVX </w:t>
      </w:r>
      <w:r>
        <w:rPr>
          <w:rFonts w:hint="eastAsia"/>
        </w:rPr>
        <w:t xml:space="preserve">明显升高，说明期权市场也对原油尾部风险重新定价。</w:t>
      </w:r>
    </w:p>
    <w:p>
      <w:pPr>
        <w:pStyle w:val="BodyText"/>
      </w:pPr>
      <w:r>
        <w:t xml:space="preserve">OVX </w:t>
      </w:r>
      <w:r>
        <w:rPr>
          <w:rFonts w:hint="eastAsia"/>
        </w:rPr>
        <w:t xml:space="preserve">接入长期模型的方式是克制的：它只作为长期风险权重和不确定性强度的附加乘数，而不进入短期同日拟合。具体而言，OVX</w:t>
      </w:r>
      <w:r>
        <w:t xml:space="preserve"> </w:t>
      </w:r>
      <w:r>
        <w:rPr>
          <w:rFonts w:hint="eastAsia"/>
        </w:rPr>
        <w:t xml:space="preserve">冲突窗口历史分位数和滞后</w:t>
      </w:r>
      <w:r>
        <w:t xml:space="preserve"> 1 </w:t>
      </w:r>
      <w:r>
        <w:rPr>
          <w:rFonts w:hint="eastAsia"/>
        </w:rPr>
        <w:t xml:space="preserve">日</w:t>
      </w:r>
      <w:r>
        <w:t xml:space="preserve"> OVX </w:t>
      </w:r>
      <w:r>
        <w:rPr>
          <w:rFonts w:hint="eastAsia"/>
        </w:rPr>
        <w:t xml:space="preserve">与实现波动率相关性共同生成市场风险压力，进而得到</w:t>
      </w:r>
      <w:r>
        <w:t xml:space="preserve"> OVX </w:t>
      </w:r>
      <w:r>
        <w:rPr>
          <w:rFonts w:hint="eastAsia"/>
        </w:rPr>
        <w:t xml:space="preserve">市场风险权重附加乘数</w:t>
      </w:r>
      <w:r>
        <w:t xml:space="preserve"> 1.0275 </w:t>
      </w:r>
      <w:r>
        <w:rPr>
          <w:rFonts w:hint="eastAsia"/>
        </w:rPr>
        <w:t xml:space="preserve">和</w:t>
      </w:r>
      <w:r>
        <w:t xml:space="preserve"> OVX </w:t>
      </w:r>
      <w:r>
        <w:rPr>
          <w:rFonts w:hint="eastAsia"/>
        </w:rPr>
        <w:t xml:space="preserve">不确定性强度附加乘数</w:t>
      </w:r>
      <w:r>
        <w:t xml:space="preserve"> </w:t>
      </w:r>
      <w:r>
        <w:rPr>
          <w:rFonts w:hint="eastAsia"/>
        </w:rPr>
        <w:t xml:space="preserve">1.0433。这样既利用了期权市场对风险的定价信息，又避免把隐含波动率误写成油价方向预测器。</w:t>
      </w:r>
    </w:p>
    <w:bookmarkEnd w:id="170"/>
    <w:bookmarkStart w:id="177" w:name="历史样本稳健性检验"/>
    <w:p>
      <w:pPr>
        <w:pStyle w:val="Heading2"/>
      </w:pPr>
      <w:r>
        <w:rPr>
          <w:rFonts w:hint="eastAsia"/>
        </w:rPr>
        <w:t xml:space="preserve">历史样本稳健性检验</w:t>
      </w:r>
    </w:p>
    <w:p>
      <w:pPr>
        <w:pStyle w:val="FirstParagraph"/>
      </w:pPr>
      <w:r>
        <w:rPr>
          <w:rFonts w:hint="eastAsia"/>
        </w:rPr>
        <w:t xml:space="preserve">附件数据覆盖</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月。除用于绘制长期价格和波动背景外，完整历史数据还可以检验</w:t>
      </w:r>
      <w:r>
        <w:t xml:space="preserve"> 2026 </w:t>
      </w:r>
      <w:r>
        <w:rPr>
          <w:rFonts w:hint="eastAsia"/>
        </w:rPr>
        <w:t xml:space="preserve">冲突窗口在历史分布中的位置。本文采用与冲突窗口相同的</w:t>
      </w:r>
      <w:r>
        <w:t xml:space="preserve"> 46 </w:t>
      </w:r>
      <w:r>
        <w:rPr>
          <w:rFonts w:hint="eastAsia"/>
        </w:rPr>
        <w:t xml:space="preserve">个交易日长度，在全样本中滚动构造历史窗口，并比较累计收益率、实现波动率、价格区间、最大单日跳变和朴素上一日基准误差。</w:t>
      </w:r>
    </w:p>
    <w:p>
      <w:pPr>
        <w:pStyle w:val="TableCaption"/>
      </w:pPr>
      <w:r>
        <w:t xml:space="preserve">2026 </w:t>
      </w:r>
      <w:r>
        <w:rPr>
          <w:rFonts w:hint="eastAsia"/>
        </w:rPr>
        <w:t xml:space="preserve">冲突窗口在历史同长度窗口中的位置</w:t>
      </w:r>
    </w:p>
    <w:tbl>
      <w:tblPr>
        <w:tblStyle w:val="Table"/>
        <w:tblW w:type="auto" w:w="0"/>
        <w:tblLook w:firstRow="1" w:lastRow="0" w:firstColumn="0" w:lastColumn="0" w:noHBand="0" w:noVBand="0" w:val="0020"/>
        <w:tblCaption w:val="2026 冲突窗口在历史同长度窗口中的位置"/>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冲突窗口数值</w:t>
            </w:r>
          </w:p>
        </w:tc>
        <w:tc>
          <w:tcPr/>
          <w:p>
            <w:pPr>
              <w:pStyle w:val="Compact"/>
              <w:jc w:val="right"/>
            </w:pPr>
            <w:r>
              <w:rPr>
                <w:rFonts w:hint="eastAsia"/>
              </w:rPr>
              <w:t xml:space="preserve">历史分位数</w:t>
            </w:r>
          </w:p>
        </w:tc>
        <w:tc>
          <w:tcPr/>
          <w:p>
            <w:pPr>
              <w:pStyle w:val="Compact"/>
              <w:jc w:val="left"/>
            </w:pPr>
            <w:r>
              <w:rPr>
                <w:rFonts w:hint="eastAsia"/>
              </w:rPr>
              <w:t xml:space="preserve">含义</w:t>
            </w:r>
          </w:p>
        </w:tc>
      </w:tr>
      <w:tr>
        <w:tc>
          <w:tcPr/>
          <w:p>
            <w:pPr>
              <w:pStyle w:val="Compact"/>
              <w:jc w:val="left"/>
            </w:pPr>
            <w:r>
              <w:rPr>
                <w:rFonts w:hint="eastAsia"/>
              </w:rPr>
              <w:t xml:space="preserve">累计收益率</w:t>
            </w:r>
          </w:p>
        </w:tc>
        <w:tc>
          <w:tcPr/>
          <w:p>
            <w:pPr>
              <w:pStyle w:val="Compact"/>
              <w:jc w:val="right"/>
            </w:pPr>
            <w:r>
              <w:t xml:space="preserve">50.7%</w:t>
            </w:r>
          </w:p>
        </w:tc>
        <w:tc>
          <w:tcPr/>
          <w:p>
            <w:pPr>
              <w:pStyle w:val="Compact"/>
              <w:jc w:val="right"/>
            </w:pPr>
            <w:r>
              <w:t xml:space="preserve">99.3%</w:t>
            </w:r>
          </w:p>
        </w:tc>
        <w:tc>
          <w:tcPr/>
          <w:p>
            <w:pPr>
              <w:pStyle w:val="Compact"/>
              <w:jc w:val="left"/>
            </w:pPr>
            <w:r>
              <w:rPr>
                <w:rFonts w:hint="eastAsia"/>
              </w:rPr>
              <w:t xml:space="preserve">同长度窗口内价格上行幅度</w:t>
            </w:r>
          </w:p>
        </w:tc>
      </w:tr>
      <w:tr>
        <w:tc>
          <w:tcPr/>
          <w:p>
            <w:pPr>
              <w:pStyle w:val="Compact"/>
              <w:jc w:val="left"/>
            </w:pPr>
            <w:r>
              <w:rPr>
                <w:rFonts w:hint="eastAsia"/>
              </w:rPr>
              <w:t xml:space="preserve">实现波动率</w:t>
            </w:r>
          </w:p>
        </w:tc>
        <w:tc>
          <w:tcPr/>
          <w:p>
            <w:pPr>
              <w:pStyle w:val="Compact"/>
              <w:jc w:val="right"/>
            </w:pPr>
            <w:r>
              <w:t xml:space="preserve">30.4%</w:t>
            </w:r>
          </w:p>
        </w:tc>
        <w:tc>
          <w:tcPr/>
          <w:p>
            <w:pPr>
              <w:pStyle w:val="Compact"/>
              <w:jc w:val="right"/>
            </w:pPr>
            <w:r>
              <w:t xml:space="preserve">95.7%</w:t>
            </w:r>
          </w:p>
        </w:tc>
        <w:tc>
          <w:tcPr/>
          <w:p>
            <w:pPr>
              <w:pStyle w:val="Compact"/>
              <w:jc w:val="left"/>
            </w:pPr>
            <w:r>
              <w:rPr>
                <w:rFonts w:hint="eastAsia"/>
              </w:rPr>
              <w:t xml:space="preserve">同长度窗口内波动强度</w:t>
            </w:r>
          </w:p>
        </w:tc>
      </w:tr>
      <w:tr>
        <w:tc>
          <w:tcPr/>
          <w:p>
            <w:pPr>
              <w:pStyle w:val="Compact"/>
              <w:jc w:val="left"/>
            </w:pPr>
            <w:r>
              <w:rPr>
                <w:rFonts w:hint="eastAsia"/>
              </w:rPr>
              <w:t xml:space="preserve">平均绝对日收益率</w:t>
            </w:r>
          </w:p>
        </w:tc>
        <w:tc>
          <w:tcPr/>
          <w:p>
            <w:pPr>
              <w:pStyle w:val="Compact"/>
              <w:jc w:val="right"/>
            </w:pPr>
            <w:r>
              <w:t xml:space="preserve">3.74%</w:t>
            </w:r>
          </w:p>
        </w:tc>
        <w:tc>
          <w:tcPr/>
          <w:p>
            <w:pPr>
              <w:pStyle w:val="Compact"/>
              <w:jc w:val="right"/>
            </w:pPr>
            <w:r>
              <w:t xml:space="preserve">97.3%</w:t>
            </w:r>
          </w:p>
        </w:tc>
        <w:tc>
          <w:tcPr/>
          <w:p>
            <w:pPr>
              <w:pStyle w:val="Compact"/>
              <w:jc w:val="left"/>
            </w:pPr>
            <w:r>
              <w:rPr>
                <w:rFonts w:hint="eastAsia"/>
              </w:rPr>
              <w:t xml:space="preserve">日常波动强度</w:t>
            </w:r>
          </w:p>
        </w:tc>
      </w:tr>
      <w:tr>
        <w:tc>
          <w:tcPr/>
          <w:p>
            <w:pPr>
              <w:pStyle w:val="Compact"/>
              <w:jc w:val="left"/>
            </w:pPr>
            <w:r>
              <w:rPr>
                <w:rFonts w:hint="eastAsia"/>
              </w:rPr>
              <w:t xml:space="preserve">最大单日绝对收益</w:t>
            </w:r>
          </w:p>
        </w:tc>
        <w:tc>
          <w:tcPr/>
          <w:p>
            <w:pPr>
              <w:pStyle w:val="Compact"/>
              <w:jc w:val="right"/>
            </w:pPr>
            <w:r>
              <w:t xml:space="preserve">11.9%</w:t>
            </w:r>
          </w:p>
        </w:tc>
        <w:tc>
          <w:tcPr/>
          <w:p>
            <w:pPr>
              <w:pStyle w:val="Compact"/>
              <w:jc w:val="right"/>
            </w:pPr>
            <w:r>
              <w:t xml:space="preserve">91.4%</w:t>
            </w:r>
          </w:p>
        </w:tc>
        <w:tc>
          <w:tcPr/>
          <w:p>
            <w:pPr>
              <w:pStyle w:val="Compact"/>
              <w:jc w:val="left"/>
            </w:pPr>
            <w:r>
              <w:rPr>
                <w:rFonts w:hint="eastAsia"/>
              </w:rPr>
              <w:t xml:space="preserve">局部跳变强度</w:t>
            </w:r>
          </w:p>
        </w:tc>
      </w:tr>
      <w:tr>
        <w:tc>
          <w:tcPr/>
          <w:p>
            <w:pPr>
              <w:pStyle w:val="Compact"/>
              <w:jc w:val="left"/>
            </w:pPr>
            <w:r>
              <w:rPr>
                <w:rFonts w:hint="eastAsia"/>
              </w:rPr>
              <w:t xml:space="preserve">价格区间比例</w:t>
            </w:r>
          </w:p>
        </w:tc>
        <w:tc>
          <w:tcPr/>
          <w:p>
            <w:pPr>
              <w:pStyle w:val="Compact"/>
              <w:jc w:val="right"/>
            </w:pPr>
            <w:r>
              <w:t xml:space="preserve">36.1%</w:t>
            </w:r>
          </w:p>
        </w:tc>
        <w:tc>
          <w:tcPr/>
          <w:p>
            <w:pPr>
              <w:pStyle w:val="Compact"/>
              <w:jc w:val="right"/>
            </w:pPr>
            <w:r>
              <w:t xml:space="preserve">93.2%</w:t>
            </w:r>
          </w:p>
        </w:tc>
        <w:tc>
          <w:tcPr/>
          <w:p>
            <w:pPr>
              <w:pStyle w:val="Compact"/>
              <w:jc w:val="left"/>
            </w:pPr>
            <w:r>
              <w:rPr>
                <w:rFonts w:hint="eastAsia"/>
              </w:rPr>
              <w:t xml:space="preserve">窗口内价格振幅</w:t>
            </w:r>
          </w:p>
        </w:tc>
      </w:tr>
      <w:tr>
        <w:tc>
          <w:tcPr/>
          <w:p>
            <w:pPr>
              <w:pStyle w:val="Compact"/>
              <w:jc w:val="left"/>
            </w:pPr>
            <w:r>
              <w:rPr>
                <w:rFonts w:hint="eastAsia"/>
              </w:rPr>
              <w:t xml:space="preserve">朴素上一日基准</w:t>
            </w:r>
            <w:r>
              <w:t xml:space="preserve"> RMSE</w:t>
            </w:r>
          </w:p>
        </w:tc>
        <w:tc>
          <w:tcPr/>
          <w:p>
            <w:pPr>
              <w:pStyle w:val="Compact"/>
              <w:jc w:val="right"/>
            </w:pPr>
            <w:r>
              <w:t xml:space="preserve">4.52</w:t>
            </w:r>
          </w:p>
        </w:tc>
        <w:tc>
          <w:tcPr/>
          <w:p>
            <w:pPr>
              <w:pStyle w:val="Compact"/>
              <w:jc w:val="right"/>
            </w:pPr>
            <w:r>
              <w:t xml:space="preserve">98.5%</w:t>
            </w:r>
          </w:p>
        </w:tc>
        <w:tc>
          <w:tcPr/>
          <w:p>
            <w:pPr>
              <w:pStyle w:val="Compact"/>
              <w:jc w:val="left"/>
            </w:pPr>
            <w:r>
              <w:rPr>
                <w:rFonts w:hint="eastAsia"/>
              </w:rPr>
              <w:t xml:space="preserve">随机游走基准在该窗口是否变难</w:t>
            </w:r>
          </w:p>
        </w:tc>
      </w:tr>
      <w:tr>
        <w:tc>
          <w:tcPr/>
          <w:p>
            <w:pPr>
              <w:pStyle w:val="Compact"/>
              <w:jc w:val="left"/>
            </w:pPr>
            <w:r>
              <w:rPr>
                <w:rFonts w:hint="eastAsia"/>
              </w:rPr>
              <w:t xml:space="preserve">本文机制模型</w:t>
            </w:r>
            <w:r>
              <w:t xml:space="preserve"> RMSE</w:t>
            </w:r>
          </w:p>
        </w:tc>
        <w:tc>
          <w:tcPr/>
          <w:p>
            <w:pPr>
              <w:pStyle w:val="Compact"/>
              <w:jc w:val="right"/>
            </w:pPr>
            <w:r>
              <w:t xml:space="preserve">3.44</w:t>
            </w:r>
          </w:p>
        </w:tc>
        <w:tc>
          <w:tcPr/>
          <w:p>
            <w:pPr>
              <w:pStyle w:val="Compact"/>
              <w:jc w:val="right"/>
            </w:pPr>
            <w:r>
              <w:t xml:space="preserve">97.4%</w:t>
            </w:r>
          </w:p>
        </w:tc>
        <w:tc>
          <w:tcPr/>
          <w:p>
            <w:pPr>
              <w:pStyle w:val="Compact"/>
              <w:jc w:val="left"/>
            </w:pPr>
            <w:r>
              <w:rPr>
                <w:rFonts w:hint="eastAsia"/>
              </w:rPr>
              <w:t xml:space="preserve">对比历史朴素误差分布</w:t>
            </w:r>
          </w:p>
        </w:tc>
      </w:tr>
    </w:tbl>
    <w:p>
      <w:pPr>
        <w:pStyle w:val="CaptionedFigure"/>
      </w:pPr>
      <w:r>
        <w:drawing>
          <wp:inline>
            <wp:extent cx="4907280" cy="2685115"/>
            <wp:effectExtent b="0" l="0" r="0" t="0"/>
            <wp:docPr descr="" title="" id="172" name="Picture"/>
            <a:graphic>
              <a:graphicData uri="http://schemas.openxmlformats.org/drawingml/2006/picture">
                <pic:pic>
                  <pic:nvPicPr>
                    <pic:cNvPr descr="历史窗口极端性检验.png" id="173" name="Picture"/>
                    <pic:cNvPicPr>
                      <a:picLocks noChangeArrowheads="1" noChangeAspect="1"/>
                    </pic:cNvPicPr>
                  </pic:nvPicPr>
                  <pic:blipFill>
                    <a:blip r:embed="rId171"/>
                    <a:stretch>
                      <a:fillRect/>
                    </a:stretch>
                  </pic:blipFill>
                  <pic:spPr bwMode="auto">
                    <a:xfrm>
                      <a:off x="0" y="0"/>
                      <a:ext cx="4907280" cy="2685115"/>
                    </a:xfrm>
                    <a:prstGeom prst="rect">
                      <a:avLst/>
                    </a:prstGeom>
                    <a:noFill/>
                    <a:ln w="9525">
                      <a:noFill/>
                      <a:headEnd/>
                      <a:tailEnd/>
                    </a:ln>
                  </pic:spPr>
                </pic:pic>
              </a:graphicData>
            </a:graphic>
          </wp:inline>
        </w:drawing>
      </w:r>
    </w:p>
    <w:p>
      <w:pPr>
        <w:pStyle w:val="ImageCaption"/>
      </w:pPr>
      <w:r>
        <w:t xml:space="preserve">2026 </w:t>
      </w:r>
      <w:r>
        <w:rPr>
          <w:rFonts w:hint="eastAsia"/>
        </w:rPr>
        <w:t xml:space="preserve">冲突窗口在历史同长度窗口中的极端性。累计涨幅、波动率和朴素基准误差均处于历史高分位。</w:t>
      </w:r>
    </w:p>
    <w:p>
      <w:pPr>
        <w:pStyle w:val="CaptionedFigure"/>
      </w:pPr>
      <w:r>
        <w:drawing>
          <wp:inline>
            <wp:extent cx="4800600" cy="2351314"/>
            <wp:effectExtent b="0" l="0" r="0" t="0"/>
            <wp:docPr descr="" title="" id="175" name="Picture"/>
            <a:graphic>
              <a:graphicData uri="http://schemas.openxmlformats.org/drawingml/2006/picture">
                <pic:pic>
                  <pic:nvPicPr>
                    <pic:cNvPr descr="R历史基准误差分布图.png" id="176" name="Picture"/>
                    <pic:cNvPicPr>
                      <a:picLocks noChangeArrowheads="1" noChangeAspect="1"/>
                    </pic:cNvPicPr>
                  </pic:nvPicPr>
                  <pic:blipFill>
                    <a:blip r:embed="rId174"/>
                    <a:stretch>
                      <a:fillRect/>
                    </a:stretch>
                  </pic:blipFill>
                  <pic:spPr bwMode="auto">
                    <a:xfrm>
                      <a:off x="0" y="0"/>
                      <a:ext cx="4800600" cy="2351314"/>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历史同长度窗口基准误差分布。蓝色区间表示历史分位带，红点表示</w:t>
      </w:r>
      <w:r>
        <w:t xml:space="preserve"> 2026 </w:t>
      </w:r>
      <w:r>
        <w:rPr>
          <w:rFonts w:hint="eastAsia"/>
        </w:rPr>
        <w:t xml:space="preserve">冲突窗口，说明该窗口对普通基准模型显著更难。</w:t>
      </w:r>
    </w:p>
    <w:p>
      <w:pPr>
        <w:pStyle w:val="BodyText"/>
      </w:pPr>
      <w:r>
        <w:rPr>
          <w:rFonts w:hint="eastAsia"/>
        </w:rPr>
        <w:t xml:space="preserve">历史检验有两个作用。第一，它证明本文没有只盯着</w:t>
      </w:r>
      <w:r>
        <w:t xml:space="preserve"> 46 </w:t>
      </w:r>
      <w:r>
        <w:rPr>
          <w:rFonts w:hint="eastAsia"/>
        </w:rPr>
        <w:t xml:space="preserve">个交易日做孤立拟合：与</w:t>
      </w:r>
      <w:r>
        <w:t xml:space="preserve"> 2017–2026 </w:t>
      </w:r>
      <w:r>
        <w:rPr>
          <w:rFonts w:hint="eastAsia"/>
        </w:rPr>
        <w:t xml:space="preserve">年所有同长度窗口相比，2026</w:t>
      </w:r>
      <w:r>
        <w:t xml:space="preserve"> </w:t>
      </w:r>
      <w:r>
        <w:rPr>
          <w:rFonts w:hint="eastAsia"/>
        </w:rPr>
        <w:t xml:space="preserve">冲突窗口确实属于高涨幅、高波动和高预测难度样本。第二，它说明完整历史数据更适合作为背景分布和基准检验，而不应被用来把霍尔木兹机制参数强行拟合到所有普通时期。ADF</w:t>
      </w:r>
      <w:r>
        <w:t xml:space="preserve"> </w:t>
      </w:r>
      <w:r>
        <w:rPr>
          <w:rFonts w:hint="eastAsia"/>
        </w:rPr>
        <w:t xml:space="preserve">检验也支持这一点：收盘价水平和对数价格均不能拒绝单位根，而对数收益率可拒绝单位根，因此普通统计基准更适合在收益率或差分口径下使用。</w:t>
      </w:r>
    </w:p>
    <w:bookmarkEnd w:id="177"/>
    <w:bookmarkEnd w:id="178"/>
    <w:bookmarkStart w:id="182" w:name="模型评价"/>
    <w:p>
      <w:pPr>
        <w:pStyle w:val="Heading1"/>
      </w:pPr>
      <w:r>
        <w:rPr>
          <w:rFonts w:hint="eastAsia"/>
        </w:rPr>
        <w:t xml:space="preserve">模型评价</w:t>
      </w:r>
    </w:p>
    <w:bookmarkStart w:id="179" w:name="优点"/>
    <w:p>
      <w:pPr>
        <w:pStyle w:val="Heading2"/>
      </w:pPr>
      <w:r>
        <w:rPr>
          <w:rFonts w:hint="eastAsia"/>
        </w:rPr>
        <w:t xml:space="preserve">优点</w:t>
      </w:r>
    </w:p>
    <w:p>
      <w:pPr>
        <w:numPr>
          <w:ilvl w:val="0"/>
          <w:numId w:val="1006"/>
        </w:numPr>
      </w:pPr>
      <w:r>
        <w:rPr>
          <w:rFonts w:hint="eastAsia"/>
        </w:rPr>
        <w:t xml:space="preserve">证据链完整：从附件数据清洗、传统供需基准、动态模型、校准、鲁棒性检验、三情景预测到敏感性分析均可复现。</w:t>
      </w:r>
    </w:p>
    <w:p>
      <w:pPr>
        <w:numPr>
          <w:ilvl w:val="0"/>
          <w:numId w:val="1006"/>
        </w:numPr>
      </w:pPr>
      <w:r>
        <w:rPr>
          <w:rFonts w:hint="eastAsia"/>
        </w:rPr>
        <w:t xml:space="preserve">机制解释清晰：价格平台由供应缺口、风险溢价和缓冲折价共同递推形成，而非外生给定的价格上限。</w:t>
      </w:r>
    </w:p>
    <w:p>
      <w:pPr>
        <w:numPr>
          <w:ilvl w:val="0"/>
          <w:numId w:val="1006"/>
        </w:numPr>
      </w:pPr>
      <w:r>
        <w:rPr>
          <w:rFonts w:hint="eastAsia"/>
        </w:rPr>
        <w:t xml:space="preserve">检验体系较完整：本文设置</w:t>
      </w:r>
      <w:r>
        <w:t xml:space="preserve"> Random Walk </w:t>
      </w:r>
      <w:r>
        <w:rPr>
          <w:rFonts w:hint="eastAsia"/>
        </w:rPr>
        <w:t xml:space="preserve">基准、ARIMA</w:t>
      </w:r>
      <w:r>
        <w:t xml:space="preserve"> </w:t>
      </w:r>
      <w:r>
        <w:rPr>
          <w:rFonts w:hint="eastAsia"/>
        </w:rPr>
        <w:t xml:space="preserve">基准、DM</w:t>
      </w:r>
      <w:r>
        <w:t xml:space="preserve"> </w:t>
      </w:r>
      <w:r>
        <w:rPr>
          <w:rFonts w:hint="eastAsia"/>
        </w:rPr>
        <w:t xml:space="preserve">统计检验、滞后平移检验、机制消融、参数扰动和历史同长度窗口检验。</w:t>
      </w:r>
    </w:p>
    <w:p>
      <w:pPr>
        <w:numPr>
          <w:ilvl w:val="0"/>
          <w:numId w:val="1006"/>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p>
      <w:pPr>
        <w:numPr>
          <w:ilvl w:val="0"/>
          <w:numId w:val="1006"/>
        </w:numPr>
      </w:pPr>
      <w:r>
        <w:rPr>
          <w:rFonts w:hint="eastAsia"/>
        </w:rPr>
        <w:t xml:space="preserve">长期表述审慎：三情景中心线与蒙特卡洛扇形区间、状态转移情景树合读，把长期结果定位为条件中心路径、状态切换和尾部风险，而非精确日度点预测。</w:t>
      </w:r>
    </w:p>
    <w:bookmarkEnd w:id="179"/>
    <w:bookmarkStart w:id="180" w:name="局限性"/>
    <w:p>
      <w:pPr>
        <w:pStyle w:val="Heading2"/>
      </w:pPr>
      <w:r>
        <w:rPr>
          <w:rFonts w:hint="eastAsia"/>
        </w:rPr>
        <w:t xml:space="preserve">局限性</w:t>
      </w:r>
    </w:p>
    <w:p>
      <w:pPr>
        <w:numPr>
          <w:ilvl w:val="0"/>
          <w:numId w:val="1007"/>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7"/>
        </w:numPr>
      </w:pPr>
      <w:r>
        <w:rPr>
          <w:rFonts w:hint="eastAsia"/>
        </w:rPr>
        <w:t xml:space="preserve">本文已补充</w:t>
      </w:r>
      <w:r>
        <w:t xml:space="preserve"> EIA </w:t>
      </w:r>
      <w:r>
        <w:rPr>
          <w:rFonts w:hint="eastAsia"/>
        </w:rPr>
        <w:t xml:space="preserve">美国口径</w:t>
      </w:r>
      <w:r>
        <w:t xml:space="preserve"> </w:t>
      </w:r>
      <w:r>
        <w:rPr>
          <w:rFonts w:hint="eastAsia"/>
        </w:rPr>
        <w:t xml:space="preserve">SPR、商业库存和原油产量周度数据，接入</w:t>
      </w:r>
      <w:r>
        <w:t xml:space="preserve"> JODI </w:t>
      </w:r>
      <w:r>
        <w:rPr>
          <w:rFonts w:hint="eastAsia"/>
        </w:rPr>
        <w:t xml:space="preserve">多国月度产量、库存、进出口、需求和炼厂产出，整理</w:t>
      </w:r>
      <w:r>
        <w:t xml:space="preserve"> OPEC </w:t>
      </w:r>
      <w:r>
        <w:rPr>
          <w:rFonts w:hint="eastAsia"/>
        </w:rPr>
        <w:t xml:space="preserve">公开全球供需平衡表作为长期外生约束，并进一步接入</w:t>
      </w:r>
      <w:r>
        <w:t xml:space="preserve"> OVX </w:t>
      </w:r>
      <w:r>
        <w:rPr>
          <w:rFonts w:hint="eastAsia"/>
        </w:rPr>
        <w:t xml:space="preserve">原油隐含波动率约束长期风险权重和不确定性强度；同时接入</w:t>
      </w:r>
      <w:r>
        <w:t xml:space="preserve"> GPR </w:t>
      </w:r>
      <w:r>
        <w:rPr>
          <w:rFonts w:hint="eastAsia"/>
        </w:rPr>
        <w:t xml:space="preserve">月度指数和历史滚动窗口校验地缘风险与事件极端性。但</w:t>
      </w:r>
      <w:r>
        <w:t xml:space="preserve"> JODI </w:t>
      </w:r>
      <w:r>
        <w:rPr>
          <w:rFonts w:hint="eastAsia"/>
        </w:rPr>
        <w:t xml:space="preserve">存在上报滞后和覆盖差异，OPEC</w:t>
      </w:r>
      <w:r>
        <w:t xml:space="preserve"> </w:t>
      </w:r>
      <w:r>
        <w:rPr>
          <w:rFonts w:hint="eastAsia"/>
        </w:rPr>
        <w:t xml:space="preserve">表属于正常基线预测而非封锁情景实测，OVX</w:t>
      </w:r>
      <w:r>
        <w:t xml:space="preserve"> </w:t>
      </w:r>
      <w:r>
        <w:rPr>
          <w:rFonts w:hint="eastAsia"/>
        </w:rPr>
        <w:t xml:space="preserve">反映波动率而非方向收益，仍不能替代</w:t>
      </w:r>
      <w:r>
        <w:t xml:space="preserve"> IEA </w:t>
      </w:r>
      <w:r>
        <w:rPr>
          <w:rFonts w:hint="eastAsia"/>
        </w:rPr>
        <w:t xml:space="preserve">完整授权数据库、油轮保险费、期货期限结构或高频新闻情绪等变量。</w:t>
      </w:r>
    </w:p>
    <w:p>
      <w:pPr>
        <w:numPr>
          <w:ilvl w:val="0"/>
          <w:numId w:val="1007"/>
        </w:numPr>
      </w:pPr>
      <w:r>
        <w:rPr>
          <w:rFonts w:hint="eastAsia"/>
        </w:rPr>
        <w:t xml:space="preserve">蒙特卡洛情景树和状态转移情景树已经刻画了部分参数联动风险与事件状态切换风险，但其联合分布仍来自模型设定而非未来观测，因此尾部概率应解释为条件概率而非真实市场概率。</w:t>
      </w:r>
    </w:p>
    <w:bookmarkEnd w:id="180"/>
    <w:bookmarkStart w:id="181"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若后续继续深化，可以从三个方向提高模型外推能力：第一，在现有</w:t>
      </w:r>
      <w:r>
        <w:t xml:space="preserve"> EIA、JODI </w:t>
      </w:r>
      <w:r>
        <w:rPr>
          <w:rFonts w:hint="eastAsia"/>
        </w:rPr>
        <w:t xml:space="preserve">与</w:t>
      </w:r>
      <w:r>
        <w:t xml:space="preserve"> OPEC </w:t>
      </w:r>
      <w:r>
        <w:rPr>
          <w:rFonts w:hint="eastAsia"/>
        </w:rPr>
        <w:t xml:space="preserve">校验基础上，若获得</w:t>
      </w:r>
      <w:r>
        <w:t xml:space="preserve"> IEA MODS </w:t>
      </w:r>
      <w:r>
        <w:rPr>
          <w:rFonts w:hint="eastAsia"/>
        </w:rPr>
        <w:t xml:space="preserve">等授权数据库，可进一步约束全球库存消耗速度和炼厂吞吐路径；第二，在现有</w:t>
      </w:r>
      <w:r>
        <w:t xml:space="preserve"> GPR </w:t>
      </w:r>
      <w:r>
        <w:rPr>
          <w:rFonts w:hint="eastAsia"/>
        </w:rPr>
        <w:t xml:space="preserve">和</w:t>
      </w:r>
      <w:r>
        <w:t xml:space="preserve"> OVX </w:t>
      </w:r>
      <w:r>
        <w:rPr>
          <w:rFonts w:hint="eastAsia"/>
        </w:rPr>
        <w:t xml:space="preserve">检验基础上，继续探索油轮保险费、BDTI/TD3C、期货期限结构等更接近霍尔木兹运输风险和期限定价的变量；第三，把状态转移概率从当前</w:t>
      </w:r>
      <w:r>
        <w:t xml:space="preserve"> GPR/OVX </w:t>
      </w:r>
      <w:r>
        <w:rPr>
          <w:rFonts w:hint="eastAsia"/>
        </w:rPr>
        <w:t xml:space="preserve">风险约束继续推进为由历史地缘风险、隐含波动率、期限结构和运输保险价格共同驱动的时变概率。R</w:t>
      </w:r>
      <w:r>
        <w:t xml:space="preserve"> </w:t>
      </w:r>
      <w:r>
        <w:rPr>
          <w:rFonts w:hint="eastAsia"/>
        </w:rPr>
        <w:t xml:space="preserve">语言可用于后续</w:t>
      </w:r>
      <w:r>
        <w:t xml:space="preserve"> GARCH、VAR、Granger </w:t>
      </w:r>
      <w:r>
        <w:rPr>
          <w:rFonts w:hint="eastAsia"/>
        </w:rPr>
        <w:t xml:space="preserve">和稳健标准误等计量检验，C++</w:t>
      </w:r>
      <w:r>
        <w:t xml:space="preserve"> </w:t>
      </w:r>
      <w:r>
        <w:rPr>
          <w:rFonts w:hint="eastAsia"/>
        </w:rPr>
        <w:t xml:space="preserve">多智能体仿真则只有在获得主体级行为数据时才有必要进入主线。</w:t>
      </w:r>
    </w:p>
    <w:bookmarkEnd w:id="181"/>
    <w:bookmarkEnd w:id="182"/>
    <w:bookmarkStart w:id="183"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8"/>
        </w:numPr>
      </w:pPr>
      <w:r>
        <w:rPr>
          <w:rFonts w:hint="eastAsia"/>
        </w:rPr>
        <w:t xml:space="preserve">在赛题低短期弹性假设下，线性需求反事实基准会给出约</w:t>
      </w:r>
      <w:r>
        <w:t xml:space="preserve"> 278–337 </w:t>
      </w:r>
      <w:r>
        <w:rPr>
          <w:rFonts w:hint="eastAsia"/>
        </w:rPr>
        <w:t xml:space="preserve">美元/桶的理论压力，常弹性需求口径给出更高机械上界。该结果只表示静态低弹性框架的压力上界，不表示现实市场会到达该价格。</w:t>
      </w:r>
    </w:p>
    <w:p>
      <w:pPr>
        <w:numPr>
          <w:ilvl w:val="0"/>
          <w:numId w:val="1008"/>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8"/>
        </w:numPr>
      </w:pPr>
      <w:r>
        <w:rPr>
          <w:rFonts w:hint="eastAsia"/>
        </w:rPr>
        <w:t xml:space="preserve">模型优于朴素上一日基准和滚动</w:t>
      </w:r>
      <w:r>
        <w:t xml:space="preserve"> ARIMA </w:t>
      </w:r>
      <w:r>
        <w:rPr>
          <w:rFonts w:hint="eastAsia"/>
        </w:rPr>
        <w:t xml:space="preserve">基准，DM</w:t>
      </w:r>
      <w:r>
        <w:t xml:space="preserve"> </w:t>
      </w:r>
      <w:r>
        <w:rPr>
          <w:rFonts w:hint="eastAsia"/>
        </w:rPr>
        <w:t xml:space="preserve">平方损失检验和方向命中检验提供支持性统计证据，且通过滞后平移检验、机制消融和参数扰动检验，具备较好的解释力和稳定性。</w:t>
      </w:r>
    </w:p>
    <w:p>
      <w:pPr>
        <w:numPr>
          <w:ilvl w:val="0"/>
          <w:numId w:val="1008"/>
        </w:numPr>
      </w:pPr>
      <w:r>
        <w:t xml:space="preserve">60–180 </w:t>
      </w:r>
      <w:r>
        <w:rPr>
          <w:rFonts w:hint="eastAsia"/>
        </w:rPr>
        <w:t xml:space="preserve">天情景预测显示，中性情景第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美元/桶，并存在二次跳涨风险。</w:t>
      </w:r>
    </w:p>
    <w:p>
      <w:pPr>
        <w:numPr>
          <w:ilvl w:val="0"/>
          <w:numId w:val="1008"/>
        </w:numPr>
      </w:pPr>
      <w:r>
        <w:rPr>
          <w:rFonts w:hint="eastAsia"/>
        </w:rPr>
        <w:t xml:space="preserve">敏感性分析显示，封锁风险衰减速度、地缘风险权重和不确定性与制度风险强度是综合敏感度最高的三个因素；SPR</w:t>
      </w:r>
      <w:r>
        <w:t xml:space="preserve"> </w:t>
      </w:r>
      <w:r>
        <w:rPr>
          <w:rFonts w:hint="eastAsia"/>
        </w:rPr>
        <w:t xml:space="preserve">和绕道运输更偏向削峰、缺口闭合和争取恢复时间。</w:t>
      </w:r>
    </w:p>
    <w:p>
      <w:pPr>
        <w:numPr>
          <w:ilvl w:val="0"/>
          <w:numId w:val="1008"/>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16.3%，尾部风险主要来自多因素同时恶化；状态转移情景树进一步说明，若未来冲突状态在缓和、维持和升级之间切换，并受到</w:t>
      </w:r>
      <w:r>
        <w:t xml:space="preserve"> GPR/OVX </w:t>
      </w:r>
      <w:r>
        <w:rPr>
          <w:rFonts w:hint="eastAsia"/>
        </w:rPr>
        <w:t xml:space="preserve">风险读数约束，外推期最高价</w:t>
      </w:r>
      <w:r>
        <w:t xml:space="preserve"> P95 </w:t>
      </w:r>
      <w:r>
        <w:rPr>
          <w:rFonts w:hint="eastAsia"/>
        </w:rPr>
        <w:t xml:space="preserve">约为</w:t>
      </w:r>
      <w:r>
        <w:t xml:space="preserve"> 130.51 </w:t>
      </w:r>
      <w:r>
        <w:rPr>
          <w:rFonts w:hint="eastAsia"/>
        </w:rPr>
        <w:t xml:space="preserve">美元/桶，突破</w:t>
      </w:r>
      <w:r>
        <w:t xml:space="preserve"> 120 </w:t>
      </w:r>
      <w:r>
        <w:rPr>
          <w:rFonts w:hint="eastAsia"/>
        </w:rPr>
        <w:t xml:space="preserve">美元/桶的条件概率约为</w:t>
      </w:r>
      <w:r>
        <w:t xml:space="preserve"> 38.3%。</w:t>
      </w:r>
    </w:p>
    <w:p>
      <w:pPr>
        <w:numPr>
          <w:ilvl w:val="0"/>
          <w:numId w:val="1008"/>
        </w:numPr>
      </w:pPr>
      <w:r>
        <w:t xml:space="preserve">GPR </w:t>
      </w:r>
      <w:r>
        <w:rPr>
          <w:rFonts w:hint="eastAsia"/>
        </w:rPr>
        <w:t xml:space="preserve">滞后检验显示，2026</w:t>
      </w:r>
      <w:r>
        <w:t xml:space="preserve"> </w:t>
      </w:r>
      <w:r>
        <w:rPr>
          <w:rFonts w:hint="eastAsia"/>
        </w:rPr>
        <w:t xml:space="preserve">年</w:t>
      </w:r>
      <w:r>
        <w:t xml:space="preserve"> 3–4 </w:t>
      </w:r>
      <w:r>
        <w:rPr>
          <w:rFonts w:hint="eastAsia"/>
        </w:rPr>
        <w:t xml:space="preserve">月地缘风险处于历史高分位；OVX</w:t>
      </w:r>
      <w:r>
        <w:t xml:space="preserve"> </w:t>
      </w:r>
      <w:r>
        <w:rPr>
          <w:rFonts w:hint="eastAsia"/>
        </w:rPr>
        <w:t xml:space="preserve">检验显示冲突窗口隐含波动率均值处于同长度历史窗口约</w:t>
      </w:r>
      <w:r>
        <w:t xml:space="preserve"> 97.3% </w:t>
      </w:r>
      <w:r>
        <w:rPr>
          <w:rFonts w:hint="eastAsia"/>
        </w:rPr>
        <w:t xml:space="preserve">分位。二者支持风险溢价机制，但都不应包装成短期点预测因子。</w:t>
      </w:r>
    </w:p>
    <w:p>
      <w:pPr>
        <w:numPr>
          <w:ilvl w:val="0"/>
          <w:numId w:val="1008"/>
        </w:numPr>
      </w:pPr>
      <w:r>
        <w:t xml:space="preserve">2017–2026 </w:t>
      </w:r>
      <w:r>
        <w:rPr>
          <w:rFonts w:hint="eastAsia"/>
        </w:rPr>
        <w:t xml:space="preserve">历史同长度窗口检验显示，冲突窗口累计收益率、波动率和朴素基准误差均处于历史高分位，说明完整历史数据支持</w:t>
      </w:r>
      <w:r>
        <w:rPr>
          <w:rFonts w:hint="eastAsia"/>
        </w:rPr>
        <w:t xml:space="preserve">“该事件窗口确实特殊”</w:t>
      </w:r>
      <w:r>
        <w:rPr>
          <w:rFonts w:hint="eastAsia"/>
        </w:rPr>
        <w:t xml:space="preserve">的判断。</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短期价格平台来自政策缓冲与预期修复对低弹性供需压力的再定价；长期风险则不在于中性路径本身，而在于供应中断偏大、SPR</w:t>
      </w:r>
      <w:r>
        <w:t xml:space="preserve"> </w:t>
      </w:r>
      <w:r>
        <w:rPr>
          <w:rFonts w:hint="eastAsia"/>
        </w:rPr>
        <w:t xml:space="preserve">不足、绕道恢复缓慢和制度风险溢价持续时形成的尾部组合。</w:t>
      </w:r>
    </w:p>
    <w:p>
      <w:pPr>
        <w:pStyle w:val="BodyText"/>
      </w:pPr>
      <w:r>
        <w:rPr>
          <w:rFonts w:hint="eastAsia"/>
          <w:b/>
          <w:bCs/>
        </w:rPr>
        <w:t xml:space="preserve">关键结论</w:t>
      </w:r>
      <w:r>
        <w:rPr>
          <w:rFonts w:hint="eastAsia"/>
        </w:rPr>
        <w:t xml:space="preserve">本文最终结论可以概括为：短期看，价格平台是低弹性冲击、政策缓冲和预期修复共同递推形成的结果；长期看，决定风险上界的不是单一路径预测，而是封锁持续、缓冲失效和制度风险高位叠加时的尾部组合。</w:t>
      </w:r>
    </w:p>
    <w:bookmarkEnd w:id="183"/>
    <w:bookmarkStart w:id="192"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184">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185">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186">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187">
        <w:r>
          <w:rPr>
            <w:rStyle w:val="Hyperlink"/>
          </w:rPr>
          <w:t xml:space="preserve">EIA petroleum weekly data</w:t>
        </w:r>
      </w:hyperlink>
      <w:r>
        <w:t xml:space="preserve">.</w:t>
      </w:r>
    </w:p>
    <w:p>
      <w:pPr>
        <w:pStyle w:val="BodyText"/>
      </w:pPr>
      <w:r>
        <w:t xml:space="preserve">Joint Organisations Data Initiative. JODI Oil World Database.</w:t>
      </w:r>
      <w:r>
        <w:t xml:space="preserve"> </w:t>
      </w:r>
      <w:hyperlink r:id="rId188">
        <w:r>
          <w:rPr>
            <w:rStyle w:val="Hyperlink"/>
          </w:rPr>
          <w:t xml:space="preserve">JODI oil data</w:t>
        </w:r>
      </w:hyperlink>
      <w:r>
        <w:t xml:space="preserve">.</w:t>
      </w:r>
    </w:p>
    <w:p>
      <w:pPr>
        <w:pStyle w:val="BodyText"/>
      </w:pPr>
      <w:r>
        <w:t xml:space="preserve">Organization of the Petroleum Exporting Countries. Monthly Oil Market Report, Balance of supply and demand tables.</w:t>
      </w:r>
      <w:r>
        <w:t xml:space="preserve"> </w:t>
      </w:r>
      <w:hyperlink r:id="rId189">
        <w:r>
          <w:rPr>
            <w:rStyle w:val="Hyperlink"/>
          </w:rPr>
          <w:t xml:space="preserve">OPEC MOMR digital publication</w:t>
        </w:r>
      </w:hyperlink>
      <w:r>
        <w:t xml:space="preserve">.</w:t>
      </w:r>
    </w:p>
    <w:p>
      <w:pPr>
        <w:pStyle w:val="BodyText"/>
      </w:pPr>
      <w:r>
        <w:t xml:space="preserve">Caldara-Iacoviello Geopolitical Risk Index. Monthly GPR data.</w:t>
      </w:r>
      <w:r>
        <w:t xml:space="preserve"> </w:t>
      </w:r>
      <w:hyperlink r:id="rId190">
        <w:r>
          <w:rPr>
            <w:rStyle w:val="Hyperlink"/>
          </w:rPr>
          <w:t xml:space="preserve">GPR data page</w:t>
        </w:r>
      </w:hyperlink>
      <w:r>
        <w:t xml:space="preserve">.</w:t>
      </w:r>
    </w:p>
    <w:p>
      <w:pPr>
        <w:pStyle w:val="BodyText"/>
      </w:pPr>
      <w:r>
        <w:t xml:space="preserve">Federal Reserve Bank of St. Louis. CBOE Crude Oil ETF Volatility Index (OVXCLS).</w:t>
      </w:r>
      <w:r>
        <w:t xml:space="preserve"> </w:t>
      </w:r>
      <w:hyperlink r:id="rId191">
        <w:r>
          <w:rPr>
            <w:rStyle w:val="Hyperlink"/>
          </w:rPr>
          <w:t xml:space="preserve">FRED data page</w:t>
        </w:r>
      </w:hyperlink>
      <w:r>
        <w:t xml:space="preserve">.</w:t>
      </w:r>
    </w:p>
    <w:bookmarkEnd w:id="192"/>
    <w:bookmarkStart w:id="199" w:name="附录"/>
    <w:p>
      <w:pPr>
        <w:pStyle w:val="Heading1"/>
      </w:pPr>
      <w:r>
        <w:rPr>
          <w:rFonts w:hint="eastAsia"/>
        </w:rPr>
        <w:t xml:space="preserve">附录</w:t>
      </w:r>
    </w:p>
    <w:p>
      <w:pPr>
        <w:pStyle w:val="FirstParagraph"/>
      </w:pPr>
      <w:r>
        <w:rPr>
          <w:rFonts w:hint="eastAsia"/>
          <w:b/>
          <w:bCs/>
        </w:rPr>
        <w:t xml:space="preserve">关键结论</w:t>
      </w:r>
      <w:r>
        <w:rPr>
          <w:rFonts w:hint="eastAsia"/>
        </w:rPr>
        <w:t xml:space="preserve">附录只保留复现路径、核心递推伪代码和关键结果核查表，完整</w:t>
      </w:r>
      <w:r>
        <w:t xml:space="preserve"> Python/R </w:t>
      </w:r>
      <w:r>
        <w:rPr>
          <w:rFonts w:hint="eastAsia"/>
        </w:rPr>
        <w:t xml:space="preserve">程序随项目文件提交，避免正文后部被大段源码冲淡。</w:t>
      </w:r>
    </w:p>
    <w:bookmarkStart w:id="193" w:name="a.0-项目结构总览"/>
    <w:p>
      <w:pPr>
        <w:pStyle w:val="Heading2"/>
      </w:pPr>
      <w:r>
        <w:t xml:space="preserve">A.0 </w:t>
      </w:r>
      <w:r>
        <w:rPr>
          <w:rFonts w:hint="eastAsia"/>
        </w:rPr>
        <w:t xml:space="preserve">项目结构总览</w:t>
      </w:r>
    </w:p>
    <w:p>
      <w:pPr>
        <w:pStyle w:val="FirstParagraph"/>
      </w:pPr>
      <w:r>
        <w:rPr>
          <w:rFonts w:hint="eastAsia"/>
        </w:rPr>
        <w:t xml:space="preserve">本文的建模、校验、绘图和论文生成均保存在同一项目目录中。核心目录结构如下，未列出的缓存文件、临时渲染文件和历史实验文件不影响最终复现。</w:t>
      </w:r>
    </w:p>
    <w:p>
      <w:pPr>
        <w:pStyle w:val="SourceCode"/>
      </w:pPr>
      <w:r>
        <w:rPr>
          <w:rStyle w:val="VerbatimChar"/>
          <w:rFonts w:hint="eastAsia"/>
        </w:rPr>
        <w:t xml:space="preserve">数模/</w:t>
      </w:r>
      <w:r>
        <w:br/>
      </w:r>
      <w:r>
        <w:rPr>
          <w:rStyle w:val="VerbatimChar"/>
        </w:rPr>
        <w:t xml:space="preserve">|-- data/                 </w:t>
      </w:r>
      <w:r>
        <w:rPr>
          <w:rStyle w:val="VerbatimChar"/>
          <w:rFonts w:hint="eastAsia"/>
        </w:rPr>
        <w:t xml:space="preserve">原始数据、清洗数据和外部校验数据</w:t>
      </w:r>
      <w:r>
        <w:br/>
      </w:r>
      <w:r>
        <w:rPr>
          <w:rStyle w:val="VerbatimChar"/>
        </w:rPr>
        <w:t xml:space="preserve">|   |-- raw/              </w:t>
      </w:r>
      <w:r>
        <w:rPr>
          <w:rStyle w:val="VerbatimChar"/>
          <w:rFonts w:hint="eastAsia"/>
        </w:rPr>
        <w:t xml:space="preserve">赛题附件原始</w:t>
      </w:r>
      <w:r>
        <w:rPr>
          <w:rStyle w:val="VerbatimChar"/>
        </w:rPr>
        <w:t xml:space="preserve"> CSV</w:t>
      </w:r>
      <w:r>
        <w:br/>
      </w:r>
      <w:r>
        <w:rPr>
          <w:rStyle w:val="VerbatimChar"/>
        </w:rPr>
        <w:t xml:space="preserve">|   |-- processed/        </w:t>
      </w:r>
      <w:r>
        <w:rPr>
          <w:rStyle w:val="VerbatimChar"/>
          <w:rFonts w:hint="eastAsia"/>
        </w:rPr>
        <w:t xml:space="preserve">清洗后完整序列与冲突窗口数据</w:t>
      </w:r>
      <w:r>
        <w:br/>
      </w:r>
      <w:r>
        <w:rPr>
          <w:rStyle w:val="VerbatimChar"/>
        </w:rPr>
        <w:t xml:space="preserve">|   |-- external/         EIA、JODI、OPEC、GPR、OVX </w:t>
      </w:r>
      <w:r>
        <w:rPr>
          <w:rStyle w:val="VerbatimChar"/>
          <w:rFonts w:hint="eastAsia"/>
        </w:rPr>
        <w:t xml:space="preserve">等外部校验数据</w:t>
      </w:r>
      <w:r>
        <w:br/>
      </w:r>
      <w:r>
        <w:rPr>
          <w:rStyle w:val="VerbatimChar"/>
        </w:rPr>
        <w:t xml:space="preserve">|-- src/                  Python </w:t>
      </w:r>
      <w:r>
        <w:rPr>
          <w:rStyle w:val="VerbatimChar"/>
          <w:rFonts w:hint="eastAsia"/>
        </w:rPr>
        <w:t xml:space="preserve">建模与分析源码</w:t>
      </w:r>
      <w:r>
        <w:br/>
      </w:r>
      <w:r>
        <w:rPr>
          <w:rStyle w:val="VerbatimChar"/>
        </w:rPr>
        <w:t xml:space="preserve">|   |-- pipeline/         </w:t>
      </w:r>
      <w:r>
        <w:rPr>
          <w:rStyle w:val="VerbatimChar"/>
          <w:rFonts w:hint="eastAsia"/>
        </w:rPr>
        <w:t xml:space="preserve">数据清洗与校验</w:t>
      </w:r>
      <w:r>
        <w:br/>
      </w:r>
      <w:r>
        <w:rPr>
          <w:rStyle w:val="VerbatimChar"/>
        </w:rPr>
        <w:t xml:space="preserve">|   |-- models/           </w:t>
      </w:r>
      <w:r>
        <w:rPr>
          <w:rStyle w:val="VerbatimChar"/>
          <w:rFonts w:hint="eastAsia"/>
        </w:rPr>
        <w:t xml:space="preserve">传统供需基准与短期动态模型</w:t>
      </w:r>
      <w:r>
        <w:br/>
      </w:r>
      <w:r>
        <w:rPr>
          <w:rStyle w:val="VerbatimChar"/>
        </w:rPr>
        <w:t xml:space="preserve">|   |-- calibration/      </w:t>
      </w:r>
      <w:r>
        <w:rPr>
          <w:rStyle w:val="VerbatimChar"/>
          <w:rFonts w:hint="eastAsia"/>
        </w:rPr>
        <w:t xml:space="preserve">短期模型参数搜索与评价</w:t>
      </w:r>
      <w:r>
        <w:br/>
      </w:r>
      <w:r>
        <w:rPr>
          <w:rStyle w:val="VerbatimChar"/>
        </w:rPr>
        <w:t xml:space="preserve">|   |-- scenarios/        60--180 </w:t>
      </w:r>
      <w:r>
        <w:rPr>
          <w:rStyle w:val="VerbatimChar"/>
          <w:rFonts w:hint="eastAsia"/>
        </w:rPr>
        <w:t xml:space="preserve">天情景预测</w:t>
      </w:r>
      <w:r>
        <w:br/>
      </w:r>
      <w:r>
        <w:rPr>
          <w:rStyle w:val="VerbatimChar"/>
        </w:rPr>
        <w:t xml:space="preserve">|   |-- analysis/         </w:t>
      </w:r>
      <w:r>
        <w:rPr>
          <w:rStyle w:val="VerbatimChar"/>
          <w:rFonts w:hint="eastAsia"/>
        </w:rPr>
        <w:t xml:space="preserve">敏感性、稳健性、GPR、OVX</w:t>
      </w:r>
      <w:r>
        <w:rPr>
          <w:rStyle w:val="VerbatimChar"/>
        </w:rPr>
        <w:t xml:space="preserve"> </w:t>
      </w:r>
      <w:r>
        <w:rPr>
          <w:rStyle w:val="VerbatimChar"/>
          <w:rFonts w:hint="eastAsia"/>
        </w:rPr>
        <w:t xml:space="preserve">与统计检验</w:t>
      </w:r>
      <w:r>
        <w:br/>
      </w:r>
      <w:r>
        <w:rPr>
          <w:rStyle w:val="VerbatimChar"/>
        </w:rPr>
        <w:t xml:space="preserve">|   |-- visualization/    </w:t>
      </w:r>
      <w:r>
        <w:rPr>
          <w:rStyle w:val="VerbatimChar"/>
          <w:rFonts w:hint="eastAsia"/>
        </w:rPr>
        <w:t xml:space="preserve">论文正式图表生成</w:t>
      </w:r>
      <w:r>
        <w:br/>
      </w:r>
      <w:r>
        <w:rPr>
          <w:rStyle w:val="VerbatimChar"/>
        </w:rPr>
        <w:t xml:space="preserve">|-- scripts/</w:t>
      </w:r>
      <w:r>
        <w:br/>
      </w:r>
      <w:r>
        <w:rPr>
          <w:rStyle w:val="VerbatimChar"/>
        </w:rPr>
        <w:t xml:space="preserve">|   |-- build/            PDF/DOCX </w:t>
      </w:r>
      <w:r>
        <w:rPr>
          <w:rStyle w:val="VerbatimChar"/>
          <w:rFonts w:hint="eastAsia"/>
        </w:rPr>
        <w:t xml:space="preserve">一键构建脚本</w:t>
      </w:r>
      <w:r>
        <w:br/>
      </w:r>
      <w:r>
        <w:rPr>
          <w:rStyle w:val="VerbatimChar"/>
        </w:rPr>
        <w:t xml:space="preserve">|   |-- audit/            R </w:t>
      </w:r>
      <w:r>
        <w:rPr>
          <w:rStyle w:val="VerbatimChar"/>
          <w:rFonts w:hint="eastAsia"/>
        </w:rPr>
        <w:t xml:space="preserve">语言计量检验与学术图表脚本</w:t>
      </w:r>
      <w:r>
        <w:br/>
      </w:r>
      <w:r>
        <w:rPr>
          <w:rStyle w:val="VerbatimChar"/>
        </w:rPr>
        <w:t xml:space="preserve">|   |-- postprocess/      DOCX </w:t>
      </w:r>
      <w:r>
        <w:rPr>
          <w:rStyle w:val="VerbatimChar"/>
          <w:rFonts w:hint="eastAsia"/>
        </w:rPr>
        <w:t xml:space="preserve">后处理脚本</w:t>
      </w:r>
      <w:r>
        <w:br/>
      </w:r>
      <w:r>
        <w:rPr>
          <w:rStyle w:val="VerbatimChar"/>
        </w:rPr>
        <w:t xml:space="preserve">|-- paper/</w:t>
      </w:r>
      <w:r>
        <w:br/>
      </w:r>
      <w:r>
        <w:rPr>
          <w:rStyle w:val="VerbatimChar"/>
        </w:rPr>
        <w:t xml:space="preserve">|   |-- </w:t>
      </w:r>
      <w:r>
        <w:rPr>
          <w:rStyle w:val="VerbatimChar"/>
          <w:rFonts w:hint="eastAsia"/>
        </w:rPr>
        <w:t xml:space="preserve">总论文.tex</w:t>
      </w:r>
      <w:r>
        <w:rPr>
          <w:rStyle w:val="VerbatimChar"/>
        </w:rPr>
        <w:t xml:space="preserve">        </w:t>
      </w:r>
      <w:r>
        <w:rPr>
          <w:rStyle w:val="VerbatimChar"/>
          <w:rFonts w:hint="eastAsia"/>
        </w:rPr>
        <w:t xml:space="preserve">最终论文主控文件</w:t>
      </w:r>
      <w:r>
        <w:br/>
      </w:r>
      <w:r>
        <w:rPr>
          <w:rStyle w:val="VerbatimChar"/>
        </w:rPr>
        <w:t xml:space="preserve">|   |-- sections/         </w:t>
      </w:r>
      <w:r>
        <w:rPr>
          <w:rStyle w:val="VerbatimChar"/>
          <w:rFonts w:hint="eastAsia"/>
        </w:rPr>
        <w:t xml:space="preserve">总论文章节源码</w:t>
      </w:r>
      <w:r>
        <w:br/>
      </w:r>
      <w:r>
        <w:rPr>
          <w:rStyle w:val="VerbatimChar"/>
        </w:rPr>
        <w:t xml:space="preserve">|   |-- figures/          </w:t>
      </w:r>
      <w:r>
        <w:rPr>
          <w:rStyle w:val="VerbatimChar"/>
          <w:rFonts w:hint="eastAsia"/>
        </w:rPr>
        <w:t xml:space="preserve">论文正式引用图表</w:t>
      </w:r>
      <w:r>
        <w:br/>
      </w:r>
      <w:r>
        <w:rPr>
          <w:rStyle w:val="VerbatimChar"/>
        </w:rPr>
        <w:t xml:space="preserve">|   |-- diagrams/         Mermaid </w:t>
      </w:r>
      <w:r>
        <w:rPr>
          <w:rStyle w:val="VerbatimChar"/>
          <w:rFonts w:hint="eastAsia"/>
        </w:rPr>
        <w:t xml:space="preserve">结构图源码</w:t>
      </w:r>
      <w:r>
        <w:br/>
      </w:r>
      <w:r>
        <w:rPr>
          <w:rStyle w:val="VerbatimChar"/>
        </w:rPr>
        <w:t xml:space="preserve">|-- output/               </w:t>
      </w:r>
      <w:r>
        <w:rPr>
          <w:rStyle w:val="VerbatimChar"/>
          <w:rFonts w:hint="eastAsia"/>
        </w:rPr>
        <w:t xml:space="preserve">模型结果、校验报告和最终交付物</w:t>
      </w:r>
      <w:r>
        <w:br/>
      </w:r>
      <w:r>
        <w:rPr>
          <w:rStyle w:val="VerbatimChar"/>
        </w:rPr>
        <w:t xml:space="preserve">|   |-- calibration/      </w:t>
      </w:r>
      <w:r>
        <w:rPr>
          <w:rStyle w:val="VerbatimChar"/>
          <w:rFonts w:hint="eastAsia"/>
        </w:rPr>
        <w:t xml:space="preserve">短期模型校准结果</w:t>
      </w:r>
      <w:r>
        <w:br/>
      </w:r>
      <w:r>
        <w:rPr>
          <w:rStyle w:val="VerbatimChar"/>
        </w:rPr>
        <w:t xml:space="preserve">|   |-- scenarios/        </w:t>
      </w:r>
      <w:r>
        <w:rPr>
          <w:rStyle w:val="VerbatimChar"/>
          <w:rFonts w:hint="eastAsia"/>
        </w:rPr>
        <w:t xml:space="preserve">长期情景预测与状态转移结果</w:t>
      </w:r>
      <w:r>
        <w:br/>
      </w:r>
      <w:r>
        <w:rPr>
          <w:rStyle w:val="VerbatimChar"/>
        </w:rPr>
        <w:t xml:space="preserve">|   |-- sensitivity/      </w:t>
      </w:r>
      <w:r>
        <w:rPr>
          <w:rStyle w:val="VerbatimChar"/>
          <w:rFonts w:hint="eastAsia"/>
        </w:rPr>
        <w:t xml:space="preserve">敏感性分析与参数排序</w:t>
      </w:r>
      <w:r>
        <w:br/>
      </w:r>
      <w:r>
        <w:rPr>
          <w:rStyle w:val="VerbatimChar"/>
        </w:rPr>
        <w:t xml:space="preserve">|   |-- reports/          </w:t>
      </w:r>
      <w:r>
        <w:rPr>
          <w:rStyle w:val="VerbatimChar"/>
          <w:rFonts w:hint="eastAsia"/>
        </w:rPr>
        <w:t xml:space="preserve">自动生成的校验报告</w:t>
      </w:r>
      <w:r>
        <w:br/>
      </w:r>
      <w:r>
        <w:rPr>
          <w:rStyle w:val="VerbatimChar"/>
        </w:rPr>
        <w:t xml:space="preserve">|   |-- final/            </w:t>
      </w:r>
      <w:r>
        <w:rPr>
          <w:rStyle w:val="VerbatimChar"/>
          <w:rFonts w:hint="eastAsia"/>
        </w:rPr>
        <w:t xml:space="preserve">最终</w:t>
      </w:r>
      <w:r>
        <w:rPr>
          <w:rStyle w:val="VerbatimChar"/>
        </w:rPr>
        <w:t xml:space="preserve"> PDF </w:t>
      </w:r>
      <w:r>
        <w:rPr>
          <w:rStyle w:val="VerbatimChar"/>
          <w:rFonts w:hint="eastAsia"/>
        </w:rPr>
        <w:t xml:space="preserve">和</w:t>
      </w:r>
      <w:r>
        <w:rPr>
          <w:rStyle w:val="VerbatimChar"/>
        </w:rPr>
        <w:t xml:space="preserve"> DOCX</w:t>
      </w:r>
      <w:r>
        <w:br/>
      </w:r>
      <w:r>
        <w:rPr>
          <w:rStyle w:val="VerbatimChar"/>
        </w:rPr>
        <w:t xml:space="preserve">|-- docs/                 </w:t>
      </w:r>
      <w:r>
        <w:rPr>
          <w:rStyle w:val="VerbatimChar"/>
          <w:rFonts w:hint="eastAsia"/>
        </w:rPr>
        <w:t xml:space="preserve">项目总览、建模方案和交付物索引</w:t>
      </w:r>
      <w:r>
        <w:br/>
      </w:r>
      <w:r>
        <w:rPr>
          <w:rStyle w:val="VerbatimChar"/>
        </w:rPr>
        <w:t xml:space="preserve">|-- figures/              </w:t>
      </w:r>
      <w:r>
        <w:rPr>
          <w:rStyle w:val="VerbatimChar"/>
          <w:rFonts w:hint="eastAsia"/>
        </w:rPr>
        <w:t xml:space="preserve">中间图表与可视化生成结果</w:t>
      </w:r>
      <w:r>
        <w:br/>
      </w:r>
      <w:r>
        <w:rPr>
          <w:rStyle w:val="VerbatimChar"/>
        </w:rPr>
        <w:t xml:space="preserve">|-- </w:t>
      </w:r>
      <w:r>
        <w:rPr>
          <w:rStyle w:val="VerbatimChar"/>
          <w:rFonts w:hint="eastAsia"/>
        </w:rPr>
        <w:t xml:space="preserve">审计报告/</w:t>
      </w:r>
      <w:r>
        <w:rPr>
          <w:rStyle w:val="VerbatimChar"/>
        </w:rPr>
        <w:t xml:space="preserve">             </w:t>
      </w:r>
      <w:r>
        <w:rPr>
          <w:rStyle w:val="VerbatimChar"/>
          <w:rFonts w:hint="eastAsia"/>
        </w:rPr>
        <w:t xml:space="preserve">外部评审意见和修改记录</w:t>
      </w:r>
    </w:p>
    <w:bookmarkEnd w:id="193"/>
    <w:bookmarkStart w:id="194" w:name="a.1-数据口径"/>
    <w:p>
      <w:pPr>
        <w:pStyle w:val="Heading2"/>
      </w:pPr>
      <w:r>
        <w:t xml:space="preserve">A.1 </w:t>
      </w:r>
      <w:r>
        <w:rPr>
          <w:rFonts w:hint="eastAsia"/>
        </w:rPr>
        <w:t xml:space="preserve">数据口径</w:t>
      </w:r>
    </w:p>
    <w:p>
      <w:pPr>
        <w:pStyle w:val="FirstParagraph"/>
      </w:pPr>
      <w:r>
        <w:rPr>
          <w:rFonts w:hint="eastAsia"/>
        </w:rPr>
        <w:t xml:space="preserve">本文真实价格数据只来自赛题附件，并经清洗后形成中文命名数据文件。短期拟合使用附件中</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日的冲突窗口；2017–2026</w:t>
      </w:r>
      <w:r>
        <w:t xml:space="preserve"> </w:t>
      </w:r>
      <w:r>
        <w:rPr>
          <w:rFonts w:hint="eastAsia"/>
        </w:rPr>
        <w:t xml:space="preserve">年完整价格序列仅用于历史同长度窗口、基准模型分布和事件极端性检验。EIA</w:t>
      </w:r>
      <w:r>
        <w:t xml:space="preserve"> </w:t>
      </w:r>
      <w:r>
        <w:rPr>
          <w:rFonts w:hint="eastAsia"/>
        </w:rPr>
        <w:t xml:space="preserve">周度</w:t>
      </w:r>
      <w:r>
        <w:t xml:space="preserve"> </w:t>
      </w:r>
      <w:r>
        <w:rPr>
          <w:rFonts w:hint="eastAsia"/>
        </w:rPr>
        <w:t xml:space="preserve">SPR、商业库存和原油产量数据、JODI</w:t>
      </w:r>
      <w:r>
        <w:t xml:space="preserve"> </w:t>
      </w:r>
      <w:r>
        <w:rPr>
          <w:rFonts w:hint="eastAsia"/>
        </w:rPr>
        <w:t xml:space="preserve">多国月度产量、库存、进出口、需求和炼厂数据、OPEC</w:t>
      </w:r>
      <w:r>
        <w:t xml:space="preserve"> </w:t>
      </w:r>
      <w:r>
        <w:rPr>
          <w:rFonts w:hint="eastAsia"/>
        </w:rPr>
        <w:t xml:space="preserve">全球供需平衡表、GPR</w:t>
      </w:r>
      <w:r>
        <w:t xml:space="preserve"> </w:t>
      </w:r>
      <w:r>
        <w:rPr>
          <w:rFonts w:hint="eastAsia"/>
        </w:rPr>
        <w:t xml:space="preserve">月度指数和</w:t>
      </w:r>
      <w:r>
        <w:t xml:space="preserve"> OVX </w:t>
      </w:r>
      <w:r>
        <w:rPr>
          <w:rFonts w:hint="eastAsia"/>
        </w:rPr>
        <w:t xml:space="preserve">隐含波动率用于外部合理性校验，不反向替代附件真实价格。</w:t>
      </w:r>
    </w:p>
    <w:bookmarkEnd w:id="194"/>
    <w:bookmarkStart w:id="195" w:name="a.2-综合机制递推模型伪代码"/>
    <w:p>
      <w:pPr>
        <w:pStyle w:val="Heading2"/>
      </w:pPr>
      <w:r>
        <w:t xml:space="preserve">A.2 </w:t>
      </w:r>
      <w:r>
        <w:rPr>
          <w:rFonts w:hint="eastAsia"/>
        </w:rPr>
        <w:t xml:space="preserve">综合机制递推模型伪代码</w:t>
      </w:r>
    </w:p>
    <w:p>
      <w:pPr>
        <w:pStyle w:val="FirstParagraph"/>
      </w:pPr>
      <w:r>
        <w:rPr>
          <w:rFonts w:hint="eastAsia"/>
        </w:rPr>
        <w:t xml:space="preserve">为避免在附录中堆叠大量源代码，本文只列出主模型的核心计算逻辑。完整程序随项目文件保存，若提交系统要求源程序，可作为单独附件提供。</w:t>
      </w:r>
    </w:p>
    <w:p>
      <w:pPr>
        <w:pStyle w:val="SourceCode"/>
      </w:pPr>
      <w:r>
        <w:rPr>
          <w:rStyle w:val="VerbatimChar"/>
          <w:rFonts w:hint="eastAsia"/>
        </w:rPr>
        <w:t xml:space="preserve">输入：</w:t>
      </w:r>
      <w:r>
        <w:br/>
      </w:r>
      <w:r>
        <w:rPr>
          <w:rStyle w:val="VerbatimChar"/>
        </w:rPr>
        <w:t xml:space="preserve">  </w:t>
      </w:r>
      <w:r>
        <w:rPr>
          <w:rStyle w:val="VerbatimChar"/>
          <w:rFonts w:hint="eastAsia"/>
        </w:rPr>
        <w:t xml:space="preserve">附件布伦特价格序列</w:t>
      </w:r>
      <w:r>
        <w:rPr>
          <w:rStyle w:val="VerbatimChar"/>
        </w:rPr>
        <w:t xml:space="preserve"> P_t</w:t>
      </w:r>
      <w:r>
        <w:br/>
      </w:r>
      <w:r>
        <w:rPr>
          <w:rStyle w:val="VerbatimChar"/>
        </w:rPr>
        <w:t xml:space="preserve">  </w:t>
      </w:r>
      <w:r>
        <w:rPr>
          <w:rStyle w:val="VerbatimChar"/>
          <w:rFonts w:hint="eastAsia"/>
        </w:rPr>
        <w:t xml:space="preserve">供应中断</w:t>
      </w:r>
      <w:r>
        <w:rPr>
          <w:rStyle w:val="VerbatimChar"/>
        </w:rPr>
        <w:t xml:space="preserve"> </w:t>
      </w:r>
      <w:r>
        <w:rPr>
          <w:rStyle w:val="VerbatimChar"/>
          <w:rFonts w:hint="eastAsia"/>
        </w:rPr>
        <w:t xml:space="preserve">I、基础需求</w:t>
      </w:r>
      <w:r>
        <w:rPr>
          <w:rStyle w:val="VerbatimChar"/>
        </w:rPr>
        <w:t xml:space="preserve"> </w:t>
      </w:r>
      <w:r>
        <w:rPr>
          <w:rStyle w:val="VerbatimChar"/>
          <w:rFonts w:hint="eastAsia"/>
        </w:rPr>
        <w:t xml:space="preserve">D_0、短期弹性</w:t>
      </w:r>
      <w:r>
        <w:rPr>
          <w:rStyle w:val="VerbatimChar"/>
        </w:rPr>
        <w:t xml:space="preserve"> epsilon_t</w:t>
      </w:r>
      <w:r>
        <w:br/>
      </w:r>
      <w:r>
        <w:rPr>
          <w:rStyle w:val="VerbatimChar"/>
        </w:rPr>
        <w:t xml:space="preserve">  SPR </w:t>
      </w:r>
      <w:r>
        <w:rPr>
          <w:rStyle w:val="VerbatimChar"/>
          <w:rFonts w:hint="eastAsia"/>
        </w:rPr>
        <w:t xml:space="preserve">释放</w:t>
      </w:r>
      <w:r>
        <w:rPr>
          <w:rStyle w:val="VerbatimChar"/>
        </w:rPr>
        <w:t xml:space="preserve"> </w:t>
      </w:r>
      <w:r>
        <w:rPr>
          <w:rStyle w:val="VerbatimChar"/>
          <w:rFonts w:hint="eastAsia"/>
        </w:rPr>
        <w:t xml:space="preserve">R_t、商业库存</w:t>
      </w:r>
      <w:r>
        <w:rPr>
          <w:rStyle w:val="VerbatimChar"/>
        </w:rPr>
        <w:t xml:space="preserve"> </w:t>
      </w:r>
      <w:r>
        <w:rPr>
          <w:rStyle w:val="VerbatimChar"/>
          <w:rFonts w:hint="eastAsia"/>
        </w:rPr>
        <w:t xml:space="preserve">B_t、绕道运输</w:t>
      </w:r>
      <w:r>
        <w:rPr>
          <w:rStyle w:val="VerbatimChar"/>
        </w:rPr>
        <w:t xml:space="preserve"> Q_t</w:t>
      </w:r>
      <w:r>
        <w:br/>
      </w:r>
      <w:r>
        <w:rPr>
          <w:rStyle w:val="VerbatimChar"/>
        </w:rPr>
        <w:t xml:space="preserve">  </w:t>
      </w:r>
      <w:r>
        <w:rPr>
          <w:rStyle w:val="VerbatimChar"/>
          <w:rFonts w:hint="eastAsia"/>
        </w:rPr>
        <w:t xml:space="preserve">恐慌强度</w:t>
      </w:r>
      <w:r>
        <w:rPr>
          <w:rStyle w:val="VerbatimChar"/>
        </w:rPr>
        <w:t xml:space="preserve"> </w:t>
      </w:r>
      <w:r>
        <w:rPr>
          <w:rStyle w:val="VerbatimChar"/>
          <w:rFonts w:hint="eastAsia"/>
        </w:rPr>
        <w:t xml:space="preserve">F_t、地缘风险权重</w:t>
      </w:r>
      <w:r>
        <w:rPr>
          <w:rStyle w:val="VerbatimChar"/>
        </w:rPr>
        <w:t xml:space="preserve"> </w:t>
      </w:r>
      <w:r>
        <w:rPr>
          <w:rStyle w:val="VerbatimChar"/>
          <w:rFonts w:hint="eastAsia"/>
        </w:rPr>
        <w:t xml:space="preserve">beta、调整速度</w:t>
      </w:r>
      <w:r>
        <w:rPr>
          <w:rStyle w:val="VerbatimChar"/>
        </w:rPr>
        <w:t xml:space="preserve"> v</w:t>
      </w:r>
      <w:r>
        <w:br/>
      </w:r>
      <w:r>
        <w:br/>
      </w:r>
      <w:r>
        <w:rPr>
          <w:rStyle w:val="VerbatimChar"/>
          <w:rFonts w:hint="eastAsia"/>
        </w:rPr>
        <w:t xml:space="preserve">初始化：</w:t>
      </w:r>
      <w:r>
        <w:br/>
      </w:r>
      <w:r>
        <w:rPr>
          <w:rStyle w:val="VerbatimChar"/>
        </w:rPr>
        <w:t xml:space="preserve">  </w:t>
      </w:r>
      <w:r>
        <w:rPr>
          <w:rStyle w:val="VerbatimChar"/>
          <w:rFonts w:hint="eastAsia"/>
        </w:rPr>
        <w:t xml:space="preserve">设定</w:t>
      </w:r>
      <w:r>
        <w:rPr>
          <w:rStyle w:val="VerbatimChar"/>
        </w:rPr>
        <w:t xml:space="preserve"> P_hat_0 = P_0</w:t>
      </w:r>
      <w:r>
        <w:br/>
      </w:r>
      <w:r>
        <w:rPr>
          <w:rStyle w:val="VerbatimChar"/>
        </w:rPr>
        <w:t xml:space="preserve">  </w:t>
      </w:r>
      <w:r>
        <w:rPr>
          <w:rStyle w:val="VerbatimChar"/>
          <w:rFonts w:hint="eastAsia"/>
        </w:rPr>
        <w:t xml:space="preserve">根据题面约束确定</w:t>
      </w:r>
      <w:r>
        <w:rPr>
          <w:rStyle w:val="VerbatimChar"/>
        </w:rPr>
        <w:t xml:space="preserve"> I、SPR </w:t>
      </w:r>
      <w:r>
        <w:rPr>
          <w:rStyle w:val="VerbatimChar"/>
          <w:rFonts w:hint="eastAsia"/>
        </w:rPr>
        <w:t xml:space="preserve">上限、绕道能力和短期弹性范围</w:t>
      </w:r>
      <w:r>
        <w:br/>
      </w:r>
      <w:r>
        <w:br/>
      </w:r>
      <w:r>
        <w:rPr>
          <w:rStyle w:val="VerbatimChar"/>
          <w:rFonts w:hint="eastAsia"/>
        </w:rPr>
        <w:t xml:space="preserve">对冲突窗口内每一日</w:t>
      </w:r>
      <w:r>
        <w:rPr>
          <w:rStyle w:val="VerbatimChar"/>
        </w:rPr>
        <w:t xml:space="preserve"> t = </w:t>
      </w:r>
      <w:r>
        <w:rPr>
          <w:rStyle w:val="VerbatimChar"/>
          <w:rFonts w:hint="eastAsia"/>
        </w:rPr>
        <w:t xml:space="preserve">1,2,...,T：</w:t>
      </w:r>
      <w:r>
        <w:br/>
      </w:r>
      <w:r>
        <w:rPr>
          <w:rStyle w:val="VerbatimChar"/>
        </w:rPr>
        <w:t xml:space="preserve">  1. </w:t>
      </w:r>
      <w:r>
        <w:rPr>
          <w:rStyle w:val="VerbatimChar"/>
          <w:rFonts w:hint="eastAsia"/>
        </w:rPr>
        <w:t xml:space="preserve">计算有效供应：</w:t>
      </w:r>
      <w:r>
        <w:br/>
      </w:r>
      <w:r>
        <w:rPr>
          <w:rStyle w:val="VerbatimChar"/>
        </w:rPr>
        <w:t xml:space="preserve">       S_t = S_0 - I + R_t + B_t + Q_t</w:t>
      </w:r>
      <w:r>
        <w:br/>
      </w:r>
      <w:r>
        <w:rPr>
          <w:rStyle w:val="VerbatimChar"/>
        </w:rPr>
        <w:t xml:space="preserve">  2. </w:t>
      </w:r>
      <w:r>
        <w:rPr>
          <w:rStyle w:val="VerbatimChar"/>
          <w:rFonts w:hint="eastAsia"/>
        </w:rPr>
        <w:t xml:space="preserve">计算有效需求：</w:t>
      </w:r>
      <w:r>
        <w:br/>
      </w:r>
      <w:r>
        <w:rPr>
          <w:rStyle w:val="VerbatimChar"/>
        </w:rPr>
        <w:t xml:space="preserve">       D_t = D_0 * (1 + </w:t>
      </w:r>
      <w:r>
        <w:rPr>
          <w:rStyle w:val="VerbatimChar"/>
          <w:rFonts w:hint="eastAsia"/>
        </w:rPr>
        <w:t xml:space="preserve">恐慌需求项</w:t>
      </w:r>
      <w:r>
        <w:rPr>
          <w:rStyle w:val="VerbatimChar"/>
        </w:rPr>
        <w:t xml:space="preserve"> + </w:t>
      </w:r>
      <w:r>
        <w:rPr>
          <w:rStyle w:val="VerbatimChar"/>
          <w:rFonts w:hint="eastAsia"/>
        </w:rPr>
        <w:t xml:space="preserve">需求收缩项)</w:t>
      </w:r>
      <w:r>
        <w:br/>
      </w:r>
      <w:r>
        <w:rPr>
          <w:rStyle w:val="VerbatimChar"/>
        </w:rPr>
        <w:t xml:space="preserve">  3. </w:t>
      </w:r>
      <w:r>
        <w:rPr>
          <w:rStyle w:val="VerbatimChar"/>
          <w:rFonts w:hint="eastAsia"/>
        </w:rPr>
        <w:t xml:space="preserve">得到剩余缺口：</w:t>
      </w:r>
      <w:r>
        <w:br/>
      </w:r>
      <w:r>
        <w:rPr>
          <w:rStyle w:val="VerbatimChar"/>
        </w:rPr>
        <w:t xml:space="preserve">       G_t = max(D_t - S_t, 0)</w:t>
      </w:r>
      <w:r>
        <w:br/>
      </w:r>
      <w:r>
        <w:rPr>
          <w:rStyle w:val="VerbatimChar"/>
        </w:rPr>
        <w:t xml:space="preserve">  4. </w:t>
      </w:r>
      <w:r>
        <w:rPr>
          <w:rStyle w:val="VerbatimChar"/>
          <w:rFonts w:hint="eastAsia"/>
        </w:rPr>
        <w:t xml:space="preserve">构造目标价格：</w:t>
      </w:r>
      <w:r>
        <w:br/>
      </w:r>
      <w:r>
        <w:rPr>
          <w:rStyle w:val="VerbatimChar"/>
        </w:rPr>
        <w:t xml:space="preserve">       P_t^* = </w:t>
      </w:r>
      <w:r>
        <w:rPr>
          <w:rStyle w:val="VerbatimChar"/>
          <w:rFonts w:hint="eastAsia"/>
        </w:rPr>
        <w:t xml:space="preserve">基准价格</w:t>
      </w:r>
      <w:r>
        <w:br/>
      </w:r>
      <w:r>
        <w:rPr>
          <w:rStyle w:val="VerbatimChar"/>
        </w:rPr>
        <w:t xml:space="preserve">             + </w:t>
      </w:r>
      <w:r>
        <w:rPr>
          <w:rStyle w:val="VerbatimChar"/>
          <w:rFonts w:hint="eastAsia"/>
        </w:rPr>
        <w:t xml:space="preserve">物理缺口压力</w:t>
      </w:r>
      <w:r>
        <w:br/>
      </w:r>
      <w:r>
        <w:rPr>
          <w:rStyle w:val="VerbatimChar"/>
        </w:rPr>
        <w:t xml:space="preserve">             + </w:t>
      </w:r>
      <w:r>
        <w:rPr>
          <w:rStyle w:val="VerbatimChar"/>
          <w:rFonts w:hint="eastAsia"/>
        </w:rPr>
        <w:t xml:space="preserve">地缘风险溢价</w:t>
      </w:r>
      <w:r>
        <w:br/>
      </w:r>
      <w:r>
        <w:rPr>
          <w:rStyle w:val="VerbatimChar"/>
        </w:rPr>
        <w:t xml:space="preserve">             + </w:t>
      </w:r>
      <w:r>
        <w:rPr>
          <w:rStyle w:val="VerbatimChar"/>
          <w:rFonts w:hint="eastAsia"/>
        </w:rPr>
        <w:t xml:space="preserve">冲击不确定性溢价</w:t>
      </w:r>
      <w:r>
        <w:br/>
      </w:r>
      <w:r>
        <w:rPr>
          <w:rStyle w:val="VerbatimChar"/>
        </w:rPr>
        <w:t xml:space="preserve">             + </w:t>
      </w:r>
      <w:r>
        <w:rPr>
          <w:rStyle w:val="VerbatimChar"/>
          <w:rFonts w:hint="eastAsia"/>
        </w:rPr>
        <w:t xml:space="preserve">恐慌溢价</w:t>
      </w:r>
      <w:r>
        <w:br/>
      </w:r>
      <w:r>
        <w:rPr>
          <w:rStyle w:val="VerbatimChar"/>
        </w:rPr>
        <w:t xml:space="preserve">             - </w:t>
      </w:r>
      <w:r>
        <w:rPr>
          <w:rStyle w:val="VerbatimChar"/>
          <w:rFonts w:hint="eastAsia"/>
        </w:rPr>
        <w:t xml:space="preserve">缓冲确认折价</w:t>
      </w:r>
      <w:r>
        <w:br/>
      </w:r>
      <w:r>
        <w:rPr>
          <w:rStyle w:val="VerbatimChar"/>
        </w:rPr>
        <w:t xml:space="preserve">             - </w:t>
      </w:r>
      <w:r>
        <w:rPr>
          <w:rStyle w:val="VerbatimChar"/>
          <w:rFonts w:hint="eastAsia"/>
        </w:rPr>
        <w:t xml:space="preserve">预期修复折价</w:t>
      </w:r>
      <w:r>
        <w:br/>
      </w:r>
      <w:r>
        <w:rPr>
          <w:rStyle w:val="VerbatimChar"/>
        </w:rPr>
        <w:t xml:space="preserve">  5. </w:t>
      </w:r>
      <w:r>
        <w:rPr>
          <w:rStyle w:val="VerbatimChar"/>
          <w:rFonts w:hint="eastAsia"/>
        </w:rPr>
        <w:t xml:space="preserve">日度递推：</w:t>
      </w:r>
      <w:r>
        <w:br/>
      </w:r>
      <w:r>
        <w:rPr>
          <w:rStyle w:val="VerbatimChar"/>
        </w:rPr>
        <w:t xml:space="preserve">       P_hat_t = P_hat_{t-1}</w:t>
      </w:r>
      <w:r>
        <w:br/>
      </w:r>
      <w:r>
        <w:rPr>
          <w:rStyle w:val="VerbatimChar"/>
        </w:rPr>
        <w:t xml:space="preserve">               + v * (P_t^* - P_hat_{t-1})</w:t>
      </w:r>
      <w:r>
        <w:br/>
      </w:r>
      <w:r>
        <w:rPr>
          <w:rStyle w:val="VerbatimChar"/>
        </w:rPr>
        <w:t xml:space="preserve">               + gamma_F * (F_t - F_{t-1})</w:t>
      </w:r>
      <w:r>
        <w:br/>
      </w:r>
      <w:r>
        <w:rPr>
          <w:rStyle w:val="VerbatimChar"/>
        </w:rPr>
        <w:t xml:space="preserve">  6. </w:t>
      </w:r>
      <w:r>
        <w:rPr>
          <w:rStyle w:val="VerbatimChar"/>
          <w:rFonts w:hint="eastAsia"/>
        </w:rPr>
        <w:t xml:space="preserve">记录预测值、误差和各机制贡献</w:t>
      </w:r>
      <w:r>
        <w:br/>
      </w:r>
      <w:r>
        <w:br/>
      </w:r>
      <w:r>
        <w:rPr>
          <w:rStyle w:val="VerbatimChar"/>
          <w:rFonts w:hint="eastAsia"/>
        </w:rPr>
        <w:t xml:space="preserve">输出：</w:t>
      </w:r>
      <w:r>
        <w:br/>
      </w:r>
      <w:r>
        <w:rPr>
          <w:rStyle w:val="VerbatimChar"/>
        </w:rPr>
        <w:t xml:space="preserve">  </w:t>
      </w:r>
      <w:r>
        <w:rPr>
          <w:rStyle w:val="VerbatimChar"/>
          <w:rFonts w:hint="eastAsia"/>
        </w:rPr>
        <w:t xml:space="preserve">短期拟合路径、误差指标、机制贡献、消融结果和长期情景初始状态</w:t>
      </w:r>
    </w:p>
    <w:bookmarkEnd w:id="195"/>
    <w:bookmarkStart w:id="196" w:name="a.3-关键结果核查表"/>
    <w:p>
      <w:pPr>
        <w:pStyle w:val="Heading2"/>
      </w:pPr>
      <w:r>
        <w:t xml:space="preserve">A.3 </w:t>
      </w:r>
      <w:r>
        <w:rPr>
          <w:rFonts w:hint="eastAsia"/>
        </w:rPr>
        <w:t xml:space="preserve">关键结果核查表</w:t>
      </w:r>
    </w:p>
    <w:p>
      <w:pPr>
        <w:pStyle w:val="TableCaption"/>
      </w:pPr>
      <w:r>
        <w:rPr>
          <w:rFonts w:hint="eastAsia"/>
        </w:rPr>
        <w:t xml:space="preserve">附表</w:t>
      </w:r>
      <w:r>
        <w:t xml:space="preserve"> </w:t>
      </w:r>
      <w:r>
        <w:rPr>
          <w:rFonts w:hint="eastAsia"/>
        </w:rPr>
        <w:t xml:space="preserve">1：关键结果核查</w:t>
      </w:r>
    </w:p>
    <w:tbl>
      <w:tblPr>
        <w:tblStyle w:val="Table"/>
        <w:tblW w:type="auto" w:w="0"/>
        <w:tblLook w:firstRow="1" w:lastRow="0" w:firstColumn="0" w:lastColumn="0" w:noHBand="0" w:noVBand="0" w:val="0020"/>
        <w:tblCaption w:val="附表 1：关键结果核查"/>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核查结果</w:t>
            </w:r>
          </w:p>
        </w:tc>
      </w:tr>
      <w:tr>
        <w:tc>
          <w:tcPr/>
          <w:p>
            <w:pPr>
              <w:pStyle w:val="Compact"/>
              <w:jc w:val="left"/>
            </w:pPr>
            <w:r>
              <w:rPr>
                <w:rFonts w:hint="eastAsia"/>
              </w:rPr>
              <w:t xml:space="preserve">真实数据来源</w:t>
            </w:r>
          </w:p>
        </w:tc>
        <w:tc>
          <w:tcPr/>
          <w:p>
            <w:pPr>
              <w:pStyle w:val="Compact"/>
              <w:jc w:val="left"/>
            </w:pPr>
            <w:r>
              <w:rPr>
                <w:rFonts w:hint="eastAsia"/>
              </w:rPr>
              <w:t xml:space="preserve">所有真实价格均来自赛题附件</w:t>
            </w:r>
            <w:r>
              <w:t xml:space="preserve"> </w:t>
            </w:r>
            <w:r>
              <w:rPr>
                <w:rFonts w:hint="eastAsia"/>
              </w:rPr>
              <w:t xml:space="preserve">CSV，外部数据只用于合理性校验</w:t>
            </w:r>
          </w:p>
        </w:tc>
      </w:tr>
      <w:tr>
        <w:tc>
          <w:tcPr/>
          <w:p>
            <w:pPr>
              <w:pStyle w:val="Compact"/>
              <w:jc w:val="left"/>
            </w:pPr>
            <w:r>
              <w:rPr>
                <w:rFonts w:hint="eastAsia"/>
              </w:rPr>
              <w:t xml:space="preserve">短期窗口</w:t>
            </w:r>
          </w:p>
        </w:tc>
        <w:tc>
          <w:tcPr/>
          <w:p>
            <w:pPr>
              <w:pStyle w:val="Compact"/>
              <w:jc w:val="left"/>
            </w:pPr>
            <w:r>
              <w:t xml:space="preserve">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个交易日</w:t>
            </w:r>
          </w:p>
        </w:tc>
      </w:tr>
      <w:tr>
        <w:tc>
          <w:tcPr/>
          <w:p>
            <w:pPr>
              <w:pStyle w:val="Compact"/>
              <w:jc w:val="left"/>
            </w:pPr>
            <w:r>
              <w:rPr>
                <w:rFonts w:hint="eastAsia"/>
              </w:rPr>
              <w:t xml:space="preserve">短期拟合误差</w:t>
            </w:r>
          </w:p>
        </w:tc>
        <w:tc>
          <w:tcPr/>
          <w:p>
            <w:pPr>
              <w:pStyle w:val="Compact"/>
              <w:jc w:val="left"/>
            </w:pPr>
            <w:r>
              <w:t xml:space="preserve">RMSE = 3.44 </w:t>
            </w:r>
            <w:r>
              <w:rPr>
                <w:rFonts w:hint="eastAsia"/>
              </w:rPr>
              <w:t xml:space="preserve">美元/桶，MAE</w:t>
            </w:r>
            <w:r>
              <w:t xml:space="preserve"> = 2.85 </w:t>
            </w:r>
            <w:r>
              <w:rPr>
                <w:rFonts w:hint="eastAsia"/>
              </w:rPr>
              <w:t xml:space="preserve">美元/桶，MAPE</w:t>
            </w:r>
            <w:r>
              <w:t xml:space="preserve"> = 2.86%</w:t>
            </w:r>
          </w:p>
        </w:tc>
      </w:tr>
      <w:tr>
        <w:tc>
          <w:tcPr/>
          <w:p>
            <w:pPr>
              <w:pStyle w:val="Compact"/>
              <w:jc w:val="left"/>
            </w:pPr>
            <w:r>
              <w:rPr>
                <w:rFonts w:hint="eastAsia"/>
              </w:rPr>
              <w:t xml:space="preserve">峰值误差</w:t>
            </w:r>
          </w:p>
        </w:tc>
        <w:tc>
          <w:tcPr/>
          <w:p>
            <w:pPr>
              <w:pStyle w:val="Compact"/>
              <w:jc w:val="left"/>
            </w:pPr>
            <w:r>
              <w:rPr>
                <w:rFonts w:hint="eastAsia"/>
              </w:rPr>
              <w:t xml:space="preserve">模拟峰值</w:t>
            </w:r>
            <w:r>
              <w:t xml:space="preserve"> 110.42 </w:t>
            </w:r>
            <w:r>
              <w:rPr>
                <w:rFonts w:hint="eastAsia"/>
              </w:rPr>
              <w:t xml:space="preserve">美元/桶，实际最高收盘价</w:t>
            </w:r>
            <w:r>
              <w:t xml:space="preserve"> 114.06 </w:t>
            </w:r>
            <w:r>
              <w:rPr>
                <w:rFonts w:hint="eastAsia"/>
              </w:rPr>
              <w:t xml:space="preserve">美元/桶</w:t>
            </w:r>
          </w:p>
        </w:tc>
      </w:tr>
      <w:tr>
        <w:tc>
          <w:tcPr/>
          <w:p>
            <w:pPr>
              <w:pStyle w:val="Compact"/>
              <w:jc w:val="left"/>
            </w:pPr>
            <w:r>
              <w:rPr>
                <w:rFonts w:hint="eastAsia"/>
              </w:rPr>
              <w:t xml:space="preserve">基准对比</w:t>
            </w:r>
          </w:p>
        </w:tc>
        <w:tc>
          <w:tcPr/>
          <w:p>
            <w:pPr>
              <w:pStyle w:val="Compact"/>
              <w:jc w:val="left"/>
            </w:pPr>
            <w:r>
              <w:rPr>
                <w:rFonts w:hint="eastAsia"/>
              </w:rPr>
              <w:t xml:space="preserve">主模型优于朴素上一日基准和滚动</w:t>
            </w:r>
            <w:r>
              <w:t xml:space="preserve"> ARIMA </w:t>
            </w:r>
            <w:r>
              <w:rPr>
                <w:rFonts w:hint="eastAsia"/>
              </w:rPr>
              <w:t xml:space="preserve">基准</w:t>
            </w:r>
          </w:p>
        </w:tc>
      </w:tr>
      <w:tr>
        <w:tc>
          <w:tcPr/>
          <w:p>
            <w:pPr>
              <w:pStyle w:val="Compact"/>
              <w:jc w:val="left"/>
            </w:pPr>
            <w:r>
              <w:rPr>
                <w:rFonts w:hint="eastAsia"/>
              </w:rPr>
              <w:t xml:space="preserve">长期中性结果</w:t>
            </w:r>
          </w:p>
        </w:tc>
        <w:tc>
          <w:tcPr/>
          <w:p>
            <w:pPr>
              <w:pStyle w:val="Compact"/>
              <w:jc w:val="left"/>
            </w:pPr>
            <w:r>
              <w:rPr>
                <w:rFonts w:hint="eastAsia"/>
              </w:rPr>
              <w:t xml:space="preserve">第</w:t>
            </w:r>
            <w:r>
              <w:t xml:space="preserve"> 180 </w:t>
            </w:r>
            <w:r>
              <w:rPr>
                <w:rFonts w:hint="eastAsia"/>
              </w:rPr>
              <w:t xml:space="preserve">天价格约</w:t>
            </w:r>
            <w:r>
              <w:t xml:space="preserve"> 94.15 </w:t>
            </w:r>
            <w:r>
              <w:rPr>
                <w:rFonts w:hint="eastAsia"/>
              </w:rPr>
              <w:t xml:space="preserve">美元/桶</w:t>
            </w:r>
          </w:p>
        </w:tc>
      </w:tr>
      <w:tr>
        <w:tc>
          <w:tcPr/>
          <w:p>
            <w:pPr>
              <w:pStyle w:val="Compact"/>
              <w:jc w:val="left"/>
            </w:pPr>
            <w:r>
              <w:rPr>
                <w:rFonts w:hint="eastAsia"/>
              </w:rPr>
              <w:t xml:space="preserve">长期悲观结果</w:t>
            </w:r>
          </w:p>
        </w:tc>
        <w:tc>
          <w:tcPr/>
          <w:p>
            <w:pPr>
              <w:pStyle w:val="Compact"/>
              <w:jc w:val="left"/>
            </w:pPr>
            <w:r>
              <w:rPr>
                <w:rFonts w:hint="eastAsia"/>
              </w:rPr>
              <w:t xml:space="preserve">第</w:t>
            </w:r>
            <w:r>
              <w:t xml:space="preserve"> 180 </w:t>
            </w:r>
            <w:r>
              <w:rPr>
                <w:rFonts w:hint="eastAsia"/>
              </w:rPr>
              <w:t xml:space="preserve">天价格约</w:t>
            </w:r>
            <w:r>
              <w:t xml:space="preserve"> 110.16 </w:t>
            </w:r>
            <w:r>
              <w:rPr>
                <w:rFonts w:hint="eastAsia"/>
              </w:rPr>
              <w:t xml:space="preserve">美元/桶，外推期保留二次跳涨风险</w:t>
            </w:r>
          </w:p>
        </w:tc>
      </w:tr>
      <w:tr>
        <w:tc>
          <w:tcPr/>
          <w:p>
            <w:pPr>
              <w:pStyle w:val="Compact"/>
              <w:jc w:val="left"/>
            </w:pPr>
            <w:r>
              <w:rPr>
                <w:rFonts w:hint="eastAsia"/>
              </w:rPr>
              <w:t xml:space="preserve">尾部风险</w:t>
            </w:r>
          </w:p>
        </w:tc>
        <w:tc>
          <w:tcPr/>
          <w:p>
            <w:pPr>
              <w:pStyle w:val="Compact"/>
              <w:jc w:val="left"/>
            </w:pPr>
            <w:r>
              <w:rPr>
                <w:rFonts w:hint="eastAsia"/>
              </w:rPr>
              <w:t xml:space="preserve">蒙特卡洛显示外推期最高价突破</w:t>
            </w:r>
            <w:r>
              <w:t xml:space="preserve"> 120 </w:t>
            </w:r>
            <w:r>
              <w:rPr>
                <w:rFonts w:hint="eastAsia"/>
              </w:rPr>
              <w:t xml:space="preserve">美元/桶的条件概率约</w:t>
            </w:r>
            <w:r>
              <w:t xml:space="preserve"> 16.3%</w:t>
            </w:r>
          </w:p>
        </w:tc>
      </w:tr>
      <w:tr>
        <w:tc>
          <w:tcPr/>
          <w:p>
            <w:pPr>
              <w:pStyle w:val="Compact"/>
              <w:jc w:val="left"/>
            </w:pPr>
            <w:r>
              <w:rPr>
                <w:rFonts w:hint="eastAsia"/>
              </w:rPr>
              <w:t xml:space="preserve">最敏感因素</w:t>
            </w:r>
          </w:p>
        </w:tc>
        <w:tc>
          <w:tcPr/>
          <w:p>
            <w:pPr>
              <w:pStyle w:val="Compact"/>
              <w:jc w:val="left"/>
            </w:pPr>
            <w:r>
              <w:rPr>
                <w:rFonts w:hint="eastAsia"/>
              </w:rPr>
              <w:t xml:space="preserve">封锁风险衰减速度、地缘风险权重、不确定性与制度风险强度</w:t>
            </w:r>
          </w:p>
        </w:tc>
      </w:tr>
    </w:tbl>
    <w:bookmarkEnd w:id="196"/>
    <w:bookmarkStart w:id="197" w:name="a.4-稳健性检验补充"/>
    <w:p>
      <w:pPr>
        <w:pStyle w:val="Heading2"/>
      </w:pPr>
      <w:r>
        <w:t xml:space="preserve">A.4 </w:t>
      </w:r>
      <w:r>
        <w:rPr>
          <w:rFonts w:hint="eastAsia"/>
        </w:rPr>
        <w:t xml:space="preserve">稳健性检验补充</w:t>
      </w:r>
    </w:p>
    <w:p>
      <w:pPr>
        <w:numPr>
          <w:ilvl w:val="0"/>
          <w:numId w:val="1009"/>
        </w:numPr>
      </w:pPr>
      <w:r>
        <w:rPr>
          <w:rFonts w:hint="eastAsia"/>
        </w:rPr>
        <w:t xml:space="preserve">基准检验：与上一日价格、漂移随机游走和滚动</w:t>
      </w:r>
      <w:r>
        <w:t xml:space="preserve"> ARIMA </w:t>
      </w:r>
      <w:r>
        <w:rPr>
          <w:rFonts w:hint="eastAsia"/>
        </w:rPr>
        <w:t xml:space="preserve">比较，防止模型只是复杂但无效的随机游走复制。</w:t>
      </w:r>
    </w:p>
    <w:p>
      <w:pPr>
        <w:numPr>
          <w:ilvl w:val="0"/>
          <w:numId w:val="1009"/>
        </w:numPr>
      </w:pPr>
      <w:r>
        <w:rPr>
          <w:rFonts w:hint="eastAsia"/>
        </w:rPr>
        <w:t xml:space="preserve">滞后检验：检查预测曲线是否简单滞后真实价格，避免</w:t>
      </w:r>
      <w:r>
        <w:rPr>
          <w:rFonts w:hint="eastAsia"/>
        </w:rPr>
        <w:t xml:space="preserve">“马后炮曲线”</w:t>
      </w:r>
      <w:r>
        <w:rPr>
          <w:rFonts w:hint="eastAsia"/>
        </w:rPr>
        <w:t xml:space="preserve">问题。</w:t>
      </w:r>
    </w:p>
    <w:p>
      <w:pPr>
        <w:numPr>
          <w:ilvl w:val="0"/>
          <w:numId w:val="1009"/>
        </w:numPr>
      </w:pPr>
      <w:r>
        <w:rPr>
          <w:rFonts w:hint="eastAsia"/>
        </w:rPr>
        <w:t xml:space="preserve">消融检验：逐项移除风险溢价、缓冲折价、预期修复等机制，验证各因素的边际贡献。</w:t>
      </w:r>
    </w:p>
    <w:p>
      <w:pPr>
        <w:numPr>
          <w:ilvl w:val="0"/>
          <w:numId w:val="1009"/>
        </w:numPr>
      </w:pPr>
      <w:r>
        <w:rPr>
          <w:rFonts w:hint="eastAsia"/>
        </w:rPr>
        <w:t xml:space="preserve">参数压力测试：扰动价格传导、风险权重和长期机制参数，检验结论是否依赖唯一一组参数。</w:t>
      </w:r>
    </w:p>
    <w:p>
      <w:pPr>
        <w:numPr>
          <w:ilvl w:val="0"/>
          <w:numId w:val="1009"/>
        </w:numPr>
      </w:pPr>
      <w:r>
        <w:rPr>
          <w:rFonts w:hint="eastAsia"/>
        </w:rPr>
        <w:t xml:space="preserve">外部校验：EIA</w:t>
      </w:r>
      <w:r>
        <w:t xml:space="preserve">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月度指数、OVX</w:t>
      </w:r>
      <w:r>
        <w:t xml:space="preserve"> </w:t>
      </w:r>
      <w:r>
        <w:rPr>
          <w:rFonts w:hint="eastAsia"/>
        </w:rPr>
        <w:t xml:space="preserve">隐含波动率和</w:t>
      </w:r>
      <w:r>
        <w:t xml:space="preserve"> 2017–2026 </w:t>
      </w:r>
      <w:r>
        <w:rPr>
          <w:rFonts w:hint="eastAsia"/>
        </w:rPr>
        <w:t xml:space="preserve">历史同长度窗口用于验证数量级、风险定价和事件极端性。</w:t>
      </w:r>
    </w:p>
    <w:bookmarkEnd w:id="197"/>
    <w:bookmarkStart w:id="198" w:name="a.5-程序材料说明"/>
    <w:p>
      <w:pPr>
        <w:pStyle w:val="Heading2"/>
      </w:pPr>
      <w:r>
        <w:t xml:space="preserve">A.5 </w:t>
      </w:r>
      <w:r>
        <w:rPr>
          <w:rFonts w:hint="eastAsia"/>
        </w:rPr>
        <w:t xml:space="preserve">程序材料说明</w:t>
      </w:r>
    </w:p>
    <w:p>
      <w:pPr>
        <w:pStyle w:val="FirstParagraph"/>
      </w:pPr>
      <w:r>
        <w:rPr>
          <w:rFonts w:hint="eastAsia"/>
        </w:rPr>
        <w:t xml:space="preserve">本文不在正文附录中展开完整</w:t>
      </w:r>
      <w:r>
        <w:t xml:space="preserve"> Python </w:t>
      </w:r>
      <w:r>
        <w:rPr>
          <w:rFonts w:hint="eastAsia"/>
        </w:rPr>
        <w:t xml:space="preserve">或</w:t>
      </w:r>
      <w:r>
        <w:t xml:space="preserve"> R </w:t>
      </w:r>
      <w:r>
        <w:rPr>
          <w:rFonts w:hint="eastAsia"/>
        </w:rPr>
        <w:t xml:space="preserve">源代码。原因是完整源程序较长，直接粘贴会削弱论文主体的可读性；同时，数学建模论文更应突出模型假设、递推公式、参数解释和结果检验。若比赛提交系统要求源程序，完整代码可作为独立附件提交，正文附录仅保留项目结构、核心算法伪代码和关键结果核查。</w:t>
      </w:r>
    </w:p>
    <w:bookmarkEnd w:id="198"/>
    <w:bookmarkEnd w:id="1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7" Target="media/rId167.png" /><Relationship Type="http://schemas.openxmlformats.org/officeDocument/2006/relationships/image" Id="rId174" Target="media/rId174.png" /><Relationship Type="http://schemas.openxmlformats.org/officeDocument/2006/relationships/image" Id="rId90" Target="media/rId90.png" /><Relationship Type="http://schemas.openxmlformats.org/officeDocument/2006/relationships/image" Id="rId156" Target="media/rId156.png" /><Relationship Type="http://schemas.openxmlformats.org/officeDocument/2006/relationships/image" Id="rId38" Target="media/rId38.png" /><Relationship Type="http://schemas.openxmlformats.org/officeDocument/2006/relationships/image" Id="rId148" Target="media/rId148.png" /><Relationship Type="http://schemas.openxmlformats.org/officeDocument/2006/relationships/image" Id="rId50" Target="media/rId50.png" /><Relationship Type="http://schemas.openxmlformats.org/officeDocument/2006/relationships/image" Id="rId24" Target="media/rId24.png" /><Relationship Type="http://schemas.openxmlformats.org/officeDocument/2006/relationships/image" Id="rId145" Target="media/rId145.png" /><Relationship Type="http://schemas.openxmlformats.org/officeDocument/2006/relationships/image" Id="rId171" Target="media/rId171.png" /><Relationship Type="http://schemas.openxmlformats.org/officeDocument/2006/relationships/image" Id="rId136" Target="media/rId136.png" /><Relationship Type="http://schemas.openxmlformats.org/officeDocument/2006/relationships/image" Id="rId160" Target="media/rId160.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130" Target="media/rId130.png" /><Relationship Type="http://schemas.openxmlformats.org/officeDocument/2006/relationships/image" Id="rId163" Target="media/rId163.png" /><Relationship Type="http://schemas.openxmlformats.org/officeDocument/2006/relationships/image" Id="rId122" Target="media/rId122.png" /><Relationship Type="http://schemas.openxmlformats.org/officeDocument/2006/relationships/image" Id="rId67" Target="media/rId67.png" /><Relationship Type="http://schemas.openxmlformats.org/officeDocument/2006/relationships/image" Id="rId97" Target="media/rId97.png" /><Relationship Type="http://schemas.openxmlformats.org/officeDocument/2006/relationships/image" Id="rId55" Target="media/rId55.png" /><Relationship Type="http://schemas.openxmlformats.org/officeDocument/2006/relationships/image" Id="rId83" Target="media/rId83.png" /><Relationship Type="http://schemas.openxmlformats.org/officeDocument/2006/relationships/image" Id="rId104" Target="media/rId104.png" /><Relationship Type="http://schemas.openxmlformats.org/officeDocument/2006/relationships/image" Id="rId59" Target="media/rId59.png" /><Relationship Type="http://schemas.openxmlformats.org/officeDocument/2006/relationships/image" Id="rId79" Target="media/rId79.png" /><Relationship Type="http://schemas.openxmlformats.org/officeDocument/2006/relationships/image" Id="rId70" Target="media/rId70.png" /><Relationship Type="http://schemas.openxmlformats.org/officeDocument/2006/relationships/image" Id="rId101" Target="media/rId101.png" /><Relationship Type="http://schemas.openxmlformats.org/officeDocument/2006/relationships/image" Id="rId87" Target="media/rId87.png" /><Relationship Type="http://schemas.openxmlformats.org/officeDocument/2006/relationships/image" Id="rId75" Target="media/rId75.png" /><Relationship Type="http://schemas.openxmlformats.org/officeDocument/2006/relationships/image" Id="rId43" Target="media/rId43.png" /><Relationship Type="http://schemas.openxmlformats.org/officeDocument/2006/relationships/image" Id="rId152" Target="media/rId152.png" /><Relationship Type="http://schemas.openxmlformats.org/officeDocument/2006/relationships/image" Id="rId118" Target="media/rId118.png" /><Relationship Type="http://schemas.openxmlformats.org/officeDocument/2006/relationships/image" Id="rId10" Target="media/rId10.png" /><Relationship Type="http://schemas.openxmlformats.org/officeDocument/2006/relationships/image" Id="rId64" Target="media/rId64.png" /><Relationship Type="http://schemas.openxmlformats.org/officeDocument/2006/relationships/image" Id="rId140" Target="media/rId140.png" /><Relationship Type="http://schemas.openxmlformats.org/officeDocument/2006/relationships/image" Id="rId126" Target="media/rId126.png" /><Relationship Type="http://schemas.openxmlformats.org/officeDocument/2006/relationships/hyperlink" Id="rId191" Target="https://fred.stlouisfed.org/series/OVXCLS" TargetMode="External" /><Relationship Type="http://schemas.openxmlformats.org/officeDocument/2006/relationships/hyperlink" Id="rId189" Target="https://publications.opec.org/momr/chapter/147/2738" TargetMode="External" /><Relationship Type="http://schemas.openxmlformats.org/officeDocument/2006/relationships/hyperlink" Id="rId187" Target="https://www.eia.gov/dnav/pet/pet_sum_sndw_dcus_nus_w.htm" TargetMode="External" /><Relationship Type="http://schemas.openxmlformats.org/officeDocument/2006/relationships/hyperlink" Id="rId184" Target="https://www.eia.gov/international/analysis/special-topics/World_Oil_Transit_Chokepoints" TargetMode="External" /><Relationship Type="http://schemas.openxmlformats.org/officeDocument/2006/relationships/hyperlink" Id="rId185" Target="https://www.iea.org/about/oil-security-and-emergency-response/strait-of-hormuz" TargetMode="External" /><Relationship Type="http://schemas.openxmlformats.org/officeDocument/2006/relationships/hyperlink" Id="rId186" Target="https://www.iea.org/news/iea-governing-board-concludes-2022-collective-actions" TargetMode="External" /><Relationship Type="http://schemas.openxmlformats.org/officeDocument/2006/relationships/hyperlink" Id="rId188" Target="https://www.jodidata.org/oil/" TargetMode="External" /><Relationship Type="http://schemas.openxmlformats.org/officeDocument/2006/relationships/hyperlink" Id="rId190"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191" Target="https://fred.stlouisfed.org/series/OVXCLS" TargetMode="External" /><Relationship Type="http://schemas.openxmlformats.org/officeDocument/2006/relationships/hyperlink" Id="rId189" Target="https://publications.opec.org/momr/chapter/147/2738" TargetMode="External" /><Relationship Type="http://schemas.openxmlformats.org/officeDocument/2006/relationships/hyperlink" Id="rId187" Target="https://www.eia.gov/dnav/pet/pet_sum_sndw_dcus_nus_w.htm" TargetMode="External" /><Relationship Type="http://schemas.openxmlformats.org/officeDocument/2006/relationships/hyperlink" Id="rId184" Target="https://www.eia.gov/international/analysis/special-topics/World_Oil_Transit_Chokepoints" TargetMode="External" /><Relationship Type="http://schemas.openxmlformats.org/officeDocument/2006/relationships/hyperlink" Id="rId185" Target="https://www.iea.org/about/oil-security-and-emergency-response/strait-of-hormuz" TargetMode="External" /><Relationship Type="http://schemas.openxmlformats.org/officeDocument/2006/relationships/hyperlink" Id="rId186" Target="https://www.iea.org/news/iea-governing-board-concludes-2022-collective-actions" TargetMode="External" /><Relationship Type="http://schemas.openxmlformats.org/officeDocument/2006/relationships/hyperlink" Id="rId188" Target="https://www.jodidata.org/oil/" TargetMode="External" /><Relationship Type="http://schemas.openxmlformats.org/officeDocument/2006/relationships/hyperlink" Id="rId190"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2026-05-13T11:27:31Z</dcterms:created>
  <dcterms:modified xsi:type="dcterms:W3CDTF">2026-05-13T11:27:31Z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