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75.png" ContentType="image/png"/>
  <Override PartName="/word/media/rId120.png" ContentType="image/png"/>
  <Override PartName="/word/media/rId35.png" ContentType="image/png"/>
  <Override PartName="/word/media/rId21.png" ContentType="image/png"/>
  <Override PartName="/word/media/rId131.png" ContentType="image/png"/>
  <Override PartName="/word/media/rId112.png" ContentType="image/png"/>
  <Override PartName="/word/media/rId124.png" ContentType="image/png"/>
  <Override PartName="/word/media/rId18.png" ContentType="image/png"/>
  <Override PartName="/word/media/rId25.png" ContentType="image/png"/>
  <Override PartName="/word/media/rId106.png" ContentType="image/png"/>
  <Override PartName="/word/media/rId127.png" ContentType="image/png"/>
  <Override PartName="/word/media/rId99.png" ContentType="image/png"/>
  <Override PartName="/word/media/rId57.png" ContentType="image/png"/>
  <Override PartName="/word/media/rId80.png" ContentType="image/png"/>
  <Override PartName="/word/media/rId47.png" ContentType="image/png"/>
  <Override PartName="/word/media/rId50.png" ContentType="image/png"/>
  <Override PartName="/word/media/rId68.png" ContentType="image/png"/>
  <Override PartName="/word/media/rId60.png" ContentType="image/png"/>
  <Override PartName="/word/media/rId84.png" ContentType="image/png"/>
  <Override PartName="/word/media/rId72.png" ContentType="image/png"/>
  <Override PartName="/word/media/rId64.png" ContentType="image/png"/>
  <Override PartName="/word/media/rId40.png" ContentType="image/png"/>
  <Override PartName="/word/media/rId95.png" ContentType="image/png"/>
  <Override PartName="/word/media/rId116.png" ContentType="image/png"/>
  <Override PartName="/word/media/rId10.png" ContentType="image/png"/>
  <Override PartName="/word/media/rId54.png" ContentType="image/png"/>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美元/桶。按题面短期低弹性和供应中断范围建立传统供需基准模型，可得</w:t>
      </w:r>
      <w:r>
        <w:t xml:space="preserve"> 278–337 </w:t>
      </w:r>
      <w:r>
        <w:rPr>
          <w:rFonts w:hint="eastAsia"/>
        </w:rPr>
        <w:t xml:space="preserve">美元/桶的理论价格区间，显著高于附件真实价格，说明必须引入政策缓冲和市场预期修复。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基准。滞后平移、拐点、机制消融、过拟合压力测试和硬编码审计表明，模型不是简单滞后复制，也没有把</w:t>
      </w:r>
      <w:r>
        <w:t xml:space="preserve"> 120 </w:t>
      </w:r>
      <w:r>
        <w:rPr>
          <w:rFonts w:hint="eastAsia"/>
        </w:rPr>
        <w:t xml:space="preserve">美元平台写成代码上限。</w:t>
      </w:r>
    </w:p>
    <w:p>
      <w:pPr>
        <w:pStyle w:val="BodyText"/>
      </w:pPr>
      <w:r>
        <w:rPr>
          <w:rFonts w:hint="eastAsia"/>
        </w:rPr>
        <w:t xml:space="preserve">针对任务二，本文构建</w:t>
      </w:r>
      <w:r>
        <w:t xml:space="preserve"> 60–180 </w:t>
      </w:r>
      <w:r>
        <w:rPr>
          <w:rFonts w:hint="eastAsia"/>
        </w:rPr>
        <w:t xml:space="preserve">天乐观、中性、悲观三种情景路径。新版长期自适应反馈模型显示，中性情景第</w:t>
      </w:r>
      <w:r>
        <w:t xml:space="preserve"> 180 </w:t>
      </w:r>
      <w:r>
        <w:rPr>
          <w:rFonts w:hint="eastAsia"/>
        </w:rPr>
        <w:t xml:space="preserve">天价格约为</w:t>
      </w:r>
      <w:r>
        <w:t xml:space="preserve"> 92.43 </w:t>
      </w:r>
      <w:r>
        <w:rPr>
          <w:rFonts w:hint="eastAsia"/>
        </w:rPr>
        <w:t xml:space="preserve">美元/桶，悲观情景第</w:t>
      </w:r>
      <w:r>
        <w:t xml:space="preserve"> 180 </w:t>
      </w:r>
      <w:r>
        <w:rPr>
          <w:rFonts w:hint="eastAsia"/>
        </w:rPr>
        <w:t xml:space="preserve">天约为</w:t>
      </w:r>
      <w:r>
        <w:t xml:space="preserve"> 106.83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次蒙特卡洛情景树显示，外推期最高价突破</w:t>
      </w:r>
      <w:r>
        <w:t xml:space="preserve"> 120 </w:t>
      </w:r>
      <w:r>
        <w:rPr>
          <w:rFonts w:hint="eastAsia"/>
        </w:rPr>
        <w:t xml:space="preserve">美元/桶的条件概率约为</w:t>
      </w:r>
      <w:r>
        <w:t xml:space="preserve"> </w:t>
      </w:r>
      <w:r>
        <w:rPr>
          <w:rFonts w:hint="eastAsia"/>
        </w:rPr>
        <w:t xml:space="preserve">4.6%。为避免长期中性线被误读为逐日精确预测，本文又引入缓和、维持、升级三状态转移扰动，得到第</w:t>
      </w:r>
      <w:r>
        <w:t xml:space="preserve"> 180 </w:t>
      </w:r>
      <w:r>
        <w:rPr>
          <w:rFonts w:hint="eastAsia"/>
        </w:rPr>
        <w:t xml:space="preserve">天</w:t>
      </w:r>
      <w:r>
        <w:t xml:space="preserve"> 5%–95% </w:t>
      </w:r>
      <w:r>
        <w:rPr>
          <w:rFonts w:hint="eastAsia"/>
        </w:rPr>
        <w:t xml:space="preserve">条件区间</w:t>
      </w:r>
      <w:r>
        <w:t xml:space="preserve"> 85.43–93.99 </w:t>
      </w:r>
      <w:r>
        <w:rPr>
          <w:rFonts w:hint="eastAsia"/>
        </w:rPr>
        <w:t xml:space="preserve">美元/桶，外推期最高价</w:t>
      </w:r>
      <w:r>
        <w:t xml:space="preserve"> P95 </w:t>
      </w:r>
      <w:r>
        <w:rPr>
          <w:rFonts w:hint="eastAsia"/>
        </w:rPr>
        <w:t xml:space="preserve">为</w:t>
      </w:r>
      <w:r>
        <w:t xml:space="preserve"> 124.61 </w:t>
      </w:r>
      <w:r>
        <w:rPr>
          <w:rFonts w:hint="eastAsia"/>
        </w:rPr>
        <w:t xml:space="preserve">美元/桶。GPR</w:t>
      </w:r>
      <w:r>
        <w:t xml:space="preserve"> </w:t>
      </w:r>
      <w:r>
        <w:rPr>
          <w:rFonts w:hint="eastAsia"/>
        </w:rPr>
        <w:t xml:space="preserve">滞后审计和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冲突窗口具有罕见地缘风险和高波动特征，但外部风险指标只作为审计证据，不作为短期同月拟合因子。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完成附件数据清洗、传统供需基准、短期动态递推、参数校准和防御性检验，给出</w:t>
            </w:r>
            <w:r>
              <w:t xml:space="preserve"> </w:t>
            </w:r>
            <w:r>
              <w:rPr>
                <w:rFonts w:hint="eastAsia"/>
              </w:rPr>
              <w:t xml:space="preserve">RMSE、MAE、MAPE、基准对比、滞后检验、机制消融和过拟合压力测试。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7"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天三情景预测模型，并通过敏感性分析、蒙特卡洛情景树、滞后地缘风险指数审计和历史样本稳健性检验识别影响长期价格平衡点和二次跳涨风险的关键变量。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这一技术路线的核心原则是：真实价格只来自附件数据；长期部分只作情景预测，不伪装成拟合；模型检验必须主动面对朴素基准、滞后复制、参数过拟合和硬编码上限等潜在质疑。</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Start w:id="15"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从评审视角看，本文的关键目标不是把附件价格曲线</w:t>
      </w:r>
      <w:r>
        <w:rPr>
          <w:rFonts w:hint="eastAsia"/>
        </w:rPr>
        <w:t xml:space="preserve">“画得像”</w:t>
      </w:r>
      <w:r>
        <w:rPr>
          <w:rFonts w:hint="eastAsia"/>
        </w:rPr>
        <w:t xml:space="preserve">，而是回答三个可检验问题：第一，在题面给定低弹性和封锁冲击下，传统供需模型为什么会明显高估价格；第二，哪些缓冲机制能够把理论高位压回附件中的现实价格平台；第三，当封锁延长至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2</w:t>
        </w:r>
      </w:hyperlink>
      <w:r>
        <w:t xml:space="preserve">。</w:t>
      </w:r>
    </w:p>
    <w:bookmarkStart w:id="14"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模型防御检验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检验、滞后平移、机制消融和压力测试。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外部审计</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多国月度石油数据、GPR</w:t>
            </w:r>
            <w:r>
              <w:t xml:space="preserve"> </w:t>
            </w:r>
            <w:r>
              <w:rPr>
                <w:rFonts w:hint="eastAsia"/>
              </w:rPr>
              <w:t xml:space="preserve">指数和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外部数据用于审计和约束，不把多国上报值包装成完整全球总量，也不反向替代附件真实价格。</w:t>
            </w:r>
          </w:p>
        </w:tc>
      </w:tr>
    </w:tbl>
    <w:bookmarkEnd w:id="14"/>
    <w:bookmarkEnd w:id="15"/>
    <w:bookmarkStart w:id="16" w:name="文献依据与建模约束"/>
    <w:p>
      <w:pPr>
        <w:pStyle w:val="Heading2"/>
      </w:pPr>
      <w:r>
        <w:rPr>
          <w:rFonts w:hint="eastAsia"/>
        </w:rPr>
        <w:t xml:space="preserve">文献依据与建模约束</w:t>
      </w:r>
    </w:p>
    <w:p>
      <w:pPr>
        <w:pStyle w:val="FirstParagraph"/>
      </w:pPr>
      <w:r>
        <w:rPr>
          <w:rFonts w:hint="eastAsia"/>
        </w:rPr>
        <w:t xml:space="preserve">为避免模型显得像</w:t>
      </w:r>
      <w:r>
        <w:rPr>
          <w:rFonts w:hint="eastAsia"/>
        </w:rPr>
        <w:t xml:space="preserve">“为了拟合而临时拼接”</w:t>
      </w: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来自新闻文本，本文不将同步</w:t>
      </w:r>
      <w:r>
        <w:t xml:space="preserve"> GPR </w:t>
      </w:r>
      <w:r>
        <w:rPr>
          <w:rFonts w:hint="eastAsia"/>
        </w:rPr>
        <w:t xml:space="preserve">输入短期拟合，而只将其作为外部风险审计和滞后检验变量，防止同月新闻与同月油价之间的内生性循环。</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与波动风险</w:t>
            </w:r>
          </w:p>
        </w:tc>
        <w:tc>
          <w:tcPr/>
          <w:p>
            <w:pPr>
              <w:pStyle w:val="Compact"/>
              <w:jc w:val="left"/>
            </w:pPr>
            <w:r>
              <w:t xml:space="preserve">GPR </w:t>
            </w:r>
            <w:r>
              <w:rPr>
                <w:rFonts w:hint="eastAsia"/>
              </w:rPr>
              <w:t xml:space="preserve">适合做风险审计和波动解释，不宜同步解释同月油价</w:t>
            </w:r>
          </w:p>
        </w:tc>
        <w:tc>
          <w:tcPr/>
          <w:p>
            <w:pPr>
              <w:pStyle w:val="Compact"/>
              <w:jc w:val="left"/>
            </w:pPr>
            <w:r>
              <w:rPr>
                <w:rFonts w:hint="eastAsia"/>
              </w:rPr>
              <w:t xml:space="preserve">滞后</w:t>
            </w:r>
            <w:r>
              <w:t xml:space="preserve"> GPR </w:t>
            </w:r>
            <w:r>
              <w:rPr>
                <w:rFonts w:hint="eastAsia"/>
              </w:rPr>
              <w:t xml:space="preserve">审计和长期尾部风险解释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6"/>
    <w:bookmarkEnd w:id="17"/>
    <w:bookmarkStart w:id="29" w:name="数据处理与描述性分析"/>
    <w:p>
      <w:pPr>
        <w:pStyle w:val="Heading1"/>
      </w:pPr>
      <w:r>
        <w:rPr>
          <w:rFonts w:hint="eastAsia"/>
        </w:rPr>
        <w:t xml:space="preserve">数据处理与描述性分析</w:t>
      </w:r>
    </w:p>
    <w:bookmarkStart w:id="24"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审计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该外部审计带来三个约束。第一，美国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月度指数，作为地缘风险溢价的外部审计变量。由于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w:t>
      </w:r>
    </w:p>
    <w:p>
      <w:pPr>
        <w:pStyle w:val="CaptionedFigure"/>
      </w:pPr>
      <w:r>
        <w:drawing>
          <wp:inline>
            <wp:extent cx="4907280" cy="2453640"/>
            <wp:effectExtent b="0" l="0" r="0" t="0"/>
            <wp:docPr descr="" title="" id="19" name="Picture"/>
            <a:graphic>
              <a:graphicData uri="http://schemas.openxmlformats.org/drawingml/2006/picture">
                <pic:pic>
                  <pic:nvPicPr>
                    <pic:cNvPr descr="布伦特原油长期价格走势.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22" name="Picture"/>
            <a:graphic>
              <a:graphicData uri="http://schemas.openxmlformats.org/drawingml/2006/picture">
                <pic:pic>
                  <pic:nvPicPr>
                    <pic:cNvPr descr="冲突窗口价格走势.png" id="23" name="Picture"/>
                    <pic:cNvPicPr>
                      <a:picLocks noChangeArrowheads="1" noChangeAspect="1"/>
                    </pic:cNvPicPr>
                  </pic:nvPicPr>
                  <pic:blipFill>
                    <a:blip r:embed="rId21"/>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4"/>
    <w:bookmarkStart w:id="28"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6" name="Picture"/>
            <a:graphic>
              <a:graphicData uri="http://schemas.openxmlformats.org/drawingml/2006/picture">
                <pic:pic>
                  <pic:nvPicPr>
                    <pic:cNvPr descr="布伦特收益率与波动率.png" id="27" name="Picture"/>
                    <pic:cNvPicPr>
                      <a:picLocks noChangeArrowheads="1" noChangeAspect="1"/>
                    </pic:cNvPicPr>
                  </pic:nvPicPr>
                  <pic:blipFill>
                    <a:blip r:embed="rId25"/>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8"/>
    <w:bookmarkEnd w:id="29"/>
    <w:bookmarkStart w:id="33" w:name="模型假设与符号说明"/>
    <w:p>
      <w:pPr>
        <w:pStyle w:val="Heading1"/>
      </w:pPr>
      <w:r>
        <w:rPr>
          <w:rFonts w:hint="eastAsia"/>
        </w:rPr>
        <w:t xml:space="preserve">模型假设与符号说明</w:t>
      </w:r>
    </w:p>
    <w:bookmarkStart w:id="30"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0"/>
    <w:bookmarkStart w:id="31"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1"/>
    <w:bookmarkStart w:id="32"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审计；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官方外部审计量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多国月度石油数据，Caldara-Iacoviello</w:t>
            </w:r>
            <w:r>
              <w:t xml:space="preserve"> GPR </w:t>
            </w:r>
            <w:r>
              <w:rPr>
                <w:rFonts w:hint="eastAsia"/>
              </w:rPr>
              <w:t xml:space="preserve">指数</w:t>
            </w:r>
          </w:p>
        </w:tc>
        <w:tc>
          <w:tcPr/>
          <w:p>
            <w:pPr>
              <w:pStyle w:val="Compact"/>
              <w:jc w:val="left"/>
            </w:pPr>
            <w:r>
              <w:rPr>
                <w:rFonts w:hint="eastAsia"/>
              </w:rPr>
              <w:t xml:space="preserve">只用于审计长期约束、数量级和风险高位事实，不替代附件真实价格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在固定机制结构内校准，并接受消融、扰动和硬编码审计</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：低弹性仍用于传统供需反事实上界，解释为什么静态模型会给出</w:t>
      </w:r>
      <w:r>
        <w:t xml:space="preserve"> 278–337 </w:t>
      </w:r>
      <w:r>
        <w:rPr>
          <w:rFonts w:hint="eastAsia"/>
        </w:rPr>
        <w:t xml:space="preserve">美元/桶的高价压力；</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明确归类为行为校准参数，并在反驳性检验中单独报告：当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2"/>
    <w:bookmarkEnd w:id="33"/>
    <w:bookmarkStart w:id="39" w:name="传统供需基准模型"/>
    <w:p>
      <w:pPr>
        <w:pStyle w:val="Heading1"/>
      </w:pPr>
      <w:r>
        <w:rPr>
          <w:rFonts w:hint="eastAsia"/>
        </w:rPr>
        <w:t xml:space="preserve">传统供需基准模型</w:t>
      </w:r>
    </w:p>
    <w:bookmarkStart w:id="34"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的理论价格压力。设基准价格为</w:t>
      </w:r>
      <w:r>
        <w:t xml:space="preserve"> </w:t>
      </w:r>
      <m:oMath>
        <m:sSub>
          <m:e>
            <m:r>
              <m:t>P</m:t>
            </m:r>
          </m:e>
          <m:sub>
            <m:r>
              <m:t>0</m:t>
            </m:r>
          </m:sub>
        </m:sSub>
      </m:oMath>
      <w:r>
        <w:rPr>
          <w:rFonts w:hint="eastAsia"/>
        </w:rPr>
        <w:t xml:space="preserve">，供应中断占需求比例为</w:t>
      </w:r>
      <w:r>
        <w:t xml:space="preserve"> </w:t>
      </w:r>
      <m:oMath>
        <m:r>
          <m:t>I</m:t>
        </m:r>
        <m:r>
          <m:rPr>
            <m:sty m:val="p"/>
          </m:rPr>
          <m:t>/</m:t>
        </m:r>
        <m:sSub>
          <m:e>
            <m:r>
              <m:t>D</m:t>
            </m:r>
          </m:e>
          <m:sub>
            <m:r>
              <m:t>0</m:t>
            </m:r>
          </m:sub>
        </m:sSub>
      </m:oMath>
      <w:r>
        <w:rPr>
          <w:rFonts w:hint="eastAsia"/>
        </w:rPr>
        <w:t xml:space="preserve">，短期需求价格弹性为</w:t>
      </w:r>
      <w:r>
        <w:t xml:space="preserve"> </w:t>
      </w:r>
      <m:oMath>
        <m:r>
          <m:t>ε</m:t>
        </m:r>
      </m:oMath>
      <w:r>
        <w:rPr>
          <w:rFonts w:hint="eastAsia"/>
        </w:rPr>
        <w:t xml:space="preserve">，线性化价格上界写为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该模型不是最终预测模型，而是用于说明低弹性短期供需框架会产生多高的理论上界。赛题给出的短期弹性约为</w:t>
      </w:r>
      <w:r>
        <w:t xml:space="preserve"> </w:t>
      </w:r>
      <m:oMath>
        <m:r>
          <m:rPr>
            <m:sty m:val="p"/>
          </m:rPr>
          <m:t>−</m:t>
        </m:r>
        <m:r>
          <m:t>0.05</m:t>
        </m:r>
      </m:oMath>
      <w:r>
        <w:rPr>
          <w:rFonts w:hint="eastAsia"/>
        </w:rPr>
        <w:t xml:space="preserve">，供应中断范围约为</w:t>
      </w:r>
      <w:r>
        <w:t xml:space="preserve"> 1400–1800 </w:t>
      </w:r>
      <w:r>
        <w:rPr>
          <w:rFonts w:hint="eastAsia"/>
        </w:rPr>
        <w:t xml:space="preserve">万桶/日。</w:t>
      </w:r>
    </w:p>
    <w:bookmarkEnd w:id="34"/>
    <w:bookmarkStart w:id="38" w:name="基准模型结果"/>
    <w:p>
      <w:pPr>
        <w:pStyle w:val="Heading2"/>
      </w:pPr>
      <w:r>
        <w:rPr>
          <w:rFonts w:hint="eastAsia"/>
        </w:rPr>
        <w:t xml:space="preserve">基准模型结果</w:t>
      </w:r>
    </w:p>
    <w:p>
      <w:pPr>
        <w:pStyle w:val="TableCaption"/>
      </w:pPr>
      <w:r>
        <w:rPr>
          <w:rFonts w:hint="eastAsia"/>
        </w:rPr>
        <w:t xml:space="preserve">传统供需基准模型结果</w:t>
      </w:r>
    </w:p>
    <w:tbl>
      <w:tblPr>
        <w:tblStyle w:val="Table"/>
        <w:tblW w:type="auto" w:w="0"/>
        <w:tblLook w:firstRow="1" w:lastRow="0" w:firstColumn="0" w:lastColumn="0" w:noHBand="0" w:noVBand="0" w:val="0020"/>
        <w:tblCaption w:val="传统供需基准模型结果"/>
      </w:tblPr>
      <w:tblGrid>
        <w:gridCol w:w="1980"/>
        <w:gridCol w:w="1980"/>
        <w:gridCol w:w="1980"/>
        <w:gridCol w:w="198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线性化价格</w:t>
            </w:r>
          </w:p>
        </w:tc>
        <w:tc>
          <w:tcPr/>
          <w:p>
            <w:pPr>
              <w:pStyle w:val="Compact"/>
              <w:jc w:val="right"/>
            </w:pPr>
            <w:r>
              <w:rPr>
                <w:rFonts w:hint="eastAsia"/>
              </w:rPr>
              <w:t xml:space="preserve">相对实际最高收盘价倍数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2.95</w:t>
            </w:r>
          </w:p>
        </w:tc>
      </w:tr>
    </w:tbl>
    <w:p>
      <w:pPr>
        <w:pStyle w:val="CaptionedFigure"/>
      </w:pPr>
      <w:r>
        <w:drawing>
          <wp:inline>
            <wp:extent cx="4693920" cy="2560320"/>
            <wp:effectExtent b="0" l="0" r="0" t="0"/>
            <wp:docPr descr="" title="" id="36" name="Picture"/>
            <a:graphic>
              <a:graphicData uri="http://schemas.openxmlformats.org/drawingml/2006/picture">
                <pic:pic>
                  <pic:nvPicPr>
                    <pic:cNvPr descr="传统供需基准与真实价格对比.png" id="37" name="Picture"/>
                    <pic:cNvPicPr>
                      <a:picLocks noChangeArrowheads="1" noChangeAspect="1"/>
                    </pic:cNvPicPr>
                  </pic:nvPicPr>
                  <pic:blipFill>
                    <a:blip r:embed="rId35"/>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结果显示，传统模型给出的</w:t>
      </w:r>
      <w:r>
        <w:t xml:space="preserve"> 278–337 </w:t>
      </w:r>
      <w:r>
        <w:rPr>
          <w:rFonts w:hint="eastAsia"/>
        </w:rPr>
        <w:t xml:space="preserve">美元/桶显著高于附件冲突窗口最高收盘价</w:t>
      </w:r>
      <w:r>
        <w:t xml:space="preserve"> 114.06 </w:t>
      </w:r>
      <w:r>
        <w:rPr>
          <w:rFonts w:hint="eastAsia"/>
        </w:rPr>
        <w:t xml:space="preserve">美元/桶。这说明单纯依靠供应缺口和低短期弹性无法解释现实价格，必须进一步引入</w:t>
      </w:r>
      <w:r>
        <w:t xml:space="preserve"> </w:t>
      </w:r>
      <w:r>
        <w:rPr>
          <w:rFonts w:hint="eastAsia"/>
        </w:rPr>
        <w:t xml:space="preserve">SPR、库存、绕道运输、需求收缩和市场预期修复。</w:t>
      </w:r>
    </w:p>
    <w:bookmarkEnd w:id="38"/>
    <w:bookmarkEnd w:id="39"/>
    <w:bookmarkStart w:id="45"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1" name="Picture"/>
            <a:graphic>
              <a:graphicData uri="http://schemas.openxmlformats.org/drawingml/2006/picture">
                <pic:pic>
                  <pic:nvPicPr>
                    <pic:cNvPr descr="综合机制递推模型结构图.png" id="42" name="Picture"/>
                    <pic:cNvPicPr>
                      <a:picLocks noChangeArrowheads="1" noChangeAspect="1"/>
                    </pic:cNvPicPr>
                  </pic:nvPicPr>
                  <pic:blipFill>
                    <a:blip r:embed="rId40"/>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bookmarkStart w:id="43"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3"/>
    <w:bookmarkStart w:id="44"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该结构保留了题面中的离散递推思想，同时允许期货市场对风险和预期做非线性再定价。恐慌动量项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需要强调，本文不把市场价格形成层视为任意补丁：风险溢价、缓冲确认折价和预期修复折价只有在具有经济含义、方向可解释、消融后误差明显恶化且扰动后结论保持稳定时才保留在主模型中。</w:t>
      </w:r>
    </w:p>
    <w:bookmarkEnd w:id="44"/>
    <w:bookmarkEnd w:id="45"/>
    <w:bookmarkStart w:id="91" w:name="参数校准与模型检验"/>
    <w:p>
      <w:pPr>
        <w:pStyle w:val="Heading1"/>
      </w:pPr>
      <w:r>
        <w:rPr>
          <w:rFonts w:hint="eastAsia"/>
        </w:rPr>
        <w:t xml:space="preserve">参数校准与模型检验</w:t>
      </w:r>
    </w:p>
    <w:bookmarkStart w:id="46"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价格传导系数</w:t>
            </w:r>
            <w:r>
              <w:t xml:space="preserve"> </w:t>
            </w:r>
            <m:oMath>
              <m:r>
                <m:t>ϕ</m:t>
              </m:r>
            </m:oMath>
          </w:p>
        </w:tc>
        <w:tc>
          <w:tcPr/>
          <w:p>
            <w:pPr>
              <w:pStyle w:val="Compact"/>
              <w:jc w:val="right"/>
            </w:pPr>
            <w:r>
              <w:t xml:space="preserve">0.028</w:t>
            </w:r>
          </w:p>
        </w:tc>
      </w:tr>
      <w:tr>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r>
      <w:tr>
        <w:tc>
          <w:tcPr/>
          <w:p>
            <w:pPr>
              <w:pStyle w:val="Compact"/>
              <w:jc w:val="left"/>
            </w:pPr>
            <w:r>
              <w:rPr>
                <w:rFonts w:hint="eastAsia"/>
              </w:rPr>
              <w:t xml:space="preserve">不确定性/制度风险强度</w:t>
            </w:r>
          </w:p>
        </w:tc>
        <w:tc>
          <w:tcPr/>
          <w:p>
            <w:pPr>
              <w:pStyle w:val="Compact"/>
              <w:jc w:val="right"/>
            </w:pPr>
            <w:r>
              <w:t xml:space="preserve">0.247</w:t>
            </w:r>
          </w:p>
        </w:tc>
        <w:tc>
          <w:tcPr/>
          <w:p>
            <w:pPr>
              <w:pStyle w:val="Compact"/>
              <w:jc w:val="left"/>
            </w:pPr>
            <w:r>
              <w:rPr>
                <w:rFonts w:hint="eastAsia"/>
              </w:rPr>
              <w:t xml:space="preserve">库存响应系数</w:t>
            </w:r>
          </w:p>
        </w:tc>
        <w:tc>
          <w:tcPr/>
          <w:p>
            <w:pPr>
              <w:pStyle w:val="Compact"/>
              <w:jc w:val="right"/>
            </w:pPr>
            <w:r>
              <w:t xml:space="preserve">0.666</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防御性检验。本文后续所有模型评价均围绕这一区分展开，避免把校准参数包装成外生事实。</w:t>
      </w:r>
    </w:p>
    <w:bookmarkEnd w:id="46"/>
    <w:bookmarkStart w:id="53"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8" name="Picture"/>
            <a:graphic>
              <a:graphicData uri="http://schemas.openxmlformats.org/drawingml/2006/picture">
                <pic:pic>
                  <pic:nvPicPr>
                    <pic:cNvPr descr="短期模型拟合效果.png" id="49" name="Picture"/>
                    <pic:cNvPicPr>
                      <a:picLocks noChangeArrowheads="1" noChangeAspect="1"/>
                    </pic:cNvPicPr>
                  </pic:nvPicPr>
                  <pic:blipFill>
                    <a:blip r:embed="rId47"/>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51" name="Picture"/>
            <a:graphic>
              <a:graphicData uri="http://schemas.openxmlformats.org/drawingml/2006/picture">
                <pic:pic>
                  <pic:nvPicPr>
                    <pic:cNvPr descr="短期模型机制贡献.png" id="52" name="Picture"/>
                    <pic:cNvPicPr>
                      <a:picLocks noChangeArrowheads="1" noChangeAspect="1"/>
                    </pic:cNvPicPr>
                  </pic:nvPicPr>
                  <pic:blipFill>
                    <a:blip r:embed="rId50"/>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53"/>
    <w:bookmarkStart w:id="63"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381500"/>
            <wp:effectExtent b="0" l="0" r="0" t="0"/>
            <wp:docPr descr="" title="" id="55" name="Picture"/>
            <a:graphic>
              <a:graphicData uri="http://schemas.openxmlformats.org/drawingml/2006/picture">
                <pic:pic>
                  <pic:nvPicPr>
                    <pic:cNvPr descr="评审质疑防御框架图.png" id="56" name="Picture"/>
                    <pic:cNvPicPr>
                      <a:picLocks noChangeArrowheads="1" noChangeAspect="1"/>
                    </pic:cNvPicPr>
                  </pic:nvPicPr>
                  <pic:blipFill>
                    <a:blip r:embed="rId54"/>
                    <a:stretch>
                      <a:fillRect/>
                    </a:stretch>
                  </pic:blipFill>
                  <pic:spPr bwMode="auto">
                    <a:xfrm>
                      <a:off x="0" y="0"/>
                      <a:ext cx="4907280" cy="4381500"/>
                    </a:xfrm>
                    <a:prstGeom prst="rect">
                      <a:avLst/>
                    </a:prstGeom>
                    <a:noFill/>
                    <a:ln w="9525">
                      <a:noFill/>
                      <a:headEnd/>
                      <a:tailEnd/>
                    </a:ln>
                  </pic:spPr>
                </pic:pic>
              </a:graphicData>
            </a:graphic>
          </wp:inline>
        </w:drawing>
      </w:r>
    </w:p>
    <w:p>
      <w:pPr>
        <w:pStyle w:val="ImageCaption"/>
      </w:pPr>
      <w:r>
        <w:rPr>
          <w:rFonts w:hint="eastAsia"/>
        </w:rPr>
        <w:t xml:space="preserve">评审质疑防御框架。每类潜在质疑都对应可复现的检验、图表或审计输出。</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58" name="Picture"/>
            <a:graphic>
              <a:graphicData uri="http://schemas.openxmlformats.org/drawingml/2006/picture">
                <pic:pic>
                  <pic:nvPicPr>
                    <pic:cNvPr descr="短期模型基准对比.png" id="59" name="Picture"/>
                    <pic:cNvPicPr>
                      <a:picLocks noChangeArrowheads="1" noChangeAspect="1"/>
                    </pic:cNvPicPr>
                  </pic:nvPicPr>
                  <pic:blipFill>
                    <a:blip r:embed="rId5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61" name="Picture"/>
            <a:graphic>
              <a:graphicData uri="http://schemas.openxmlformats.org/drawingml/2006/picture">
                <pic:pic>
                  <pic:nvPicPr>
                    <pic:cNvPr descr="短期模型滞后平移检验.png" id="62" name="Picture"/>
                    <pic:cNvPicPr>
                      <a:picLocks noChangeArrowheads="1" noChangeAspect="1"/>
                    </pic:cNvPicPr>
                  </pic:nvPicPr>
                  <pic:blipFill>
                    <a:blip r:embed="rId6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63"/>
    <w:bookmarkStart w:id="67" w:name="过拟合防御"/>
    <w:p>
      <w:pPr>
        <w:pStyle w:val="Heading2"/>
      </w:pPr>
      <w:r>
        <w:rPr>
          <w:rFonts w:hint="eastAsia"/>
        </w:rPr>
        <w:t xml:space="preserve">过拟合防御</w:t>
      </w:r>
    </w:p>
    <w:p>
      <w:pPr>
        <w:pStyle w:val="FirstParagraph"/>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65" name="Picture"/>
            <a:graphic>
              <a:graphicData uri="http://schemas.openxmlformats.org/drawingml/2006/picture">
                <pic:pic>
                  <pic:nvPicPr>
                    <pic:cNvPr descr="短期模型过拟合压力测试.png" id="66" name="Picture"/>
                    <pic:cNvPicPr>
                      <a:picLocks noChangeArrowheads="1" noChangeAspect="1"/>
                    </pic:cNvPicPr>
                  </pic:nvPicPr>
                  <pic:blipFill>
                    <a:blip r:embed="rId64"/>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67"/>
    <w:bookmarkStart w:id="71"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9" name="Picture"/>
            <a:graphic>
              <a:graphicData uri="http://schemas.openxmlformats.org/drawingml/2006/picture">
                <pic:pic>
                  <pic:nvPicPr>
                    <pic:cNvPr descr="短期模型残差诊断增强.png" id="70" name="Picture"/>
                    <pic:cNvPicPr>
                      <a:picLocks noChangeArrowheads="1" noChangeAspect="1"/>
                    </pic:cNvPicPr>
                  </pic:nvPicPr>
                  <pic:blipFill>
                    <a:blip r:embed="rId68"/>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71"/>
    <w:bookmarkStart w:id="78" w:name="统计审计与-r-语言辅助定位"/>
    <w:p>
      <w:pPr>
        <w:pStyle w:val="Heading2"/>
      </w:pPr>
      <w:r>
        <w:rPr>
          <w:rFonts w:hint="eastAsia"/>
        </w:rPr>
        <w:t xml:space="preserve">统计审计与</w:t>
      </w:r>
      <w:r>
        <w:t xml:space="preserve"> R </w:t>
      </w:r>
      <w:r>
        <w:rPr>
          <w:rFonts w:hint="eastAsia"/>
        </w:rPr>
        <w:t xml:space="preserve">语言辅助定位</w:t>
      </w:r>
    </w:p>
    <w:p>
      <w:pPr>
        <w:pStyle w:val="FirstParagraph"/>
      </w:pPr>
      <w:r>
        <w:rPr>
          <w:rFonts w:hint="eastAsia"/>
        </w:rPr>
        <w:t xml:space="preserve">为进一步提高模型检验的严谨性，本文新增统计审计。该审计不改变短期主模型，只在剔除首日后构造可比较样本，将综合机制递推模型与朴素上一日基准进行误差和统计检验。之所以剔除首日，是因为朴素上一日基准需要上一交易日真实价格作为输入，首日没有可比预测值。因此，本节统计审计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短期模型统计审计结果</w:t>
      </w:r>
    </w:p>
    <w:tbl>
      <w:tblPr>
        <w:tblStyle w:val="Table"/>
        <w:tblW w:type="auto" w:w="0"/>
        <w:tblLook w:firstRow="1" w:lastRow="0" w:firstColumn="0" w:lastColumn="0" w:noHBand="0" w:noVBand="0" w:val="0020"/>
        <w:tblCaption w:val="短期模型统计审计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校准斜率</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稳健标准误下拟合值与真实价格保持显著线性关系</w:t>
            </w:r>
          </w:p>
        </w:tc>
      </w:tr>
    </w:tbl>
    <w:p>
      <w:pPr>
        <w:pStyle w:val="CaptionedFigure"/>
      </w:pPr>
      <w:r>
        <w:drawing>
          <wp:inline>
            <wp:extent cx="4907280" cy="2826593"/>
            <wp:effectExtent b="0" l="0" r="0" t="0"/>
            <wp:docPr descr="" title="" id="73" name="Picture"/>
            <a:graphic>
              <a:graphicData uri="http://schemas.openxmlformats.org/drawingml/2006/picture">
                <pic:pic>
                  <pic:nvPicPr>
                    <pic:cNvPr descr="短期模型统计审计.png" id="74" name="Picture"/>
                    <pic:cNvPicPr>
                      <a:picLocks noChangeArrowheads="1" noChangeAspect="1"/>
                    </pic:cNvPicPr>
                  </pic:nvPicPr>
                  <pic:blipFill>
                    <a:blip r:embed="rId72"/>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短期模型统计审计。图中展示残差序列、残差自相关、残差分布和相对朴素基准的平方损失差。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个可比较交易日，本文不把它写成压倒性证明，而是作为基准对比、滞后检验和机制消融之外的补充验证。</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审计显示，价格水平和对数价格不能拒绝单位根假设，而对数收益率可拒绝单位根假设；GARCH(1,1)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76" name="Picture"/>
            <a:graphic>
              <a:graphicData uri="http://schemas.openxmlformats.org/drawingml/2006/picture">
                <pic:pic>
                  <pic:nvPicPr>
                    <pic:cNvPr descr="R短期误差学术诊断.png" id="77" name="Picture"/>
                    <pic:cNvPicPr>
                      <a:picLocks noChangeArrowheads="1" noChangeAspect="1"/>
                    </pic:cNvPicPr>
                  </pic:nvPicPr>
                  <pic:blipFill>
                    <a:blip r:embed="rId75"/>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78"/>
    <w:bookmarkStart w:id="79"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79"/>
    <w:bookmarkStart w:id="83"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81" name="Picture"/>
            <a:graphic>
              <a:graphicData uri="http://schemas.openxmlformats.org/drawingml/2006/picture">
                <pic:pic>
                  <pic:nvPicPr>
                    <pic:cNvPr descr="短期模型拐点局部检验.png" id="82" name="Picture"/>
                    <pic:cNvPicPr>
                      <a:picLocks noChangeArrowheads="1" noChangeAspect="1"/>
                    </pic:cNvPicPr>
                  </pic:nvPicPr>
                  <pic:blipFill>
                    <a:blip r:embed="rId80"/>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83"/>
    <w:bookmarkStart w:id="87"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85" name="Picture"/>
            <a:graphic>
              <a:graphicData uri="http://schemas.openxmlformats.org/drawingml/2006/picture">
                <pic:pic>
                  <pic:nvPicPr>
                    <pic:cNvPr descr="短期模型稳健性带.png" id="86" name="Picture"/>
                    <pic:cNvPicPr>
                      <a:picLocks noChangeArrowheads="1" noChangeAspect="1"/>
                    </pic:cNvPicPr>
                  </pic:nvPicPr>
                  <pic:blipFill>
                    <a:blip r:embed="rId84"/>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bookmarkEnd w:id="87"/>
    <w:bookmarkStart w:id="88"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88"/>
    <w:bookmarkStart w:id="90" w:name="反驳性检验总览"/>
    <w:p>
      <w:pPr>
        <w:pStyle w:val="Heading2"/>
      </w:pPr>
      <w:r>
        <w:rPr>
          <w:rFonts w:hint="eastAsia"/>
        </w:rPr>
        <w:t xml:space="preserve">反驳性检验总览</w:t>
      </w:r>
    </w:p>
    <w:p>
      <w:pPr>
        <w:pStyle w:val="FirstParagraph"/>
      </w:pPr>
      <w:r>
        <w:rPr>
          <w:rFonts w:hint="eastAsia"/>
        </w:rPr>
        <w:t xml:space="preserve">为避免模型检验只呈现有利指标，本文将最可能被质疑的关键点转化为反驳性检验。表</w:t>
      </w:r>
      <w:r>
        <w:t xml:space="preserve"> </w:t>
      </w:r>
      <w:hyperlink w:anchor="tab:adversarial-tests">
        <w:r>
          <w:rPr>
            <w:rStyle w:val="Hyperlink"/>
          </w:rPr>
          <w:t xml:space="preserve">3</w:t>
        </w:r>
      </w:hyperlink>
      <w:r>
        <w:t xml:space="preserve"> </w:t>
      </w:r>
      <w:r>
        <w:rPr>
          <w:rFonts w:hint="eastAsia"/>
        </w:rPr>
        <w:t xml:space="preserve">中的检验均不重新寻找最优参数，而是在同一模型框架下改变某个被质疑条件，观察结论是否被推翻。</w:t>
      </w:r>
    </w:p>
    <w:bookmarkStart w:id="89" w:name="tab:adversarial-tests"/>
    <w:p>
      <w:pPr>
        <w:pStyle w:val="TableCaption"/>
      </w:pPr>
      <w:r>
        <w:rPr>
          <w:rFonts w:hint="eastAsia"/>
        </w:rPr>
        <w:t xml:space="preserve">反驳性检验总览</w:t>
      </w:r>
    </w:p>
    <w:tbl>
      <w:tblPr>
        <w:tblStyle w:val="Table"/>
        <w:tblW w:type="auto" w:w="0"/>
        <w:tblLook w:firstRow="1" w:lastRow="0" w:firstColumn="0" w:lastColumn="0" w:noHBand="0" w:noVBand="0" w:val="0020"/>
        <w:tblCaption w:val="反驳性检验总览"/>
      </w:tblPr>
      <w:tblGrid>
        <w:gridCol w:w="1980"/>
        <w:gridCol w:w="1980"/>
        <w:gridCol w:w="1980"/>
        <w:gridCol w:w="1980"/>
      </w:tblGrid>
      <w:tr>
        <w:trPr>
          <w:tblHeader w:val="on"/>
        </w:trPr>
        <w:tc>
          <w:tcPr/>
          <w:p>
            <w:pPr>
              <w:pStyle w:val="Compact"/>
              <w:jc w:val="left"/>
            </w:pPr>
            <w:r>
              <w:rPr>
                <w:rFonts w:hint="eastAsia"/>
              </w:rPr>
              <w:t xml:space="preserve">质疑点</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是否打败朴素基准</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模型不是复杂但无效的随机游走复制</w:t>
            </w:r>
          </w:p>
        </w:tc>
      </w:tr>
      <w:tr>
        <w:tc>
          <w:tcPr/>
          <w:p>
            <w:pPr>
              <w:pStyle w:val="Compact"/>
              <w:jc w:val="left"/>
            </w:pPr>
            <w:r>
              <w:rPr>
                <w:rFonts w:hint="eastAsia"/>
              </w:rPr>
              <w:t xml:space="preserve">是否存在滞后跟随</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是否偷改题面弹性</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是否参数过拟合</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价格平台不依赖唯一一组神奇参数</w:t>
            </w:r>
          </w:p>
        </w:tc>
      </w:tr>
      <w:tr>
        <w:tc>
          <w:tcPr/>
          <w:p>
            <w:pPr>
              <w:pStyle w:val="Compact"/>
              <w:jc w:val="left"/>
            </w:pPr>
            <w:r>
              <w:rPr>
                <w:rFonts w:hint="eastAsia"/>
              </w:rPr>
              <w:t xml:space="preserve">长期是否只是三条点预测线</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87.67–101.01 </w:t>
            </w:r>
            <w:r>
              <w:rPr>
                <w:rFonts w:hint="eastAsia"/>
              </w:rPr>
              <w:t xml:space="preserve">美元/桶，突破</w:t>
            </w:r>
            <w:r>
              <w:t xml:space="preserve"> 120 </w:t>
            </w:r>
            <w:r>
              <w:rPr>
                <w:rFonts w:hint="eastAsia"/>
              </w:rPr>
              <w:t xml:space="preserve">概率约</w:t>
            </w:r>
            <w:r>
              <w:t xml:space="preserve"> 4.6%</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长期制度风险是否任意托底</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89"/>
    <w:bookmarkEnd w:id="90"/>
    <w:bookmarkEnd w:id="91"/>
    <w:bookmarkStart w:id="110" w:name="天三情景预测"/>
    <w:p>
      <w:pPr>
        <w:pStyle w:val="Heading1"/>
      </w:pPr>
      <w:r>
        <w:t xml:space="preserve">60–180 </w:t>
      </w:r>
      <w:r>
        <w:rPr>
          <w:rFonts w:hint="eastAsia"/>
        </w:rPr>
        <w:t xml:space="preserve">天三情景预测</w:t>
      </w:r>
    </w:p>
    <w:bookmarkStart w:id="92"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长期部分不能称为</w:t>
      </w:r>
      <w:r>
        <w:rPr>
          <w:rFonts w:hint="eastAsia"/>
        </w:rPr>
        <w:t xml:space="preserve">“拟合”</w:t>
      </w: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的表述。三情景曲线表示条件中心路径，而不是未来每日收盘价的精确点预测；其可信度由机制一致性、官方外生数据审计、敏感性分析、蒙特卡洛概率区间和状态转移扰动共同评价。</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由地缘风险溢价、前期冲击不确定性和持续封锁制度风险三部分构成，其中制度风险随未解决供应压力和时间信心恢复共同衰减，避免形成长期常数托底。</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92"/>
    <w:bookmarkStart w:id="94" w:name="长期参数来源与审计边界"/>
    <w:p>
      <w:pPr>
        <w:pStyle w:val="Heading2"/>
      </w:pPr>
      <w:r>
        <w:rPr>
          <w:rFonts w:hint="eastAsia"/>
        </w:rPr>
        <w:t xml:space="preserve">长期参数来源与审计边界</w:t>
      </w:r>
    </w:p>
    <w:p>
      <w:pPr>
        <w:pStyle w:val="FirstParagraph"/>
      </w:pPr>
      <w:r>
        <w:rPr>
          <w:rFonts w:hint="eastAsia"/>
        </w:rPr>
        <w:t xml:space="preserve">长期模型中的部分参数不是可以从附件直接读取的真实观测量，而是用于描述恢复速度、政策收缩和制度风险衰减的机制参数。为避免</w:t>
      </w:r>
      <w:r>
        <w:rPr>
          <w:rFonts w:hint="eastAsia"/>
        </w:rPr>
        <w:t xml:space="preserve">“参数自由捏造”</w:t>
      </w:r>
      <w:r>
        <w:rPr>
          <w:rFonts w:hint="eastAsia"/>
        </w:rPr>
        <w:t xml:space="preserve">的问题，本文对长期参数采用三条约束：一是方向必须来自赛题机制或能源市场逻辑；二是数值只能作为基准情景假设进入，不能冒充官方统计数据；三是所有关键参数必须进入扰动区间、敏感性排序或蒙特卡洛检验。长期参数来源与审计方式见表</w:t>
      </w:r>
      <w:r>
        <w:t xml:space="preserve"> </w:t>
      </w:r>
      <w:hyperlink w:anchor="tab:long-parameter-audit">
        <w:r>
          <w:rPr>
            <w:rStyle w:val="Hyperlink"/>
          </w:rPr>
          <w:t xml:space="preserve">4</w:t>
        </w:r>
      </w:hyperlink>
      <w:r>
        <w:t xml:space="preserve">。</w:t>
      </w:r>
    </w:p>
    <w:bookmarkStart w:id="93" w:name="tab:long-parameter-audit"/>
    <w:p>
      <w:pPr>
        <w:pStyle w:val="TableCaption"/>
      </w:pPr>
      <w:r>
        <w:rPr>
          <w:rFonts w:hint="eastAsia"/>
        </w:rPr>
        <w:t xml:space="preserve">长期关键参数来源与审计方式</w:t>
      </w:r>
    </w:p>
    <w:tbl>
      <w:tblPr>
        <w:tblStyle w:val="Table"/>
        <w:tblW w:type="auto" w:w="0"/>
        <w:tblLook w:firstRow="1" w:lastRow="0" w:firstColumn="0" w:lastColumn="0" w:noHBand="0" w:noVBand="0" w:val="0020"/>
        <w:tblCaption w:val="长期关键参数来源与审计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审计方式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滞后审计、蒙特卡洛情景树和状态转移情景树合读，不作为同步价格拟合因子。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多国月度产量、进出口和炼厂产出作数量级审计。</w:t>
            </w:r>
          </w:p>
        </w:tc>
        <w:tc>
          <w:tcPr/>
          <w:p>
            <w:pPr>
              <w:pStyle w:val="Compact"/>
              <w:jc w:val="left"/>
            </w:pPr>
            <w:r>
              <w:rPr>
                <w:rFonts w:hint="eastAsia"/>
              </w:rPr>
              <w:t xml:space="preserve">只用于长期条件外推，不反向用于短期拟合；JODI</w:t>
            </w:r>
            <w:r>
              <w:t xml:space="preserve"> </w:t>
            </w:r>
            <w:r>
              <w:rPr>
                <w:rFonts w:hint="eastAsia"/>
              </w:rPr>
              <w:t xml:space="preserve">为多国上报口径，不能写成完整全球总量。</w:t>
            </w:r>
          </w:p>
        </w:tc>
      </w:tr>
    </w:tbl>
    <w:bookmarkEnd w:id="93"/>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bookmarkEnd w:id="94"/>
    <w:bookmarkStart w:id="109"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93.28</w:t>
            </w:r>
          </w:p>
        </w:tc>
        <w:tc>
          <w:tcPr/>
          <w:p>
            <w:pPr>
              <w:pStyle w:val="Compact"/>
              <w:jc w:val="right"/>
            </w:pPr>
            <w:r>
              <w:t xml:space="preserve">91.86</w:t>
            </w:r>
          </w:p>
        </w:tc>
        <w:tc>
          <w:tcPr/>
          <w:p>
            <w:pPr>
              <w:pStyle w:val="Compact"/>
              <w:jc w:val="right"/>
            </w:pPr>
            <w:r>
              <w:t xml:space="preserve">87.10</w:t>
            </w:r>
          </w:p>
        </w:tc>
        <w:tc>
          <w:tcPr/>
          <w:p>
            <w:pPr>
              <w:pStyle w:val="Compact"/>
              <w:jc w:val="right"/>
            </w:pPr>
            <w:r>
              <w:t xml:space="preserve">103.32</w:t>
            </w:r>
          </w:p>
        </w:tc>
        <w:tc>
          <w:tcPr/>
          <w:p>
            <w:pPr>
              <w:pStyle w:val="Compact"/>
              <w:jc w:val="right"/>
            </w:pPr>
            <w:r>
              <w:t xml:space="preserve">91.25</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104.38</w:t>
            </w:r>
          </w:p>
        </w:tc>
        <w:tc>
          <w:tcPr/>
          <w:p>
            <w:pPr>
              <w:pStyle w:val="Compact"/>
              <w:jc w:val="right"/>
            </w:pPr>
            <w:r>
              <w:t xml:space="preserve">100.02</w:t>
            </w:r>
          </w:p>
        </w:tc>
        <w:tc>
          <w:tcPr/>
          <w:p>
            <w:pPr>
              <w:pStyle w:val="Compact"/>
              <w:jc w:val="right"/>
            </w:pPr>
            <w:r>
              <w:t xml:space="preserve">92.43</w:t>
            </w:r>
          </w:p>
        </w:tc>
        <w:tc>
          <w:tcPr/>
          <w:p>
            <w:pPr>
              <w:pStyle w:val="Compact"/>
              <w:jc w:val="right"/>
            </w:pPr>
            <w:r>
              <w:t xml:space="preserve">109.52</w:t>
            </w:r>
          </w:p>
        </w:tc>
        <w:tc>
          <w:tcPr/>
          <w:p>
            <w:pPr>
              <w:pStyle w:val="Compact"/>
              <w:jc w:val="right"/>
            </w:pPr>
            <w:r>
              <w:t xml:space="preserve">99.85</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122.78</w:t>
            </w:r>
          </w:p>
        </w:tc>
        <w:tc>
          <w:tcPr/>
          <w:p>
            <w:pPr>
              <w:pStyle w:val="Compact"/>
              <w:jc w:val="right"/>
            </w:pPr>
            <w:r>
              <w:t xml:space="preserve">114.30</w:t>
            </w:r>
          </w:p>
        </w:tc>
        <w:tc>
          <w:tcPr/>
          <w:p>
            <w:pPr>
              <w:pStyle w:val="Compact"/>
              <w:jc w:val="right"/>
            </w:pPr>
            <w:r>
              <w:t xml:space="preserve">106.83</w:t>
            </w:r>
          </w:p>
        </w:tc>
        <w:tc>
          <w:tcPr/>
          <w:p>
            <w:pPr>
              <w:pStyle w:val="Compact"/>
              <w:jc w:val="right"/>
            </w:pPr>
            <w:r>
              <w:t xml:space="preserve">128.64</w:t>
            </w:r>
          </w:p>
        </w:tc>
        <w:tc>
          <w:tcPr/>
          <w:p>
            <w:pPr>
              <w:pStyle w:val="Compact"/>
              <w:jc w:val="right"/>
            </w:pPr>
            <w:r>
              <w:t xml:space="preserve">115.75</w:t>
            </w:r>
          </w:p>
        </w:tc>
        <w:tc>
          <w:tcPr/>
          <w:p>
            <w:pPr>
              <w:pStyle w:val="Compact"/>
              <w:jc w:val="right"/>
            </w:pPr>
            <w:r>
              <w:rPr>
                <w:rFonts w:hint="eastAsia"/>
              </w:rPr>
              <w:t xml:space="preserve">高</w:t>
            </w:r>
          </w:p>
        </w:tc>
      </w:tr>
    </w:tbl>
    <w:bookmarkStart w:id="98" w:name="fig:long-term-fan"/>
    <w:p>
      <w:pPr>
        <w:pStyle w:val="CaptionedFigure"/>
      </w:pPr>
      <w:r>
        <w:drawing>
          <wp:inline>
            <wp:extent cx="5013960" cy="2790377"/>
            <wp:effectExtent b="0" l="0" r="0" t="0"/>
            <wp:docPr descr="" title="" id="96" name="Picture"/>
            <a:graphic>
              <a:graphicData uri="http://schemas.openxmlformats.org/drawingml/2006/picture">
                <pic:pic>
                  <pic:nvPicPr>
                    <pic:cNvPr descr="蒙特卡洛价格扇形区间.png" id="97" name="Picture"/>
                    <pic:cNvPicPr>
                      <a:picLocks noChangeArrowheads="1" noChangeAspect="1"/>
                    </pic:cNvPicPr>
                  </pic:nvPicPr>
                  <pic:blipFill>
                    <a:blip r:embed="rId95"/>
                    <a:stretch>
                      <a:fillRect/>
                    </a:stretch>
                  </pic:blipFill>
                  <pic:spPr bwMode="auto">
                    <a:xfrm>
                      <a:off x="0" y="0"/>
                      <a:ext cx="5013960" cy="2790377"/>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长期情景预测主图：蒙特卡洛情景树价格扇形区间。深色区间为</w:t>
      </w:r>
      <w:r>
        <w:t xml:space="preserve"> </w:t>
      </w:r>
      <w:r>
        <w:rPr>
          <w:rFonts w:hint="eastAsia"/>
        </w:rPr>
        <w:t xml:space="preserve">25%–75%，浅色区间为</w:t>
      </w:r>
      <w:r>
        <w:t xml:space="preserve"> </w:t>
      </w:r>
      <w:r>
        <w:rPr>
          <w:rFonts w:hint="eastAsia"/>
        </w:rPr>
        <w:t xml:space="preserve">5%–95%。三情景中心路径应与该区间共同解读。</w:t>
      </w:r>
    </w:p>
    <w:bookmarkEnd w:id="98"/>
    <w:p>
      <w:pPr>
        <w:pStyle w:val="CaptionedFigure"/>
      </w:pPr>
      <w:r>
        <w:drawing>
          <wp:inline>
            <wp:extent cx="5013960" cy="2757678"/>
            <wp:effectExtent b="0" l="0" r="0" t="0"/>
            <wp:docPr descr="" title="" id="100" name="Picture"/>
            <a:graphic>
              <a:graphicData uri="http://schemas.openxmlformats.org/drawingml/2006/picture">
                <pic:pic>
                  <pic:nvPicPr>
                    <pic:cNvPr descr="短期拟合与长期预测总览.png" id="101" name="Picture"/>
                    <pic:cNvPicPr>
                      <a:picLocks noChangeArrowheads="1" noChangeAspect="1"/>
                    </pic:cNvPicPr>
                  </pic:nvPicPr>
                  <pic:blipFill>
                    <a:blip r:embed="rId99"/>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为了回应</w:t>
      </w:r>
      <w:r>
        <w:rPr>
          <w:rFonts w:hint="eastAsia"/>
        </w:rPr>
        <w:t xml:space="preserve">“中性预测线过于平直”</w:t>
      </w:r>
      <w:r>
        <w:rPr>
          <w:rFonts w:hint="eastAsia"/>
        </w:rPr>
        <w:t xml:space="preserve">的问题，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这样得到的长期图不再是一条孤立直线，而是中心路径、状态概率和尾部区间的组合。</w:t>
      </w:r>
    </w:p>
    <w:bookmarkStart w:id="105" w:name="fig:state-transition-fan"/>
    <w:p>
      <w:pPr>
        <w:pStyle w:val="CaptionedFigure"/>
      </w:pPr>
      <w:r>
        <w:drawing>
          <wp:inline>
            <wp:extent cx="5013960" cy="3654242"/>
            <wp:effectExtent b="0" l="0" r="0" t="0"/>
            <wp:docPr descr="" title="" id="103" name="Picture"/>
            <a:graphic>
              <a:graphicData uri="http://schemas.openxmlformats.org/drawingml/2006/picture">
                <pic:pic>
                  <pic:nvPicPr>
                    <pic:cNvPr descr="长期状态转移情景树.png" id="104" name="Picture"/>
                    <pic:cNvPicPr>
                      <a:picLocks noChangeArrowheads="1" noChangeAspect="1"/>
                    </pic:cNvPicPr>
                  </pic:nvPicPr>
                  <pic:blipFill>
                    <a:blip r:embed="rId102"/>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w:t>
      </w:r>
    </w:p>
    <w:bookmarkEnd w:id="105"/>
    <w:p>
      <w:pPr>
        <w:pStyle w:val="BodyText"/>
      </w:pPr>
      <w:r>
        <w:rPr>
          <w:rFonts w:hint="eastAsia"/>
        </w:rPr>
        <w:t xml:space="preserve">结果显示，中性情景下价格在</w:t>
      </w:r>
      <w:r>
        <w:t xml:space="preserve"> 180 </w:t>
      </w:r>
      <w:r>
        <w:rPr>
          <w:rFonts w:hint="eastAsia"/>
        </w:rPr>
        <w:t xml:space="preserve">天附近回落至约</w:t>
      </w:r>
      <w:r>
        <w:t xml:space="preserve"> 92.43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128.64 </w:t>
      </w:r>
      <w:r>
        <w:rPr>
          <w:rFonts w:hint="eastAsia"/>
        </w:rPr>
        <w:t xml:space="preserve">美元/桶的高点。状态转移增强模型进一步给出第</w:t>
      </w:r>
      <w:r>
        <w:t xml:space="preserve"> 180 </w:t>
      </w:r>
      <w:r>
        <w:rPr>
          <w:rFonts w:hint="eastAsia"/>
        </w:rPr>
        <w:t xml:space="preserve">天</w:t>
      </w:r>
      <w:r>
        <w:t xml:space="preserve"> 5%–95% </w:t>
      </w:r>
      <w:r>
        <w:rPr>
          <w:rFonts w:hint="eastAsia"/>
        </w:rPr>
        <w:t xml:space="preserve">条件区间</w:t>
      </w:r>
      <w:r>
        <w:t xml:space="preserve"> 85.43–93.99 </w:t>
      </w:r>
      <w:r>
        <w:rPr>
          <w:rFonts w:hint="eastAsia"/>
        </w:rPr>
        <w:t xml:space="preserve">美元/桶，外推期最高价</w:t>
      </w:r>
      <w:r>
        <w:t xml:space="preserve"> P95 </w:t>
      </w:r>
      <w:r>
        <w:rPr>
          <w:rFonts w:hint="eastAsia"/>
        </w:rPr>
        <w:t xml:space="preserve">为</w:t>
      </w:r>
      <w:r>
        <w:t xml:space="preserve"> 124.61 </w:t>
      </w:r>
      <w:r>
        <w:rPr>
          <w:rFonts w:hint="eastAsia"/>
        </w:rPr>
        <w:t xml:space="preserve">美元/桶，说明长期中心路径的日度精度不能单独夸大，真正应关注的是尾部区间和状态切换风险。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外部数量级审计</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为多国上报口径；二者用于数量级约束，不能直接替代全球真实参数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87.67–101.01 </w:t>
            </w:r>
            <w:r>
              <w:rPr>
                <w:rFonts w:hint="eastAsia"/>
              </w:rPr>
              <w:t xml:space="preserve">美元/桶，最高价突破</w:t>
            </w:r>
            <w:r>
              <w:t xml:space="preserve"> 120 </w:t>
            </w:r>
            <w:r>
              <w:rPr>
                <w:rFonts w:hint="eastAsia"/>
              </w:rPr>
              <w:t xml:space="preserve">概率约</w:t>
            </w:r>
            <w:r>
              <w:t xml:space="preserve"> 4.6%</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85.43–93.99 </w:t>
            </w:r>
            <w:r>
              <w:rPr>
                <w:rFonts w:hint="eastAsia"/>
              </w:rPr>
              <w:t xml:space="preserve">美元/桶，外推期最高价</w:t>
            </w:r>
            <w:r>
              <w:t xml:space="preserve"> P95 </w:t>
            </w:r>
            <w:r>
              <w:rPr>
                <w:rFonts w:hint="eastAsia"/>
              </w:rPr>
              <w:t xml:space="preserve">为</w:t>
            </w:r>
            <w:r>
              <w:t xml:space="preserve"> 124.61 </w:t>
            </w:r>
            <w:r>
              <w:rPr>
                <w:rFonts w:hint="eastAsia"/>
              </w:rPr>
              <w:t xml:space="preserve">美元/桶</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87.10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92.43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释放已经从计划上限自动收缩，且中性路径供给过剩仅约</w:t>
      </w:r>
      <w:r>
        <w:t xml:space="preserve"> 50 </w:t>
      </w:r>
      <w:r>
        <w:rPr>
          <w:rFonts w:hint="eastAsia"/>
        </w:rPr>
        <w:t xml:space="preserve">万桶/日，说明价格回落不是依赖政策变量机械满额托底。悲观情景第</w:t>
      </w:r>
      <w:r>
        <w:t xml:space="preserve"> 180 </w:t>
      </w:r>
      <w:r>
        <w:rPr>
          <w:rFonts w:hint="eastAsia"/>
        </w:rPr>
        <w:t xml:space="preserve">天仍为</w:t>
      </w:r>
      <w:r>
        <w:t xml:space="preserve"> 106.83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需要主动说明的是，中性第</w:t>
      </w:r>
      <w:r>
        <w:t xml:space="preserve"> 180 </w:t>
      </w:r>
      <w:r>
        <w:rPr>
          <w:rFonts w:hint="eastAsia"/>
        </w:rPr>
        <w:t xml:space="preserve">天存在约</w:t>
      </w:r>
      <w:r>
        <w:t xml:space="preserve"> 50 </w:t>
      </w:r>
      <w:r>
        <w:rPr>
          <w:rFonts w:hint="eastAsia"/>
        </w:rPr>
        <w:t xml:space="preserve">万桶/日的轻微供给过剩，但价格仍高于战前</w:t>
      </w:r>
      <w:r>
        <w:t xml:space="preserve"> 75 </w:t>
      </w:r>
      <w:r>
        <w:rPr>
          <w:rFonts w:hint="eastAsia"/>
        </w:rPr>
        <w:t xml:space="preserve">美元/桶，并非供需项失效，而是模型中仍保留约</w:t>
      </w:r>
      <w:r>
        <w:t xml:space="preserve"> 5.99 </w:t>
      </w:r>
      <w:r>
        <w:rPr>
          <w:rFonts w:hint="eastAsia"/>
        </w:rPr>
        <w:t xml:space="preserve">美元/桶的不确定性和制度风险溢价。该设定表示：即便物理缺口基本闭合，只要霍尔木兹封锁的制度状态没有完全解除，市场仍会对运输保险、航运安全、库存再补充和再次升级风险给出残余溢价。反驳性检验显示，若将不确定性溢价减半，中性第</w:t>
      </w:r>
      <w:r>
        <w:t xml:space="preserve"> 180 </w:t>
      </w:r>
      <w:r>
        <w:rPr>
          <w:rFonts w:hint="eastAsia"/>
        </w:rPr>
        <w:t xml:space="preserve">天价格降至</w:t>
      </w:r>
      <w:r>
        <w:t xml:space="preserve"> 89.15 </w:t>
      </w:r>
      <w:r>
        <w:rPr>
          <w:rFonts w:hint="eastAsia"/>
        </w:rPr>
        <w:t xml:space="preserve">美元/桶；若强制其随时间衰减，则降至</w:t>
      </w:r>
      <w:r>
        <w:t xml:space="preserve"> 87.82 </w:t>
      </w:r>
      <w:r>
        <w:rPr>
          <w:rFonts w:hint="eastAsia"/>
        </w:rPr>
        <w:t xml:space="preserve">美元/桶。因此</w:t>
      </w:r>
      <w:r>
        <w:t xml:space="preserve"> 92.43 </w:t>
      </w:r>
      <w:r>
        <w:rPr>
          <w:rFonts w:hint="eastAsia"/>
        </w:rPr>
        <w:t xml:space="preserve">美元/桶不是模型声称的唯一真实价格，而是</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07" name="Picture"/>
            <a:graphic>
              <a:graphicData uri="http://schemas.openxmlformats.org/drawingml/2006/picture">
                <pic:pic>
                  <pic:nvPicPr>
                    <pic:cNvPr descr="库存与供需缺口风险.png" id="108" name="Picture"/>
                    <pic:cNvPicPr>
                      <a:picLocks noChangeArrowheads="1" noChangeAspect="1"/>
                    </pic:cNvPicPr>
                  </pic:nvPicPr>
                  <pic:blipFill>
                    <a:blip r:embed="rId106"/>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109"/>
    <w:bookmarkEnd w:id="110"/>
    <w:bookmarkStart w:id="138" w:name="敏感性分析"/>
    <w:p>
      <w:pPr>
        <w:pStyle w:val="Heading1"/>
      </w:pPr>
      <w:r>
        <w:rPr>
          <w:rFonts w:hint="eastAsia"/>
        </w:rPr>
        <w:t xml:space="preserve">敏感性分析</w:t>
      </w:r>
    </w:p>
    <w:bookmarkStart w:id="111"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天价格、外推期最高价、剩余供需缺口和二次跳涨风险变化。除题面物理量和行为参数外，本阶段还把长期机制强度参数单独纳入检验，避免长期结论依赖隐藏常数。综合敏感度定义为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11"/>
    <w:bookmarkStart w:id="115"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17.67</w:t>
            </w:r>
          </w:p>
        </w:tc>
        <w:tc>
          <w:tcPr/>
          <w:p>
            <w:pPr>
              <w:pStyle w:val="Compact"/>
              <w:jc w:val="right"/>
            </w:pPr>
            <w:r>
              <w:t xml:space="preserve">14.36</w:t>
            </w:r>
          </w:p>
        </w:tc>
        <w:tc>
          <w:tcPr/>
          <w:p>
            <w:pPr>
              <w:pStyle w:val="Compact"/>
              <w:jc w:val="right"/>
            </w:pPr>
            <w:r>
              <w:t xml:space="preserve">7.36</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13.55</w:t>
            </w:r>
          </w:p>
        </w:tc>
        <w:tc>
          <w:tcPr/>
          <w:p>
            <w:pPr>
              <w:pStyle w:val="Compact"/>
              <w:jc w:val="right"/>
            </w:pPr>
            <w:r>
              <w:t xml:space="preserve">8.40</w:t>
            </w:r>
          </w:p>
        </w:tc>
        <w:tc>
          <w:tcPr/>
          <w:p>
            <w:pPr>
              <w:pStyle w:val="Compact"/>
              <w:jc w:val="right"/>
            </w:pPr>
            <w:r>
              <w:t xml:space="preserve">11.44</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10.02</w:t>
            </w:r>
          </w:p>
        </w:tc>
        <w:tc>
          <w:tcPr/>
          <w:p>
            <w:pPr>
              <w:pStyle w:val="Compact"/>
              <w:jc w:val="right"/>
            </w:pPr>
            <w:r>
              <w:t xml:space="preserve">4.92</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6.41</w:t>
            </w:r>
          </w:p>
        </w:tc>
        <w:tc>
          <w:tcPr/>
          <w:p>
            <w:pPr>
              <w:pStyle w:val="Compact"/>
              <w:jc w:val="right"/>
            </w:pPr>
            <w:r>
              <w:t xml:space="preserve">5.04</w:t>
            </w:r>
          </w:p>
        </w:tc>
        <w:tc>
          <w:tcPr/>
          <w:p>
            <w:pPr>
              <w:pStyle w:val="Compact"/>
              <w:jc w:val="right"/>
            </w:pPr>
            <w:r>
              <w:t xml:space="preserve">3.04</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5.95</w:t>
            </w:r>
          </w:p>
        </w:tc>
        <w:tc>
          <w:tcPr/>
          <w:p>
            <w:pPr>
              <w:pStyle w:val="Compact"/>
              <w:jc w:val="right"/>
            </w:pPr>
            <w:r>
              <w:t xml:space="preserve">3.26</w:t>
            </w:r>
          </w:p>
        </w:tc>
        <w:tc>
          <w:tcPr/>
          <w:p>
            <w:pPr>
              <w:pStyle w:val="Compact"/>
              <w:jc w:val="right"/>
            </w:pPr>
            <w:r>
              <w:t xml:space="preserve">5.97</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3.86</w:t>
            </w:r>
          </w:p>
        </w:tc>
        <w:tc>
          <w:tcPr/>
          <w:p>
            <w:pPr>
              <w:pStyle w:val="Compact"/>
              <w:jc w:val="right"/>
            </w:pPr>
            <w:r>
              <w:t xml:space="preserve">3.42</w:t>
            </w:r>
          </w:p>
        </w:tc>
        <w:tc>
          <w:tcPr/>
          <w:p>
            <w:pPr>
              <w:pStyle w:val="Compact"/>
              <w:jc w:val="right"/>
            </w:pPr>
            <w:r>
              <w:t xml:space="preserve">0.98</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2.28</w:t>
            </w:r>
          </w:p>
        </w:tc>
        <w:tc>
          <w:tcPr/>
          <w:p>
            <w:pPr>
              <w:pStyle w:val="Compact"/>
              <w:jc w:val="right"/>
            </w:pPr>
            <w:r>
              <w:t xml:space="preserve">2.26</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2.08</w:t>
            </w:r>
          </w:p>
        </w:tc>
        <w:tc>
          <w:tcPr/>
          <w:p>
            <w:pPr>
              <w:pStyle w:val="Compact"/>
              <w:jc w:val="right"/>
            </w:pPr>
            <w:r>
              <w:t xml:space="preserve">1.26</w:t>
            </w:r>
          </w:p>
        </w:tc>
        <w:tc>
          <w:tcPr/>
          <w:p>
            <w:pPr>
              <w:pStyle w:val="Compact"/>
              <w:jc w:val="right"/>
            </w:pPr>
            <w:r>
              <w:t xml:space="preserve">1.82</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0.90</w:t>
            </w:r>
          </w:p>
        </w:tc>
        <w:tc>
          <w:tcPr/>
          <w:p>
            <w:pPr>
              <w:pStyle w:val="Compact"/>
              <w:jc w:val="right"/>
            </w:pPr>
            <w:r>
              <w:t xml:space="preserve">0.65</w:t>
            </w:r>
          </w:p>
        </w:tc>
        <w:tc>
          <w:tcPr/>
          <w:p>
            <w:pPr>
              <w:pStyle w:val="Compact"/>
              <w:jc w:val="right"/>
            </w:pPr>
            <w:r>
              <w:t xml:space="preserve">0.50</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0.37</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0.17</w:t>
            </w:r>
          </w:p>
        </w:tc>
      </w:tr>
      <w:tr>
        <w:tc>
          <w:tcPr/>
          <w:p>
            <w:pPr>
              <w:pStyle w:val="Compact"/>
              <w:jc w:val="right"/>
            </w:pPr>
            <w:r>
              <w:t xml:space="preserve">15</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r>
        <w:tc>
          <w:tcPr/>
          <w:p>
            <w:pPr>
              <w:pStyle w:val="Compact"/>
              <w:jc w:val="right"/>
            </w:pPr>
            <w:r>
              <w:t xml:space="preserve">16</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p>
      <w:pPr>
        <w:pStyle w:val="CaptionedFigure"/>
      </w:pPr>
      <w:r>
        <w:drawing>
          <wp:inline>
            <wp:extent cx="4907280" cy="2998893"/>
            <wp:effectExtent b="0" l="0" r="0" t="0"/>
            <wp:docPr descr="" title="" id="113" name="Picture"/>
            <a:graphic>
              <a:graphicData uri="http://schemas.openxmlformats.org/drawingml/2006/picture">
                <pic:pic>
                  <pic:nvPicPr>
                    <pic:cNvPr descr="参数敏感性龙卷风图.png" id="114" name="Picture"/>
                    <pic:cNvPicPr>
                      <a:picLocks noChangeArrowheads="1" noChangeAspect="1"/>
                    </pic:cNvPicPr>
                  </pic:nvPicPr>
                  <pic:blipFill>
                    <a:blip r:embed="rId112"/>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p>
      <w:pPr>
        <w:pStyle w:val="BodyText"/>
      </w:pPr>
      <w:r>
        <w:rPr>
          <w:rFonts w:hint="eastAsia"/>
        </w:rPr>
        <w:t xml:space="preserve">敏感性分析表明，第</w:t>
      </w:r>
      <w:r>
        <w:t xml:space="preserve"> 180 </w:t>
      </w:r>
      <w:r>
        <w:rPr>
          <w:rFonts w:hint="eastAsia"/>
        </w:rPr>
        <w:t xml:space="preserve">天终点价格对市场风险吸收速度最敏感。封锁风险衰减速度从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14.36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115"/>
    <w:bookmarkStart w:id="119"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4.6%</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0.0%</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1.2%</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87.67</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92.85</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101.01</w:t>
            </w:r>
          </w:p>
        </w:tc>
      </w:tr>
      <w:tr>
        <w:tc>
          <w:tcPr/>
          <w:p>
            <w:pPr>
              <w:pStyle w:val="Compact"/>
              <w:jc w:val="left"/>
            </w:pPr>
            <w:r>
              <w:rPr>
                <w:rFonts w:hint="eastAsia"/>
              </w:rPr>
              <w:t xml:space="preserve">外推期最高价</w:t>
            </w:r>
            <w:r>
              <w:t xml:space="preserve"> P95</w:t>
            </w:r>
          </w:p>
        </w:tc>
        <w:tc>
          <w:tcPr/>
          <w:p>
            <w:pPr>
              <w:pStyle w:val="Compact"/>
              <w:jc w:val="right"/>
            </w:pPr>
            <w:r>
              <w:t xml:space="preserve">119.62</w:t>
            </w:r>
          </w:p>
        </w:tc>
      </w:tr>
    </w:tbl>
    <w:p>
      <w:pPr>
        <w:pStyle w:val="CaptionedFigure"/>
      </w:pPr>
      <w:r>
        <w:drawing>
          <wp:inline>
            <wp:extent cx="4160520" cy="2352876"/>
            <wp:effectExtent b="0" l="0" r="0" t="0"/>
            <wp:docPr descr="" title="" id="117" name="Picture"/>
            <a:graphic>
              <a:graphicData uri="http://schemas.openxmlformats.org/drawingml/2006/picture">
                <pic:pic>
                  <pic:nvPicPr>
                    <pic:cNvPr descr="蒙特卡洛尾部风险概率.png" id="118" name="Picture"/>
                    <pic:cNvPicPr>
                      <a:picLocks noChangeArrowheads="1" noChangeAspect="1"/>
                    </pic:cNvPicPr>
                  </pic:nvPicPr>
                  <pic:blipFill>
                    <a:blip r:embed="rId116"/>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结果表明，蒙特卡洛路径的第</w:t>
      </w:r>
      <w:r>
        <w:t xml:space="preserve"> 180 </w:t>
      </w:r>
      <w:r>
        <w:rPr>
          <w:rFonts w:hint="eastAsia"/>
        </w:rPr>
        <w:t xml:space="preserve">天中位数价格为</w:t>
      </w:r>
      <w:r>
        <w:t xml:space="preserve"> 92.85 </w:t>
      </w:r>
      <w:r>
        <w:rPr>
          <w:rFonts w:hint="eastAsia"/>
        </w:rPr>
        <w:t xml:space="preserve">美元/桶，与中性情景的</w:t>
      </w:r>
      <w:r>
        <w:t xml:space="preserve"> 92.43 </w:t>
      </w:r>
      <w:r>
        <w:rPr>
          <w:rFonts w:hint="eastAsia"/>
        </w:rPr>
        <w:t xml:space="preserve">美元/桶高度接近，说明中性路径不是孤立的单点调参结果。与此同时，外推期最高价突破</w:t>
      </w:r>
      <w:r>
        <w:t xml:space="preserve"> 120 </w:t>
      </w:r>
      <w:r>
        <w:rPr>
          <w:rFonts w:hint="eastAsia"/>
        </w:rPr>
        <w:t xml:space="preserve">美元/桶的概率仍有</w:t>
      </w:r>
      <w:r>
        <w:t xml:space="preserve"> </w:t>
      </w:r>
      <w:r>
        <w:rPr>
          <w:rFonts w:hint="eastAsia"/>
        </w:rPr>
        <w:t xml:space="preserve">4.6%，且高压尾部路径中突破</w:t>
      </w:r>
      <w:r>
        <w:t xml:space="preserve"> 120 </w:t>
      </w:r>
      <w:r>
        <w:rPr>
          <w:rFonts w:hint="eastAsia"/>
        </w:rPr>
        <w:t xml:space="preserve">美元/桶的概率达到</w:t>
      </w:r>
      <w:r>
        <w:t xml:space="preserve"> </w:t>
      </w:r>
      <w:r>
        <w:rPr>
          <w:rFonts w:hint="eastAsia"/>
        </w:rPr>
        <w:t xml:space="preserve">21.1%。这说明长期风险的重点不是中性点预测本身，而是多因素联动恶化下的尾部组合风险。</w:t>
      </w:r>
    </w:p>
    <w:bookmarkEnd w:id="119"/>
    <w:bookmarkStart w:id="123"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88.59 </w:t>
      </w:r>
      <w:r>
        <w:rPr>
          <w:rFonts w:hint="eastAsia"/>
        </w:rPr>
        <w:t xml:space="preserve">美元/桶，5%–95%</w:t>
      </w:r>
      <w:r>
        <w:t xml:space="preserve"> </w:t>
      </w:r>
      <w:r>
        <w:rPr>
          <w:rFonts w:hint="eastAsia"/>
        </w:rPr>
        <w:t xml:space="preserve">条件区间为</w:t>
      </w:r>
      <w:r>
        <w:t xml:space="preserve"> 85.43–93.99 </w:t>
      </w:r>
      <w:r>
        <w:rPr>
          <w:rFonts w:hint="eastAsia"/>
        </w:rPr>
        <w:t xml:space="preserve">美元/桶；外推期最高价</w:t>
      </w:r>
      <w:r>
        <w:t xml:space="preserve"> P95 </w:t>
      </w:r>
      <w:r>
        <w:rPr>
          <w:rFonts w:hint="eastAsia"/>
        </w:rPr>
        <w:t xml:space="preserve">为</w:t>
      </w:r>
      <w:r>
        <w:t xml:space="preserve"> 124.61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15.6%，突破</w:t>
      </w:r>
      <w:r>
        <w:t xml:space="preserve"> 130 </w:t>
      </w:r>
      <w:r>
        <w:rPr>
          <w:rFonts w:hint="eastAsia"/>
        </w:rPr>
        <w:t xml:space="preserve">美元/桶的条件概率为</w:t>
      </w:r>
      <w:r>
        <w:t xml:space="preserve"> </w:t>
      </w:r>
      <w:r>
        <w:rPr>
          <w:rFonts w:hint="eastAsia"/>
        </w:rPr>
        <w:t xml:space="preserve">0.9%。这说明状态切换确实会放大外推期局部峰值，但不会推翻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21" name="Picture"/>
            <a:graphic>
              <a:graphicData uri="http://schemas.openxmlformats.org/drawingml/2006/picture">
                <pic:pic>
                  <pic:nvPicPr>
                    <pic:cNvPr descr="R长期状态转移扇形图.png" id="122" name="Picture"/>
                    <pic:cNvPicPr>
                      <a:picLocks noChangeArrowheads="1" noChangeAspect="1"/>
                    </pic:cNvPicPr>
                  </pic:nvPicPr>
                  <pic:blipFill>
                    <a:blip r:embed="rId120"/>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w:t>
      </w:r>
    </w:p>
    <w:bookmarkEnd w:id="123"/>
    <w:bookmarkStart w:id="130" w:name="滞后地缘风险指数审计"/>
    <w:p>
      <w:pPr>
        <w:pStyle w:val="Heading2"/>
      </w:pPr>
      <w:r>
        <w:rPr>
          <w:rFonts w:hint="eastAsia"/>
        </w:rPr>
        <w:t xml:space="preserve">滞后地缘风险指数审计</w:t>
      </w:r>
    </w:p>
    <w:p>
      <w:pPr>
        <w:pStyle w:val="FirstParagraph"/>
      </w:pPr>
      <w:r>
        <w:rPr>
          <w:rFonts w:hint="eastAsia"/>
        </w:rPr>
        <w:t xml:space="preserve">综合机制递推模型中包含地缘风险权重和恐慌衰减项。若直接用新闻情绪或风险指数解释同日油价，容易被质疑存在反向因果：油价上涨可能先刺激媒体报道增加，随后模型又用新闻恐慌解释油价上涨。为避免这种内生性循环，本文不把新闻爬虫数据作为短期模型输入，而是使用</w:t>
      </w:r>
      <w:r>
        <w:t xml:space="preserve"> Caldara-Iacoviello GPR </w:t>
      </w:r>
      <w:r>
        <w:rPr>
          <w:rFonts w:hint="eastAsia"/>
        </w:rPr>
        <w:t xml:space="preserve">月度指数做外部审计，并采用滞后一期口径。</w:t>
      </w:r>
    </w:p>
    <w:p>
      <w:pPr>
        <w:pStyle w:val="TableCaption"/>
      </w:pPr>
      <w:r>
        <w:rPr>
          <w:rFonts w:hint="eastAsia"/>
        </w:rPr>
        <w:t xml:space="preserve">滞后</w:t>
      </w:r>
      <w:r>
        <w:t xml:space="preserve"> GPR </w:t>
      </w:r>
      <w:r>
        <w:rPr>
          <w:rFonts w:hint="eastAsia"/>
        </w:rPr>
        <w:t xml:space="preserve">风险审计指标</w:t>
      </w:r>
    </w:p>
    <w:tbl>
      <w:tblPr>
        <w:tblStyle w:val="Table"/>
        <w:tblW w:type="auto" w:w="0"/>
        <w:tblLook w:firstRow="1" w:lastRow="0" w:firstColumn="0" w:lastColumn="0" w:noHBand="0" w:noVBand="0" w:val="0020"/>
        <w:tblCaption w:val="滞后 GPR 风险审计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25" name="Picture"/>
            <a:graphic>
              <a:graphicData uri="http://schemas.openxmlformats.org/drawingml/2006/picture">
                <pic:pic>
                  <pic:nvPicPr>
                    <pic:cNvPr descr="地缘风险指数滞后审计.png" id="126" name="Picture"/>
                    <pic:cNvPicPr>
                      <a:picLocks noChangeArrowheads="1" noChangeAspect="1"/>
                    </pic:cNvPicPr>
                  </pic:nvPicPr>
                  <pic:blipFill>
                    <a:blip r:embed="rId124"/>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地缘风险指数审计：同步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28" name="Picture"/>
            <a:graphic>
              <a:graphicData uri="http://schemas.openxmlformats.org/drawingml/2006/picture">
                <pic:pic>
                  <pic:nvPicPr>
                    <pic:cNvPr descr="滞后GPR与布伦特收益关系.png" id="129" name="Picture"/>
                    <pic:cNvPicPr>
                      <a:picLocks noChangeArrowheads="1" noChangeAspect="1"/>
                    </pic:cNvPicPr>
                  </pic:nvPicPr>
                  <pic:blipFill>
                    <a:blip r:embed="rId127"/>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更适合作为风险溢价外部审计，而非单独点预测模型。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处于历史高分位，说明模型中的地缘风险溢价不是凭空设定，而有外部风险指数支撑。第二，滞后</w:t>
      </w:r>
      <w:r>
        <w:t xml:space="preserve"> GPR </w:t>
      </w:r>
      <w:r>
        <w:rPr>
          <w:rFonts w:hint="eastAsia"/>
        </w:rPr>
        <w:t xml:space="preserve">对月度收益的解释力有限，因此本文不将其直接加入短期拟合，也不把风险指数写成</w:t>
      </w:r>
      <w:r>
        <w:rPr>
          <w:rFonts w:hint="eastAsia"/>
        </w:rPr>
        <w:t xml:space="preserve">“预测油价上涨的神奇变量”</w:t>
      </w:r>
      <w:r>
        <w:rPr>
          <w:rFonts w:hint="eastAsia"/>
        </w:rPr>
        <w:t xml:space="preserve">。这使模型在风险解释和内生性防御之间保持较稳妥的边界。</w:t>
      </w:r>
    </w:p>
    <w:bookmarkEnd w:id="130"/>
    <w:bookmarkStart w:id="137"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32" name="Picture"/>
            <a:graphic>
              <a:graphicData uri="http://schemas.openxmlformats.org/drawingml/2006/picture">
                <pic:pic>
                  <pic:nvPicPr>
                    <pic:cNvPr descr="历史窗口极端性检验.png" id="133" name="Picture"/>
                    <pic:cNvPicPr>
                      <a:picLocks noChangeArrowheads="1" noChangeAspect="1"/>
                    </pic:cNvPicPr>
                  </pic:nvPicPr>
                  <pic:blipFill>
                    <a:blip r:embed="rId131"/>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35" name="Picture"/>
            <a:graphic>
              <a:graphicData uri="http://schemas.openxmlformats.org/drawingml/2006/picture">
                <pic:pic>
                  <pic:nvPicPr>
                    <pic:cNvPr descr="R历史基准误差分布图.png" id="136" name="Picture"/>
                    <pic:cNvPicPr>
                      <a:picLocks noChangeArrowheads="1" noChangeAspect="1"/>
                    </pic:cNvPicPr>
                  </pic:nvPicPr>
                  <pic:blipFill>
                    <a:blip r:embed="rId134"/>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37"/>
    <w:bookmarkEnd w:id="138"/>
    <w:bookmarkStart w:id="142" w:name="模型评价"/>
    <w:p>
      <w:pPr>
        <w:pStyle w:val="Heading1"/>
      </w:pPr>
      <w:r>
        <w:rPr>
          <w:rFonts w:hint="eastAsia"/>
        </w:rPr>
        <w:t xml:space="preserve">模型评价</w:t>
      </w:r>
    </w:p>
    <w:bookmarkStart w:id="139"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证据链完整：从附件数据清洗、传统供需基准、动态模型、校准、防御性检验、三情景预测到敏感性分析均可复现。</w:t>
      </w:r>
    </w:p>
    <w:p>
      <w:pPr>
        <w:numPr>
          <w:ilvl w:val="0"/>
          <w:numId w:val="1005"/>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5"/>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统计检验、滞后平移检验、机制消融、过拟合压力测试和历史同长度窗口检验。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5"/>
        </w:numPr>
      </w:pPr>
      <w:r>
        <w:rPr>
          <w:rFonts w:hint="eastAsia"/>
        </w:rPr>
        <w:t xml:space="preserve">长期表述审慎：三情景中心线与蒙特卡洛扇形区间、状态转移情景树合读，把长期结果定位为条件中心路径、状态切换和尾部风险，而非精确日度点预测。</w:t>
      </w:r>
    </w:p>
    <w:bookmarkEnd w:id="139"/>
    <w:bookmarkStart w:id="140"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SPR、商业库存和原油产量周度数据，并接入</w:t>
      </w:r>
      <w:r>
        <w:t xml:space="preserve"> JODI </w:t>
      </w:r>
      <w:r>
        <w:rPr>
          <w:rFonts w:hint="eastAsia"/>
        </w:rPr>
        <w:t xml:space="preserve">多国月度产量、库存、进出口、需求和炼厂产出作为外部审计；同时接入</w:t>
      </w:r>
      <w:r>
        <w:t xml:space="preserve"> GPR </w:t>
      </w:r>
      <w:r>
        <w:rPr>
          <w:rFonts w:hint="eastAsia"/>
        </w:rPr>
        <w:t xml:space="preserve">月度指数和历史滚动窗口审计地缘风险与事件极端性。但</w:t>
      </w:r>
      <w:r>
        <w:t xml:space="preserve"> JODI </w:t>
      </w:r>
      <w:r>
        <w:rPr>
          <w:rFonts w:hint="eastAsia"/>
        </w:rPr>
        <w:t xml:space="preserve">存在上报滞后和覆盖差异，仍不能替代</w:t>
      </w:r>
      <w:r>
        <w:t xml:space="preserve"> IEA </w:t>
      </w:r>
      <w:r>
        <w:rPr>
          <w:rFonts w:hint="eastAsia"/>
        </w:rPr>
        <w:t xml:space="preserve">或</w:t>
      </w:r>
      <w:r>
        <w:t xml:space="preserve"> OPEC </w:t>
      </w:r>
      <w:r>
        <w:rPr>
          <w:rFonts w:hint="eastAsia"/>
        </w:rPr>
        <w:t xml:space="preserve">完整全球供需平衡表，也未引入期权隐含波动率、油轮保险费或高频新闻情绪等变量。</w:t>
      </w:r>
    </w:p>
    <w:p>
      <w:pPr>
        <w:numPr>
          <w:ilvl w:val="0"/>
          <w:numId w:val="1006"/>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40"/>
    <w:bookmarkStart w:id="141"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 </w:t>
      </w:r>
      <w:r>
        <w:rPr>
          <w:rFonts w:hint="eastAsia"/>
        </w:rPr>
        <w:t xml:space="preserve">与</w:t>
      </w:r>
      <w:r>
        <w:t xml:space="preserve"> JODI </w:t>
      </w:r>
      <w:r>
        <w:rPr>
          <w:rFonts w:hint="eastAsia"/>
        </w:rPr>
        <w:t xml:space="preserve">审计基础上，若获得</w:t>
      </w:r>
      <w:r>
        <w:t xml:space="preserve"> IEA </w:t>
      </w:r>
      <w:r>
        <w:rPr>
          <w:rFonts w:hint="eastAsia"/>
        </w:rPr>
        <w:t xml:space="preserve">或</w:t>
      </w:r>
      <w:r>
        <w:t xml:space="preserve"> OPEC </w:t>
      </w:r>
      <w:r>
        <w:rPr>
          <w:rFonts w:hint="eastAsia"/>
        </w:rPr>
        <w:t xml:space="preserve">完整全球供需平衡表，可进一步约束长期供给恢复路径和全球库存消耗速度；第二，在现有</w:t>
      </w:r>
      <w:r>
        <w:t xml:space="preserve"> GPR </w:t>
      </w:r>
      <w:r>
        <w:rPr>
          <w:rFonts w:hint="eastAsia"/>
        </w:rPr>
        <w:t xml:space="preserve">滞后审计基础上，继续探索期权隐含波动率、油轮保险费、期货期限结构等更接近市场定价的风险变量；第三，把状态转移概率从当前专家设定进一步约束为由历史地缘风险、波动率和期限结构共同驱动的时变概率。R</w:t>
      </w:r>
      <w:r>
        <w:t xml:space="preserve"> </w:t>
      </w:r>
      <w:r>
        <w:rPr>
          <w:rFonts w:hint="eastAsia"/>
        </w:rPr>
        <w:t xml:space="preserve">语言可用于后续</w:t>
      </w:r>
      <w:r>
        <w:t xml:space="preserve"> GARCH、VAR、Granger </w:t>
      </w:r>
      <w:r>
        <w:rPr>
          <w:rFonts w:hint="eastAsia"/>
        </w:rPr>
        <w:t xml:space="preserve">和稳健标准误等计量审计，C++</w:t>
      </w:r>
      <w:r>
        <w:t xml:space="preserve"> </w:t>
      </w:r>
      <w:r>
        <w:rPr>
          <w:rFonts w:hint="eastAsia"/>
        </w:rPr>
        <w:t xml:space="preserve">多智能体仿真则只有在获得主体级行为数据时才有必要进入主线。</w:t>
      </w:r>
    </w:p>
    <w:bookmarkEnd w:id="141"/>
    <w:bookmarkEnd w:id="142"/>
    <w:bookmarkStart w:id="143"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在赛题低短期弹性假设下，传统供需模型会给出约</w:t>
      </w:r>
      <w:r>
        <w:t xml:space="preserve"> 278–337 </w:t>
      </w:r>
      <w:r>
        <w:rPr>
          <w:rFonts w:hint="eastAsia"/>
        </w:rPr>
        <w:t xml:space="preserve">美元/桶的理论价格，显著高估附件真实价格。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平方损失检验和方向命中检验提供支持性统计证据，且通过滞后平移检验、机制消融和过拟合压力测试，具备较好的解释力和防御性。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92.43 </w:t>
      </w:r>
      <w:r>
        <w:rPr>
          <w:rFonts w:hint="eastAsia"/>
        </w:rPr>
        <w:t xml:space="preserve">美元/桶；悲观情景第</w:t>
      </w:r>
      <w:r>
        <w:t xml:space="preserve"> 180 </w:t>
      </w:r>
      <w:r>
        <w:rPr>
          <w:rFonts w:hint="eastAsia"/>
        </w:rPr>
        <w:t xml:space="preserve">天约为</w:t>
      </w:r>
      <w:r>
        <w:t xml:space="preserve"> 106.83 </w:t>
      </w:r>
      <w:r>
        <w:rPr>
          <w:rFonts w:hint="eastAsia"/>
        </w:rPr>
        <w:t xml:space="preserve">美元/桶，并存在二次跳涨风险。</w:t>
      </w:r>
    </w:p>
    <w:p>
      <w:pPr>
        <w:numPr>
          <w:ilvl w:val="0"/>
          <w:numId w:val="1007"/>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87.67–101.01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4.6%，尾部风险主要来自多因素同时恶化；状态转移情景树进一步说明，若未来冲突状态在缓和、维持和升级之间切换，外推期最高价</w:t>
      </w:r>
      <w:r>
        <w:t xml:space="preserve"> P95 </w:t>
      </w:r>
      <w:r>
        <w:rPr>
          <w:rFonts w:hint="eastAsia"/>
        </w:rPr>
        <w:t xml:space="preserve">约为</w:t>
      </w:r>
      <w:r>
        <w:t xml:space="preserve"> 124.61 </w:t>
      </w:r>
      <w:r>
        <w:rPr>
          <w:rFonts w:hint="eastAsia"/>
        </w:rPr>
        <w:t xml:space="preserve">美元/桶。</w:t>
      </w:r>
    </w:p>
    <w:p>
      <w:pPr>
        <w:numPr>
          <w:ilvl w:val="0"/>
          <w:numId w:val="1007"/>
        </w:numPr>
      </w:pPr>
      <w:r>
        <w:t xml:space="preserve">GPR </w:t>
      </w:r>
      <w:r>
        <w:rPr>
          <w:rFonts w:hint="eastAsia"/>
        </w:rPr>
        <w:t xml:space="preserve">滞后审计显示，2026</w:t>
      </w:r>
      <w:r>
        <w:t xml:space="preserve"> </w:t>
      </w:r>
      <w:r>
        <w:rPr>
          <w:rFonts w:hint="eastAsia"/>
        </w:rPr>
        <w:t xml:space="preserve">年</w:t>
      </w:r>
      <w:r>
        <w:t xml:space="preserve"> 3–4 </w:t>
      </w:r>
      <w:r>
        <w:rPr>
          <w:rFonts w:hint="eastAsia"/>
        </w:rPr>
        <w:t xml:space="preserve">月地缘风险处于历史高分位，支持风险溢价机制；但滞后收益解释力较弱，因此本文不把</w:t>
      </w:r>
      <w:r>
        <w:t xml:space="preserve"> GPR </w:t>
      </w:r>
      <w:r>
        <w:rPr>
          <w:rFonts w:hint="eastAsia"/>
        </w:rPr>
        <w:t xml:space="preserve">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43"/>
    <w:bookmarkStart w:id="149"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44">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45">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46">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47">
        <w:r>
          <w:rPr>
            <w:rStyle w:val="Hyperlink"/>
          </w:rPr>
          <w:t xml:space="preserve">EIA petroleum weekly data</w:t>
        </w:r>
      </w:hyperlink>
      <w:r>
        <w:t xml:space="preserve">.</w:t>
      </w:r>
    </w:p>
    <w:p>
      <w:pPr>
        <w:pStyle w:val="BodyText"/>
      </w:pPr>
      <w:r>
        <w:t xml:space="preserve">Caldara-Iacoviello Geopolitical Risk Index. Monthly GPR data.</w:t>
      </w:r>
      <w:r>
        <w:t xml:space="preserve"> </w:t>
      </w:r>
      <w:hyperlink r:id="rId148">
        <w:r>
          <w:rPr>
            <w:rStyle w:val="Hyperlink"/>
          </w:rPr>
          <w:t xml:space="preserve">GPR data page</w:t>
        </w:r>
      </w:hyperlink>
      <w:r>
        <w:t xml:space="preserve">.</w:t>
      </w:r>
    </w:p>
    <w:bookmarkEnd w:id="149"/>
    <w:bookmarkStart w:id="156" w:name="附录项目结构与补充算法材料"/>
    <w:p>
      <w:pPr>
        <w:pStyle w:val="Heading1"/>
      </w:pPr>
      <w:r>
        <w:rPr>
          <w:rFonts w:hint="eastAsia"/>
        </w:rPr>
        <w:t xml:space="preserve">附录：项目结构与补充算法材料</w:t>
      </w:r>
    </w:p>
    <w:bookmarkStart w:id="150"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本文的建模、审计、绘图和论文生成均保存在同一项目目录中。核心目录结构如下，未列出的缓存文件、临时渲染文件和历史实验文件不影响最终复现。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原始数据、清洗数据和外部审计数据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EIA、JODI、GPR </w:t>
      </w:r>
      <w:r>
        <w:rPr>
          <w:rStyle w:val="VerbatimChar"/>
          <w:rFonts w:hint="eastAsia"/>
        </w:rPr>
        <w:t xml:space="preserve">等外部审计数据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w:t>
      </w:r>
      <w:r>
        <w:rPr>
          <w:rStyle w:val="VerbatimChar"/>
        </w:rPr>
        <w:t xml:space="preserve"> </w:t>
      </w:r>
      <w:r>
        <w:rPr>
          <w:rStyle w:val="VerbatimChar"/>
          <w:rFonts w:hint="eastAsia"/>
        </w:rPr>
        <w:t xml:space="preserve">与统计审计</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语言计量审计与学术图表脚本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模型结果、审计报告和最终交付物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自动生成的审计报告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质疑报告/</w:t>
      </w:r>
      <w:r>
        <w:rPr>
          <w:rStyle w:val="VerbatimChar"/>
        </w:rPr>
        <w:t xml:space="preserve">             </w:t>
      </w:r>
      <w:r>
        <w:rPr>
          <w:rStyle w:val="VerbatimChar"/>
          <w:rFonts w:hint="eastAsia"/>
        </w:rPr>
        <w:t xml:space="preserve">外部质疑、审计和防御记录</w:t>
      </w:r>
    </w:p>
    <w:bookmarkEnd w:id="150"/>
    <w:bookmarkStart w:id="151"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年完整价格序列仅用于历史同长度窗口、基准模型分布和事件极端性审计。EIA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多国月度产量、库存、进出口、需求和炼厂数据、GPR</w:t>
      </w:r>
      <w:r>
        <w:t xml:space="preserve"> </w:t>
      </w:r>
      <w:r>
        <w:rPr>
          <w:rFonts w:hint="eastAsia"/>
        </w:rPr>
        <w:t xml:space="preserve">月度指数用于外部合理性审计，不反向替代附件真实价格。</w:t>
      </w:r>
    </w:p>
    <w:bookmarkEnd w:id="151"/>
    <w:bookmarkStart w:id="152"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152"/>
    <w:bookmarkStart w:id="153"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CSV，外部数据只用于合理性审计</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92.43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106.83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4.6%</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153"/>
    <w:bookmarkStart w:id="154" w:name="a.4-稳健性检验补充"/>
    <w:p>
      <w:pPr>
        <w:pStyle w:val="Heading2"/>
      </w:pPr>
      <w:r>
        <w:t xml:space="preserve">A.4 </w:t>
      </w:r>
      <w:r>
        <w:rPr>
          <w:rFonts w:hint="eastAsia"/>
        </w:rPr>
        <w:t xml:space="preserve">稳健性检验补充</w:t>
      </w:r>
    </w:p>
    <w:p>
      <w:pPr>
        <w:numPr>
          <w:ilvl w:val="0"/>
          <w:numId w:val="1008"/>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8"/>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8"/>
        </w:numPr>
      </w:pPr>
      <w:r>
        <w:rPr>
          <w:rFonts w:hint="eastAsia"/>
        </w:rPr>
        <w:t xml:space="preserve">消融检验：逐项移除风险溢价、缓冲折价、预期修复等机制，验证各因素的边际贡献。</w:t>
      </w:r>
    </w:p>
    <w:p>
      <w:pPr>
        <w:numPr>
          <w:ilvl w:val="0"/>
          <w:numId w:val="1008"/>
        </w:numPr>
      </w:pPr>
      <w:r>
        <w:rPr>
          <w:rFonts w:hint="eastAsia"/>
        </w:rPr>
        <w:t xml:space="preserve">参数压力测试：扰动价格传导、风险权重和长期机制参数，检验结论是否依赖唯一一组参数。</w:t>
      </w:r>
    </w:p>
    <w:p>
      <w:pPr>
        <w:numPr>
          <w:ilvl w:val="0"/>
          <w:numId w:val="1008"/>
        </w:numPr>
      </w:pPr>
      <w:r>
        <w:rPr>
          <w:rFonts w:hint="eastAsia"/>
        </w:rPr>
        <w:t xml:space="preserve">外部审计：EIA</w:t>
      </w:r>
      <w:r>
        <w:t xml:space="preserve"> </w:t>
      </w:r>
      <w:r>
        <w:rPr>
          <w:rFonts w:hint="eastAsia"/>
        </w:rPr>
        <w:t xml:space="preserve">周度数据、JODI</w:t>
      </w:r>
      <w:r>
        <w:t xml:space="preserve"> </w:t>
      </w:r>
      <w:r>
        <w:rPr>
          <w:rFonts w:hint="eastAsia"/>
        </w:rPr>
        <w:t xml:space="preserve">多国月度石油数据、GPR</w:t>
      </w:r>
      <w:r>
        <w:t xml:space="preserve"> </w:t>
      </w:r>
      <w:r>
        <w:rPr>
          <w:rFonts w:hint="eastAsia"/>
        </w:rPr>
        <w:t xml:space="preserve">月度指数和</w:t>
      </w:r>
      <w:r>
        <w:t xml:space="preserve"> 2017–2026 </w:t>
      </w:r>
      <w:r>
        <w:rPr>
          <w:rFonts w:hint="eastAsia"/>
        </w:rPr>
        <w:t xml:space="preserve">历史同长度窗口用于验证数量级和事件极端性。</w:t>
      </w:r>
    </w:p>
    <w:bookmarkEnd w:id="154"/>
    <w:bookmarkStart w:id="155"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4" Target="media/rId134.png" /><Relationship Type="http://schemas.openxmlformats.org/officeDocument/2006/relationships/image" Id="rId75" Target="media/rId75.png" /><Relationship Type="http://schemas.openxmlformats.org/officeDocument/2006/relationships/image" Id="rId120" Target="media/rId120.png"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131" Target="media/rId131.pn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99" Target="media/rId99.png" /><Relationship Type="http://schemas.openxmlformats.org/officeDocument/2006/relationships/image" Id="rId57" Target="media/rId57.png" /><Relationship Type="http://schemas.openxmlformats.org/officeDocument/2006/relationships/image" Id="rId80" Target="media/rId8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68" Target="media/rId68.png" /><Relationship Type="http://schemas.openxmlformats.org/officeDocument/2006/relationships/image" Id="rId60" Target="media/rId60.png" /><Relationship Type="http://schemas.openxmlformats.org/officeDocument/2006/relationships/image" Id="rId84" Target="media/rId84.png" /><Relationship Type="http://schemas.openxmlformats.org/officeDocument/2006/relationships/image" Id="rId72" Target="media/rId72.png" /><Relationship Type="http://schemas.openxmlformats.org/officeDocument/2006/relationships/image" Id="rId64" Target="media/rId64.png" /><Relationship Type="http://schemas.openxmlformats.org/officeDocument/2006/relationships/image" Id="rId40" Target="media/rId40.png" /><Relationship Type="http://schemas.openxmlformats.org/officeDocument/2006/relationships/image" Id="rId95" Target="media/rId95.png" /><Relationship Type="http://schemas.openxmlformats.org/officeDocument/2006/relationships/image" Id="rId116" Target="media/rId116.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02" Target="media/rId102.png" /><Relationship Type="http://schemas.openxmlformats.org/officeDocument/2006/relationships/hyperlink" Id="rId147" Target="https://www.eia.gov/dnav/pet/pet_sum_sndw_dcus_nus_w.htm" TargetMode="External" /><Relationship Type="http://schemas.openxmlformats.org/officeDocument/2006/relationships/hyperlink" Id="rId144" Target="https://www.eia.gov/international/analysis/special-topics/World_Oil_Transit_Chokepoints" TargetMode="External" /><Relationship Type="http://schemas.openxmlformats.org/officeDocument/2006/relationships/hyperlink" Id="rId145" Target="https://www.iea.org/about/oil-security-and-emergency-response/strait-of-hormuz" TargetMode="External" /><Relationship Type="http://schemas.openxmlformats.org/officeDocument/2006/relationships/hyperlink" Id="rId146" Target="https://www.iea.org/news/iea-governing-board-concludes-2022-collective-actions" TargetMode="External" /><Relationship Type="http://schemas.openxmlformats.org/officeDocument/2006/relationships/hyperlink" Id="rId148"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47" Target="https://www.eia.gov/dnav/pet/pet_sum_sndw_dcus_nus_w.htm" TargetMode="External" /><Relationship Type="http://schemas.openxmlformats.org/officeDocument/2006/relationships/hyperlink" Id="rId144" Target="https://www.eia.gov/international/analysis/special-topics/World_Oil_Transit_Chokepoints" TargetMode="External" /><Relationship Type="http://schemas.openxmlformats.org/officeDocument/2006/relationships/hyperlink" Id="rId145" Target="https://www.iea.org/about/oil-security-and-emergency-response/strait-of-hormuz" TargetMode="External" /><Relationship Type="http://schemas.openxmlformats.org/officeDocument/2006/relationships/hyperlink" Id="rId146" Target="https://www.iea.org/news/iea-governing-board-concludes-2022-collective-actions" TargetMode="External" /><Relationship Type="http://schemas.openxmlformats.org/officeDocument/2006/relationships/hyperlink" Id="rId148"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2026-05-12T16:17:29Z</dcterms:created>
  <dcterms:modified xsi:type="dcterms:W3CDTF">2026-05-12T16:17:29Z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