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8.png" ContentType="image/png"/>
  <Override PartName="/word/media/rId80.png" ContentType="image/png"/>
  <Override PartName="/word/media/rId90.png" ContentType="image/png"/>
  <Override PartName="/word/media/rId93.png" ContentType="image/png"/>
  <Override PartName="/word/media/rId15.png" ContentType="image/png"/>
  <Override PartName="/word/media/rId22.png" ContentType="image/png"/>
  <Override PartName="/word/media/rId86.png" ContentType="image/png"/>
  <Override PartName="/word/media/rId77.png" ContentType="image/png"/>
  <Override PartName="/word/media/rId47.png" ContentType="image/png"/>
  <Override PartName="/word/media/rId66.png" ContentType="image/png"/>
  <Override PartName="/word/media/rId40.png" ContentType="image/png"/>
  <Override PartName="/word/media/rId54.png" ContentType="image/png"/>
  <Override PartName="/word/media/rId43.png" ContentType="image/png"/>
  <Override PartName="/word/media/rId61.png" ContentType="image/png"/>
  <Override PartName="/word/media/rId50.png" ContentType="image/png"/>
  <Override PartName="/word/media/rId70.png" ContentType="image/png"/>
  <Override PartName="/word/media/rId5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美元/桶，且存在较高二次跳涨风险。敏感性分析表明，不确定性与制度风险强度、地缘风险权重和供应中断量是综合敏感度最高的三个因素；进一步的</w:t>
      </w:r>
      <w:r>
        <w:t xml:space="preserve"> 2000 </w:t>
      </w:r>
      <w:r>
        <w:rPr>
          <w:rFonts w:hint="eastAsia"/>
        </w:rPr>
        <w:t xml:space="preserve">次蒙特卡洛情景树显示，外推期最高价突破</w:t>
      </w:r>
      <w:r>
        <w:t xml:space="preserve"> 120 </w:t>
      </w:r>
      <w:r>
        <w:rPr>
          <w:rFonts w:hint="eastAsia"/>
        </w:rPr>
        <w:t xml:space="preserve">美元/桶的概率约为</w:t>
      </w:r>
      <w:r>
        <w:t xml:space="preserve"> </w:t>
      </w:r>
      <w:r>
        <w:rPr>
          <w:rFonts w:hint="eastAsia"/>
        </w:rPr>
        <w:t xml:space="preserve">8.0%，突破</w:t>
      </w:r>
      <w:r>
        <w:t xml:space="preserve"> 130 </w:t>
      </w:r>
      <w:r>
        <w:rPr>
          <w:rFonts w:hint="eastAsia"/>
        </w:rPr>
        <w:t xml:space="preserve">美元/桶的概率约为</w:t>
      </w:r>
      <w:r>
        <w:t xml:space="preserve"> </w:t>
      </w:r>
      <w:r>
        <w:rPr>
          <w:rFonts w:hint="eastAsia"/>
        </w:rPr>
        <w:t xml:space="preserve">0.5%，说明长期风险主要来自多因素同时恶化下的尾部组合。</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天三情景预测模型，并通过敏感性分析和蒙特卡洛情景树识别影响长期价格平衡点和二次跳涨风险的关键变量。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29"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End w:id="29"/>
    <w:bookmarkStart w:id="35" w:name="传统供需基准模型"/>
    <w:p>
      <w:pPr>
        <w:pStyle w:val="Heading1"/>
      </w:pPr>
      <w:r>
        <w:rPr>
          <w:rFonts w:hint="eastAsia"/>
        </w:rPr>
        <w:t xml:space="preserve">传统供需基准模型</w:t>
      </w:r>
    </w:p>
    <w:bookmarkStart w:id="30"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0"/>
    <w:bookmarkStart w:id="34"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2" name="Picture"/>
            <a:graphic>
              <a:graphicData uri="http://schemas.openxmlformats.org/drawingml/2006/picture">
                <pic:pic>
                  <pic:nvPicPr>
                    <pic:cNvPr descr="baseline_vs_actual.png" id="33" name="Picture"/>
                    <pic:cNvPicPr>
                      <a:picLocks noChangeArrowheads="1" noChangeAspect="1"/>
                    </pic:cNvPicPr>
                  </pic:nvPicPr>
                  <pic:blipFill>
                    <a:blip r:embed="rId31"/>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4"/>
    <w:bookmarkEnd w:id="35"/>
    <w:bookmarkStart w:id="38"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6"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6"/>
    <w:bookmarkStart w:id="37"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7"/>
    <w:bookmarkEnd w:id="38"/>
    <w:bookmarkStart w:id="75" w:name="参数校准与模型检验"/>
    <w:p>
      <w:pPr>
        <w:pStyle w:val="Heading1"/>
      </w:pPr>
      <w:r>
        <w:rPr>
          <w:rFonts w:hint="eastAsia"/>
        </w:rPr>
        <w:t xml:space="preserve">参数校准与模型检验</w:t>
      </w:r>
    </w:p>
    <w:bookmarkStart w:id="39"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不确定性/制度风险强度</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9"/>
    <w:bookmarkStart w:id="46"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1" name="Picture"/>
            <a:graphic>
              <a:graphicData uri="http://schemas.openxmlformats.org/drawingml/2006/picture">
                <pic:pic>
                  <pic:nvPicPr>
                    <pic:cNvPr descr="短期模型拟合效果.png" id="42" name="Picture"/>
                    <pic:cNvPicPr>
                      <a:picLocks noChangeArrowheads="1" noChangeAspect="1"/>
                    </pic:cNvPicPr>
                  </pic:nvPicPr>
                  <pic:blipFill>
                    <a:blip r:embed="rId4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4" name="Picture"/>
            <a:graphic>
              <a:graphicData uri="http://schemas.openxmlformats.org/drawingml/2006/picture">
                <pic:pic>
                  <pic:nvPicPr>
                    <pic:cNvPr descr="短期模型机制贡献.png" id="45" name="Picture"/>
                    <pic:cNvPicPr>
                      <a:picLocks noChangeArrowheads="1" noChangeAspect="1"/>
                    </pic:cNvPicPr>
                  </pic:nvPicPr>
                  <pic:blipFill>
                    <a:blip r:embed="rId43"/>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6"/>
    <w:bookmarkStart w:id="5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8" name="Picture"/>
            <a:graphic>
              <a:graphicData uri="http://schemas.openxmlformats.org/drawingml/2006/picture">
                <pic:pic>
                  <pic:nvPicPr>
                    <pic:cNvPr descr="短期模型基准对比.png" id="49" name="Picture"/>
                    <pic:cNvPicPr>
                      <a:picLocks noChangeArrowheads="1" noChangeAspect="1"/>
                    </pic:cNvPicPr>
                  </pic:nvPicPr>
                  <pic:blipFill>
                    <a:blip r:embed="rId4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1" name="Picture"/>
            <a:graphic>
              <a:graphicData uri="http://schemas.openxmlformats.org/drawingml/2006/picture">
                <pic:pic>
                  <pic:nvPicPr>
                    <pic:cNvPr descr="短期模型滞后平移检验.png" id="52" name="Picture"/>
                    <pic:cNvPicPr>
                      <a:picLocks noChangeArrowheads="1" noChangeAspect="1"/>
                    </pic:cNvPicPr>
                  </pic:nvPicPr>
                  <pic:blipFill>
                    <a:blip r:embed="rId5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3"/>
    <w:bookmarkStart w:id="60"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5" name="Picture"/>
            <a:graphic>
              <a:graphicData uri="http://schemas.openxmlformats.org/drawingml/2006/picture">
                <pic:pic>
                  <pic:nvPicPr>
                    <pic:cNvPr descr="短期模型机制消融实验.png" id="56" name="Picture"/>
                    <pic:cNvPicPr>
                      <a:picLocks noChangeArrowheads="1" noChangeAspect="1"/>
                    </pic:cNvPicPr>
                  </pic:nvPicPr>
                  <pic:blipFill>
                    <a:blip r:embed="rId54"/>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8" name="Picture"/>
            <a:graphic>
              <a:graphicData uri="http://schemas.openxmlformats.org/drawingml/2006/picture">
                <pic:pic>
                  <pic:nvPicPr>
                    <pic:cNvPr descr="短期模型过拟合压力测试.png" id="59" name="Picture"/>
                    <pic:cNvPicPr>
                      <a:picLocks noChangeArrowheads="1" noChangeAspect="1"/>
                    </pic:cNvPicPr>
                  </pic:nvPicPr>
                  <pic:blipFill>
                    <a:blip r:embed="rId57"/>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0"/>
    <w:bookmarkStart w:id="64"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2" name="Picture"/>
            <a:graphic>
              <a:graphicData uri="http://schemas.openxmlformats.org/drawingml/2006/picture">
                <pic:pic>
                  <pic:nvPicPr>
                    <pic:cNvPr descr="短期模型残差诊断增强.png" id="63" name="Picture"/>
                    <pic:cNvPicPr>
                      <a:picLocks noChangeArrowheads="1" noChangeAspect="1"/>
                    </pic:cNvPicPr>
                  </pic:nvPicPr>
                  <pic:blipFill>
                    <a:blip r:embed="rId61"/>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4"/>
    <w:bookmarkStart w:id="65"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5"/>
    <w:bookmarkStart w:id="69"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7" name="Picture"/>
            <a:graphic>
              <a:graphicData uri="http://schemas.openxmlformats.org/drawingml/2006/picture">
                <pic:pic>
                  <pic:nvPicPr>
                    <pic:cNvPr descr="短期模型拐点局部检验.png" id="68" name="Picture"/>
                    <pic:cNvPicPr>
                      <a:picLocks noChangeArrowheads="1" noChangeAspect="1"/>
                    </pic:cNvPicPr>
                  </pic:nvPicPr>
                  <pic:blipFill>
                    <a:blip r:embed="rId66"/>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69"/>
    <w:bookmarkStart w:id="73"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1" name="Picture"/>
            <a:graphic>
              <a:graphicData uri="http://schemas.openxmlformats.org/drawingml/2006/picture">
                <pic:pic>
                  <pic:nvPicPr>
                    <pic:cNvPr descr="短期模型稳健性带.png" id="72" name="Picture"/>
                    <pic:cNvPicPr>
                      <a:picLocks noChangeArrowheads="1" noChangeAspect="1"/>
                    </pic:cNvPicPr>
                  </pic:nvPicPr>
                  <pic:blipFill>
                    <a:blip r:embed="rId7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3"/>
    <w:bookmarkStart w:id="74"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4"/>
    <w:bookmarkEnd w:id="75"/>
    <w:bookmarkStart w:id="84" w:name="天三情景预测"/>
    <w:p>
      <w:pPr>
        <w:pStyle w:val="Heading1"/>
      </w:pPr>
      <w:r>
        <w:t xml:space="preserve">60–180 </w:t>
      </w:r>
      <w:r>
        <w:rPr>
          <w:rFonts w:hint="eastAsia"/>
        </w:rPr>
        <w:t xml:space="preserve">天三情景预测</w:t>
      </w:r>
    </w:p>
    <w:bookmarkStart w:id="76"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长期三情景图中的单条曲线是条件中心路径，而不是对未来每日收盘价的精确点预测。其形状较平滑，是因为模型刻画的是供应恢复、SPR</w:t>
      </w:r>
      <w:r>
        <w:t xml:space="preserve"> </w:t>
      </w:r>
      <w:r>
        <w:rPr>
          <w:rFonts w:hint="eastAsia"/>
        </w:rPr>
        <w:t xml:space="preserve">收缩、需求弹性调整和风险溢价衰减等慢变量；真实市场中的新闻冲击、风险偏好变化和短期波动会使实际价格围绕中心路径震荡。因此，本文不以中性线是否逐日命中未来价格作为长期模型质量标准，而以机制合理性、官方外生数据审计、敏感性分析和蒙特卡洛概率区间共同评价长期预测可信度。</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时，过剩供给通过较弱的折价项向下拉动目标价格。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6"/>
    <w:bookmarkStart w:id="8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95.73</w:t>
            </w:r>
          </w:p>
        </w:tc>
        <w:tc>
          <w:tcPr/>
          <w:p>
            <w:pPr>
              <w:pStyle w:val="Compact"/>
              <w:jc w:val="right"/>
            </w:pPr>
            <w:r>
              <w:t xml:space="preserve">94.78</w:t>
            </w:r>
          </w:p>
        </w:tc>
        <w:tc>
          <w:tcPr/>
          <w:p>
            <w:pPr>
              <w:pStyle w:val="Compact"/>
              <w:jc w:val="right"/>
            </w:pPr>
            <w:r>
              <w:t xml:space="preserve">91.24</w:t>
            </w:r>
          </w:p>
        </w:tc>
        <w:tc>
          <w:tcPr/>
          <w:p>
            <w:pPr>
              <w:pStyle w:val="Compact"/>
              <w:jc w:val="right"/>
            </w:pPr>
            <w:r>
              <w:t xml:space="preserve">104.16</w:t>
            </w:r>
          </w:p>
        </w:tc>
        <w:tc>
          <w:tcPr/>
          <w:p>
            <w:pPr>
              <w:pStyle w:val="Compact"/>
              <w:jc w:val="right"/>
            </w:pPr>
            <w:r>
              <w:t xml:space="preserve">94.31</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107.55</w:t>
            </w:r>
          </w:p>
        </w:tc>
        <w:tc>
          <w:tcPr/>
          <w:p>
            <w:pPr>
              <w:pStyle w:val="Compact"/>
              <w:jc w:val="right"/>
            </w:pPr>
            <w:r>
              <w:t xml:space="preserve">104.33</w:t>
            </w:r>
          </w:p>
        </w:tc>
        <w:tc>
          <w:tcPr/>
          <w:p>
            <w:pPr>
              <w:pStyle w:val="Compact"/>
              <w:jc w:val="right"/>
            </w:pPr>
            <w:r>
              <w:t xml:space="preserve">98.61</w:t>
            </w:r>
          </w:p>
        </w:tc>
        <w:tc>
          <w:tcPr/>
          <w:p>
            <w:pPr>
              <w:pStyle w:val="Compact"/>
              <w:jc w:val="right"/>
            </w:pPr>
            <w:r>
              <w:t xml:space="preserve">110.35</w:t>
            </w:r>
          </w:p>
        </w:tc>
        <w:tc>
          <w:tcPr/>
          <w:p>
            <w:pPr>
              <w:pStyle w:val="Compact"/>
              <w:jc w:val="right"/>
            </w:pPr>
            <w:r>
              <w:t xml:space="preserve">104.22</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126.63</w:t>
            </w:r>
          </w:p>
        </w:tc>
        <w:tc>
          <w:tcPr/>
          <w:p>
            <w:pPr>
              <w:pStyle w:val="Compact"/>
              <w:jc w:val="right"/>
            </w:pPr>
            <w:r>
              <w:t xml:space="preserve">119.75</w:t>
            </w:r>
          </w:p>
        </w:tc>
        <w:tc>
          <w:tcPr/>
          <w:p>
            <w:pPr>
              <w:pStyle w:val="Compact"/>
              <w:jc w:val="right"/>
            </w:pPr>
            <w:r>
              <w:t xml:space="preserve">114.49</w:t>
            </w:r>
          </w:p>
        </w:tc>
        <w:tc>
          <w:tcPr/>
          <w:p>
            <w:pPr>
              <w:pStyle w:val="Compact"/>
              <w:jc w:val="right"/>
            </w:pPr>
            <w:r>
              <w:t xml:space="preserve">131.22</w:t>
            </w:r>
          </w:p>
        </w:tc>
        <w:tc>
          <w:tcPr/>
          <w:p>
            <w:pPr>
              <w:pStyle w:val="Compact"/>
              <w:jc w:val="right"/>
            </w:pPr>
            <w:r>
              <w:t xml:space="preserve">121.05</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8" name="Picture"/>
            <a:graphic>
              <a:graphicData uri="http://schemas.openxmlformats.org/drawingml/2006/picture">
                <pic:pic>
                  <pic:nvPicPr>
                    <pic:cNvPr descr="短期拟合与长期预测总览.png" id="79" name="Picture"/>
                    <pic:cNvPicPr>
                      <a:picLocks noChangeArrowheads="1" noChangeAspect="1"/>
                    </pic:cNvPicPr>
                  </pic:nvPicPr>
                  <pic:blipFill>
                    <a:blip r:embed="rId77"/>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98.61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131.22 </w:t>
      </w:r>
      <w:r>
        <w:rPr>
          <w:rFonts w:hint="eastAsia"/>
        </w:rPr>
        <w:t xml:space="preserve">美元/桶的高点。</w:t>
      </w:r>
    </w:p>
    <w:p>
      <w:pPr>
        <w:pStyle w:val="BodyText"/>
      </w:pPr>
      <w:r>
        <w:rPr>
          <w:rFonts w:hint="eastAsia"/>
        </w:rPr>
        <w:t xml:space="preserve">从价格平衡点看，乐观情景最终回落至约</w:t>
      </w:r>
      <w:r>
        <w:t xml:space="preserve"> 91.24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98.61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释放已经从计划上限自动收缩，说明价格回落不是依赖政策变量机械满额托底。悲观情景第</w:t>
      </w:r>
      <w:r>
        <w:t xml:space="preserve"> 180 </w:t>
      </w:r>
      <w:r>
        <w:rPr>
          <w:rFonts w:hint="eastAsia"/>
        </w:rPr>
        <w:t xml:space="preserve">天仍为</w:t>
      </w:r>
      <w:r>
        <w:t xml:space="preserve"> 114.49 </w:t>
      </w:r>
      <w:r>
        <w:rPr>
          <w:rFonts w:hint="eastAsia"/>
        </w:rPr>
        <w:t xml:space="preserve">美元/桶，说明若供应中断规模接近上界、SPR</w:t>
      </w:r>
      <w:r>
        <w:t xml:space="preserve"> </w:t>
      </w:r>
      <w:r>
        <w:rPr>
          <w:rFonts w:hint="eastAsia"/>
        </w:rPr>
        <w:t xml:space="preserve">释放不足且制度风险溢价持续，市场可能长期停留在高位平台，并保留二次跳涨尾部风险。</w:t>
      </w:r>
    </w:p>
    <w:p>
      <w:pPr>
        <w:pStyle w:val="CaptionedFigure"/>
      </w:pPr>
      <w:r>
        <w:drawing>
          <wp:inline>
            <wp:extent cx="4907280" cy="3413760"/>
            <wp:effectExtent b="0" l="0" r="0" t="0"/>
            <wp:docPr descr="" title="" id="81" name="Picture"/>
            <a:graphic>
              <a:graphicData uri="http://schemas.openxmlformats.org/drawingml/2006/picture">
                <pic:pic>
                  <pic:nvPicPr>
                    <pic:cNvPr descr="inventory_depletion_risk.png" id="82" name="Picture"/>
                    <pic:cNvPicPr>
                      <a:picLocks noChangeArrowheads="1" noChangeAspect="1"/>
                    </pic:cNvPicPr>
                  </pic:nvPicPr>
                  <pic:blipFill>
                    <a:blip r:embed="rId8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3"/>
    <w:bookmarkEnd w:id="84"/>
    <w:bookmarkStart w:id="97" w:name="敏感性分析"/>
    <w:p>
      <w:pPr>
        <w:pStyle w:val="Heading1"/>
      </w:pPr>
      <w:r>
        <w:rPr>
          <w:rFonts w:hint="eastAsia"/>
        </w:rPr>
        <w:t xml:space="preserve">敏感性分析</w:t>
      </w:r>
    </w:p>
    <w:bookmarkStart w:id="85"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5"/>
    <w:bookmarkStart w:id="89"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不确定性与制度风险强度</w:t>
            </w:r>
          </w:p>
        </w:tc>
        <w:tc>
          <w:tcPr/>
          <w:p>
            <w:pPr>
              <w:pStyle w:val="Compact"/>
              <w:jc w:val="right"/>
            </w:pPr>
            <w:r>
              <w:t xml:space="preserve">15.09</w:t>
            </w:r>
          </w:p>
        </w:tc>
        <w:tc>
          <w:tcPr/>
          <w:p>
            <w:pPr>
              <w:pStyle w:val="Compact"/>
              <w:jc w:val="right"/>
            </w:pPr>
            <w:r>
              <w:t xml:space="preserve">9.73</w:t>
            </w:r>
          </w:p>
        </w:tc>
        <w:tc>
          <w:tcPr/>
          <w:p>
            <w:pPr>
              <w:pStyle w:val="Compact"/>
              <w:jc w:val="right"/>
            </w:pPr>
            <w:r>
              <w:t xml:space="preserve">11.91</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11.49</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5.72</w:t>
            </w:r>
          </w:p>
        </w:tc>
        <w:tc>
          <w:tcPr/>
          <w:p>
            <w:pPr>
              <w:pStyle w:val="Compact"/>
              <w:jc w:val="right"/>
            </w:pPr>
            <w:r>
              <w:t xml:space="preserve">3.03</w:t>
            </w:r>
          </w:p>
        </w:tc>
        <w:tc>
          <w:tcPr/>
          <w:p>
            <w:pPr>
              <w:pStyle w:val="Compact"/>
              <w:jc w:val="right"/>
            </w:pPr>
            <w:r>
              <w:t xml:space="preserve">5.96</w:t>
            </w:r>
          </w:p>
        </w:tc>
      </w:tr>
      <w:tr>
        <w:tc>
          <w:tcPr/>
          <w:p>
            <w:pPr>
              <w:pStyle w:val="Compact"/>
              <w:jc w:val="right"/>
            </w:pPr>
            <w:r>
              <w:t xml:space="preserve">4</w:t>
            </w:r>
          </w:p>
        </w:tc>
        <w:tc>
          <w:tcPr/>
          <w:p>
            <w:pPr>
              <w:pStyle w:val="Compact"/>
              <w:jc w:val="left"/>
            </w:pPr>
            <w:r>
              <w:rPr>
                <w:rFonts w:hint="eastAsia"/>
              </w:rPr>
              <w:t xml:space="preserve">长期需求弹性</w:t>
            </w:r>
          </w:p>
        </w:tc>
        <w:tc>
          <w:tcPr/>
          <w:p>
            <w:pPr>
              <w:pStyle w:val="Compact"/>
              <w:jc w:val="right"/>
            </w:pPr>
            <w:r>
              <w:t xml:space="preserve">3.70</w:t>
            </w:r>
          </w:p>
        </w:tc>
        <w:tc>
          <w:tcPr/>
          <w:p>
            <w:pPr>
              <w:pStyle w:val="Compact"/>
              <w:jc w:val="right"/>
            </w:pPr>
            <w:r>
              <w:t xml:space="preserve">3.36</w:t>
            </w:r>
          </w:p>
        </w:tc>
        <w:tc>
          <w:tcPr/>
          <w:p>
            <w:pPr>
              <w:pStyle w:val="Compact"/>
              <w:jc w:val="right"/>
            </w:pPr>
            <w:r>
              <w:t xml:space="preserve">0.75</w:t>
            </w:r>
          </w:p>
        </w:tc>
      </w:tr>
      <w:tr>
        <w:tc>
          <w:tcPr/>
          <w:p>
            <w:pPr>
              <w:pStyle w:val="Compact"/>
              <w:jc w:val="right"/>
            </w:pPr>
            <w:r>
              <w:t xml:space="preserve">5</w:t>
            </w:r>
          </w:p>
        </w:tc>
        <w:tc>
          <w:tcPr/>
          <w:p>
            <w:pPr>
              <w:pStyle w:val="Compact"/>
              <w:jc w:val="left"/>
            </w:pPr>
            <w:r>
              <w:rPr>
                <w:rFonts w:hint="eastAsia"/>
              </w:rPr>
              <w:t xml:space="preserve">绕道运输能力</w:t>
            </w:r>
          </w:p>
        </w:tc>
        <w:tc>
          <w:tcPr/>
          <w:p>
            <w:pPr>
              <w:pStyle w:val="Compact"/>
              <w:jc w:val="right"/>
            </w:pPr>
            <w:r>
              <w:t xml:space="preserve">0.75</w:t>
            </w:r>
          </w:p>
        </w:tc>
        <w:tc>
          <w:tcPr/>
          <w:p>
            <w:pPr>
              <w:pStyle w:val="Compact"/>
              <w:jc w:val="right"/>
            </w:pPr>
            <w:r>
              <w:t xml:space="preserve">0.48</w:t>
            </w:r>
          </w:p>
        </w:tc>
        <w:tc>
          <w:tcPr/>
          <w:p>
            <w:pPr>
              <w:pStyle w:val="Compact"/>
              <w:jc w:val="right"/>
            </w:pPr>
            <w:r>
              <w:t xml:space="preserve">0.61</w:t>
            </w:r>
          </w:p>
        </w:tc>
      </w:tr>
      <w:tr>
        <w:tc>
          <w:tcPr/>
          <w:p>
            <w:pPr>
              <w:pStyle w:val="Compact"/>
              <w:jc w:val="right"/>
            </w:pPr>
            <w:r>
              <w:t xml:space="preserve">6</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0.05</w:t>
            </w:r>
          </w:p>
        </w:tc>
        <w:tc>
          <w:tcPr/>
          <w:p>
            <w:pPr>
              <w:pStyle w:val="Compact"/>
              <w:jc w:val="right"/>
            </w:pPr>
            <w:r>
              <w:t xml:space="preserve">0.41</w:t>
            </w:r>
          </w:p>
        </w:tc>
      </w:tr>
      <w:tr>
        <w:tc>
          <w:tcPr/>
          <w:p>
            <w:pPr>
              <w:pStyle w:val="Compact"/>
              <w:jc w:val="right"/>
            </w:pPr>
            <w:r>
              <w:t xml:space="preserve">7</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8</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9</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87" name="Picture"/>
            <a:graphic>
              <a:graphicData uri="http://schemas.openxmlformats.org/drawingml/2006/picture">
                <pic:pic>
                  <pic:nvPicPr>
                    <pic:cNvPr descr="sensitivity_tornado_180day.png" id="88" name="Picture"/>
                    <pic:cNvPicPr>
                      <a:picLocks noChangeArrowheads="1" noChangeAspect="1"/>
                    </pic:cNvPicPr>
                  </pic:nvPicPr>
                  <pic:blipFill>
                    <a:blip r:embed="rId8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与制度风险强度和地缘风险权重；供应中断量决定价格上行压力的物理底座。长期需求弹性在新的自适应外推中也具有较高影响，因为它决定高价持续后需求侧能否真正完成再平衡。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89"/>
    <w:bookmarkStart w:id="96" w:name="蒙特卡洛情景树"/>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释放不足、绕道运输恢复慢、长期需求弹性偏低、制度风险溢价偏高等因素可能共同出现。因此，本文进一步建立蒙特卡洛情景树，在赛题边界和阶段</w:t>
      </w:r>
      <w:r>
        <w:t xml:space="preserve"> 6 </w:t>
      </w:r>
      <w:r>
        <w:rPr>
          <w:rFonts w:hint="eastAsia"/>
        </w:rPr>
        <w:t xml:space="preserve">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8.0%</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0.5%</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0.0%</w:t>
            </w:r>
          </w:p>
        </w:tc>
      </w:tr>
      <w:tr>
        <w:tc>
          <w:tcPr/>
          <w:p>
            <w:pPr>
              <w:pStyle w:val="Compact"/>
              <w:jc w:val="left"/>
            </w:pPr>
            <w:r>
              <w:rPr>
                <w:rFonts w:hint="eastAsia"/>
              </w:rPr>
              <w:t xml:space="preserve">二次跳涨风险为高概率</w:t>
            </w:r>
          </w:p>
        </w:tc>
        <w:tc>
          <w:tcPr/>
          <w:p>
            <w:pPr>
              <w:pStyle w:val="Compact"/>
              <w:jc w:val="right"/>
            </w:pPr>
            <w:r>
              <w:t xml:space="preserve">2.4%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91.67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98.84</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108.31</w:t>
            </w:r>
          </w:p>
        </w:tc>
      </w:tr>
      <w:tr>
        <w:tc>
          <w:tcPr/>
          <w:p>
            <w:pPr>
              <w:pStyle w:val="Compact"/>
              <w:jc w:val="left"/>
            </w:pPr>
            <w:r>
              <w:rPr>
                <w:rFonts w:hint="eastAsia"/>
              </w:rPr>
              <w:t xml:space="preserve">外推期最高价</w:t>
            </w:r>
            <w:r>
              <w:t xml:space="preserve"> P95</w:t>
            </w:r>
          </w:p>
        </w:tc>
        <w:tc>
          <w:tcPr/>
          <w:p>
            <w:pPr>
              <w:pStyle w:val="Compact"/>
              <w:jc w:val="right"/>
            </w:pPr>
            <w:r>
              <w:t xml:space="preserve">122.37</w:t>
            </w:r>
          </w:p>
        </w:tc>
      </w:tr>
    </w:tbl>
    <w:p>
      <w:pPr>
        <w:pStyle w:val="CaptionedFigure"/>
      </w:pPr>
      <w:r>
        <w:drawing>
          <wp:inline>
            <wp:extent cx="5013960" cy="2790377"/>
            <wp:effectExtent b="0" l="0" r="0" t="0"/>
            <wp:docPr descr="" title="" id="91" name="Picture"/>
            <a:graphic>
              <a:graphicData uri="http://schemas.openxmlformats.org/drawingml/2006/picture">
                <pic:pic>
                  <pic:nvPicPr>
                    <pic:cNvPr descr="monte_carlo_price_fan.png" id="92" name="Picture"/>
                    <pic:cNvPicPr>
                      <a:picLocks noChangeArrowheads="1" noChangeAspect="1"/>
                    </pic:cNvPicPr>
                  </pic:nvPicPr>
                  <pic:blipFill>
                    <a:blip r:embed="rId90"/>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蒙特卡洛情景树价格扇形区间。深色区间为</w:t>
      </w:r>
      <w:r>
        <w:t xml:space="preserve"> </w:t>
      </w:r>
      <w:r>
        <w:rPr>
          <w:rFonts w:hint="eastAsia"/>
        </w:rPr>
        <w:t xml:space="preserve">25%–75%，浅色区间为</w:t>
      </w:r>
      <w:r>
        <w:t xml:space="preserve"> 5%–95%。</w:t>
      </w:r>
    </w:p>
    <w:p>
      <w:pPr>
        <w:pStyle w:val="CaptionedFigure"/>
      </w:pPr>
      <w:r>
        <w:drawing>
          <wp:inline>
            <wp:extent cx="4160520" cy="2352876"/>
            <wp:effectExtent b="0" l="0" r="0" t="0"/>
            <wp:docPr descr="" title="" id="94" name="Picture"/>
            <a:graphic>
              <a:graphicData uri="http://schemas.openxmlformats.org/drawingml/2006/picture">
                <pic:pic>
                  <pic:nvPicPr>
                    <pic:cNvPr descr="monte_carlo_tail_risk.png" id="95" name="Picture"/>
                    <pic:cNvPicPr>
                      <a:picLocks noChangeArrowheads="1" noChangeAspect="1"/>
                    </pic:cNvPicPr>
                  </pic:nvPicPr>
                  <pic:blipFill>
                    <a:blip r:embed="rId93"/>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98.84 </w:t>
      </w:r>
      <w:r>
        <w:rPr>
          <w:rFonts w:hint="eastAsia"/>
        </w:rPr>
        <w:t xml:space="preserve">美元/桶，与阶段</w:t>
      </w:r>
      <w:r>
        <w:t xml:space="preserve"> 5 </w:t>
      </w:r>
      <w:r>
        <w:rPr>
          <w:rFonts w:hint="eastAsia"/>
        </w:rPr>
        <w:t xml:space="preserve">中性情景的</w:t>
      </w:r>
      <w:r>
        <w:t xml:space="preserve"> 98.61 </w:t>
      </w:r>
      <w:r>
        <w:rPr>
          <w:rFonts w:hint="eastAsia"/>
        </w:rPr>
        <w:t xml:space="preserve">美元/桶高度接近，说明中性路径不是孤立的单点调参结果。与此同时，外推期最高价突破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8.0%，且高压尾部路径中突破</w:t>
      </w:r>
      <w:r>
        <w:t xml:space="preserve"> 120 </w:t>
      </w:r>
      <w:r>
        <w:rPr>
          <w:rFonts w:hint="eastAsia"/>
        </w:rPr>
        <w:t xml:space="preserve">美元/桶的概率达到</w:t>
      </w:r>
      <w:r>
        <w:t xml:space="preserve"> </w:t>
      </w:r>
      <w:r>
        <w:rPr>
          <w:rFonts w:hint="eastAsia"/>
        </w:rPr>
        <w:t xml:space="preserve">36.6%。这说明长期风险的重点不是中性点预测本身，而是多因素联动恶化下的尾部组合风险。</w:t>
      </w:r>
    </w:p>
    <w:bookmarkEnd w:id="96"/>
    <w:bookmarkEnd w:id="97"/>
    <w:bookmarkStart w:id="101" w:name="模型评价"/>
    <w:p>
      <w:pPr>
        <w:pStyle w:val="Heading1"/>
      </w:pPr>
      <w:r>
        <w:rPr>
          <w:rFonts w:hint="eastAsia"/>
        </w:rPr>
        <w:t xml:space="preserve">模型评价</w:t>
      </w:r>
    </w:p>
    <w:bookmarkStart w:id="98"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98"/>
    <w:bookmarkStart w:id="99"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SPR、商业库存和原油产量周度数据作为外部审计，但尚未自动接入</w:t>
      </w:r>
      <w:r>
        <w:t xml:space="preserve"> IEA/OPEC </w:t>
      </w:r>
      <w:r>
        <w:rPr>
          <w:rFonts w:hint="eastAsia"/>
        </w:rPr>
        <w:t xml:space="preserve">全球口径的完整供需平衡表；地缘风险、不确定性与制度风险、预期修复仍以参数化方式刻画，未引入期权隐含波动率或新闻情绪等高频外生变量。</w:t>
      </w:r>
    </w:p>
    <w:p>
      <w:pPr>
        <w:numPr>
          <w:ilvl w:val="0"/>
          <w:numId w:val="1006"/>
        </w:numPr>
      </w:pPr>
      <w:r>
        <w:rPr>
          <w:rFonts w:hint="eastAsia"/>
        </w:rPr>
        <w:t xml:space="preserve">蒙特卡洛情景树已经刻画了部分参数联动风险，但其联合分布仍来自模型设定而非外部历史频率估计，因此尾部概率应解释为条件概率而非真实市场概率。</w:t>
      </w:r>
    </w:p>
    <w:bookmarkEnd w:id="99"/>
    <w:bookmarkStart w:id="100"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周度数据审计基础上，继续接入</w:t>
      </w:r>
      <w:r>
        <w:t xml:space="preserve"> IEA </w:t>
      </w:r>
      <w:r>
        <w:rPr>
          <w:rFonts w:hint="eastAsia"/>
        </w:rPr>
        <w:t xml:space="preserve">或</w:t>
      </w:r>
      <w:r>
        <w:t xml:space="preserve"> OPEC </w:t>
      </w:r>
      <w:r>
        <w:rPr>
          <w:rFonts w:hint="eastAsia"/>
        </w:rPr>
        <w:t xml:space="preserve">全球口径供需平衡表，对长期供给恢复路径进行更客观的外生约束；第二，在严格避免同日反馈循环的前提下，引入滞后新闻情绪、期权隐含波动率或地缘风险指数，增强风险溢价的外生解释力；第三，将当前蒙特卡洛联合扰动进一步扩展为带状态转移概率的情景树，使冲突缓和、维持和升级三类状态可以随时间动态切换。</w:t>
      </w:r>
    </w:p>
    <w:bookmarkEnd w:id="100"/>
    <w:bookmarkEnd w:id="101"/>
    <w:bookmarkStart w:id="102"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美元/桶，并存在较高二次跳涨风险。</w:t>
      </w:r>
    </w:p>
    <w:p>
      <w:pPr>
        <w:numPr>
          <w:ilvl w:val="0"/>
          <w:numId w:val="1007"/>
        </w:numPr>
      </w:pPr>
      <w:r>
        <w:rPr>
          <w:rFonts w:hint="eastAsia"/>
        </w:rPr>
        <w:t xml:space="preserve">敏感性分析显示，不确定性与制度风险强度、地缘风险权重和供应中断量是最关键影响因素；SPR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91.67–108.31 </w:t>
      </w:r>
      <w:r>
        <w:rPr>
          <w:rFonts w:hint="eastAsia"/>
        </w:rPr>
        <w:t xml:space="preserve">美元/桶，外推期最高价突破</w:t>
      </w:r>
      <w:r>
        <w:t xml:space="preserve"> 120 </w:t>
      </w:r>
      <w:r>
        <w:rPr>
          <w:rFonts w:hint="eastAsia"/>
        </w:rPr>
        <w:t xml:space="preserve">美元/桶的概率约为</w:t>
      </w:r>
      <w:r>
        <w:t xml:space="preserve"> </w:t>
      </w:r>
      <w:r>
        <w:rPr>
          <w:rFonts w:hint="eastAsia"/>
        </w:rPr>
        <w:t xml:space="preserve">8.0%，尾部风险主要来自多因素同时恶化。</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bookmarkEnd w:id="102"/>
    <w:bookmarkStart w:id="103"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103"/>
    <w:bookmarkStart w:id="106"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U.S. Energy Information Administration. World Oil Transit Chokepoints.</w:t>
      </w:r>
      <w:r>
        <w:t xml:space="preserve"> </w:t>
      </w:r>
      <w:hyperlink r:id="rId104">
        <w:r>
          <w:rPr>
            <w:rStyle w:val="Hyperlink"/>
          </w:rPr>
          <w:t xml:space="preserve">EIA special topic page</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05">
        <w:r>
          <w:rPr>
            <w:rStyle w:val="Hyperlink"/>
          </w:rPr>
          <w:t xml:space="preserve">EIA petroleum weekly data</w:t>
        </w:r>
      </w:hyperlink>
      <w:r>
        <w:t xml:space="preserve">.</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8" Target="media/rId18.png" /><Relationship Type="http://schemas.openxmlformats.org/officeDocument/2006/relationships/image" Id="rId80" Target="media/rId80.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47" Target="media/rId47.png" /><Relationship Type="http://schemas.openxmlformats.org/officeDocument/2006/relationships/image" Id="rId66" Target="media/rId66.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61" Target="media/rId61.png"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57" Target="media/rId57.png" /><Relationship Type="http://schemas.openxmlformats.org/officeDocument/2006/relationships/image" Id="rId10" Target="media/rId10.png" /><Relationship Type="http://schemas.openxmlformats.org/officeDocument/2006/relationships/hyperlink" Id="rId105" Target="https://www.eia.gov/dnav/pet/pet_sum_sndw_dcus_nus_w.htm" TargetMode="External" /><Relationship Type="http://schemas.openxmlformats.org/officeDocument/2006/relationships/hyperlink" Id="rId104"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105" Target="https://www.eia.gov/dnav/pet/pet_sum_sndw_dcus_nus_w.htm" TargetMode="External" /><Relationship Type="http://schemas.openxmlformats.org/officeDocument/2006/relationships/hyperlink" Id="rId104"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2026-05-11T14:25:53Z</dcterms:created>
  <dcterms:modified xsi:type="dcterms:W3CDTF">2026-05-11T14:25:53Z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