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png" ContentType="image/png"/>
  <Override PartName="/word/media/rId182.png" ContentType="image/png"/>
  <Override PartName="/word/media/rId94.png" ContentType="image/png"/>
  <Override PartName="/word/media/rId164.png" ContentType="image/png"/>
  <Override PartName="/word/media/rId38.png" ContentType="image/png"/>
  <Override PartName="/word/media/rId156.png" ContentType="image/png"/>
  <Override PartName="/word/media/rId50.png" ContentType="image/png"/>
  <Override PartName="/word/media/rId24.png" ContentType="image/png"/>
  <Override PartName="/word/media/rId153.png" ContentType="image/png"/>
  <Override PartName="/word/media/rId179.png" ContentType="image/png"/>
  <Override PartName="/word/media/rId144.png" ContentType="image/png"/>
  <Override PartName="/word/media/rId168.png" ContentType="image/png"/>
  <Override PartName="/word/media/rId21.png" ContentType="image/png"/>
  <Override PartName="/word/media/rId28.png" ContentType="image/png"/>
  <Override PartName="/word/media/rId138.png" ContentType="image/png"/>
  <Override PartName="/word/media/rId171.png" ContentType="image/png"/>
  <Override PartName="/word/media/rId100.png" ContentType="image/png"/>
  <Override PartName="/word/media/rId130.png" ContentType="image/png"/>
  <Override PartName="/word/media/rId67.png" ContentType="image/png"/>
  <Override PartName="/word/media/rId105.png" ContentType="image/png"/>
  <Override PartName="/word/media/rId55.png" ContentType="image/png"/>
  <Override PartName="/word/media/rId87.png" ContentType="image/png"/>
  <Override PartName="/word/media/rId112.png" ContentType="image/png"/>
  <Override PartName="/word/media/rId59.png" ContentType="image/png"/>
  <Override PartName="/word/media/rId79.png" ContentType="image/png"/>
  <Override PartName="/word/media/rId70.png" ContentType="image/png"/>
  <Override PartName="/word/media/rId109.png" ContentType="image/png"/>
  <Override PartName="/word/media/rId91.png" ContentType="image/png"/>
  <Override PartName="/word/media/rId75.png" ContentType="image/png"/>
  <Override PartName="/word/media/rId82.png" ContentType="image/png"/>
  <Override PartName="/word/media/rId43.png" ContentType="image/png"/>
  <Override PartName="/word/media/rId160.png" ContentType="image/png"/>
  <Override PartName="/word/media/rId126.png" ContentType="image/png"/>
  <Override PartName="/word/media/rId10.png" ContentType="image/png"/>
  <Override PartName="/word/media/rId64.png" ContentType="image/png"/>
  <Override PartName="/word/media/rId148.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20"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b/>
          <w:bCs/>
        </w:rPr>
        <w:t xml:space="preserve">关键结论</w:t>
      </w:r>
      <w:r>
        <w:rPr>
          <w:rFonts w:hint="eastAsia"/>
        </w:rPr>
        <w:t xml:space="preserve">如图</w:t>
      </w:r>
      <w:r>
        <w:t xml:space="preserve"> </w:t>
      </w:r>
      <w:hyperlink w:anchor="fig:paper-roadmap">
        <w:r>
          <w:rPr>
            <w:rStyle w:val="Hyperlink"/>
          </w:rPr>
          <w:t xml:space="preserve">1</w:t>
        </w:r>
      </w:hyperlink>
      <w:r>
        <w:t xml:space="preserve"> </w:t>
      </w:r>
      <w:r>
        <w:rPr>
          <w:rFonts w:hint="eastAsia"/>
        </w:rPr>
        <w:t xml:space="preserve">所示，本文不是把若干模型简单堆叠，而是用传统供需模型给出反事实压力，用综合机制递推模型解释短期平台，再用情景预测和敏感性分析刻画长期尾部风险。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工程化实现原则"/>
    <w:p>
      <w:pPr>
        <w:pStyle w:val="Heading2"/>
      </w:pPr>
      <w:r>
        <w:rPr>
          <w:rFonts w:hint="eastAsia"/>
        </w:rPr>
        <w:t xml:space="preserve">工程化实现原则</w:t>
      </w:r>
    </w:p>
    <w:p>
      <w:pPr>
        <w:pStyle w:val="FirstParagraph"/>
      </w:pPr>
      <w:r>
        <w:rPr>
          <w:rFonts w:hint="eastAsia"/>
        </w:rPr>
        <w:t xml:space="preserve">本文没有把工程实现作为独立炫技项，而是将其转化为建模可信度的一部分：数据处理保证口径可追溯，仿真程序保证模型可复现，图表系统保证论证过程可检查。具体而言，本文所有清洗数据、外部校验数据、参数校准结果、蒙特卡洛样本、敏感性结果、论文图表和最终</w:t>
      </w:r>
      <w:r>
        <w:t xml:space="preserve"> PDF/DOCX </w:t>
      </w:r>
      <w:r>
        <w:rPr>
          <w:rFonts w:hint="eastAsia"/>
        </w:rPr>
        <w:t xml:space="preserve">均由统一项目脚本生成；这使每一个结论都可以回溯到明确的数据文件、模型参数和图表来源。</w:t>
      </w:r>
    </w:p>
    <w:bookmarkStart w:id="15" w:name="tab:engineering-implementation"/>
    <w:p>
      <w:pPr>
        <w:pStyle w:val="TableCaption"/>
      </w:pPr>
      <w:r>
        <w:rPr>
          <w:rFonts w:hint="eastAsia"/>
        </w:rPr>
        <w:t xml:space="preserve">工程能力在本文中的建模落点</w:t>
      </w:r>
    </w:p>
    <w:tbl>
      <w:tblPr>
        <w:tblStyle w:val="Table"/>
        <w:tblW w:type="auto" w:w="0"/>
        <w:tblLook w:firstRow="1" w:lastRow="0" w:firstColumn="0" w:lastColumn="0" w:noHBand="0" w:noVBand="0" w:val="0020"/>
        <w:tblCaption w:val="工程能力在本文中的建模落点"/>
      </w:tblPr>
      <w:tblGrid>
        <w:gridCol w:w="2640"/>
        <w:gridCol w:w="2640"/>
        <w:gridCol w:w="2640"/>
      </w:tblGrid>
      <w:tr>
        <w:trPr>
          <w:tblHeader w:val="on"/>
        </w:trPr>
        <w:tc>
          <w:tcPr/>
          <w:p>
            <w:pPr>
              <w:pStyle w:val="Compact"/>
              <w:jc w:val="left"/>
            </w:pPr>
            <w:r>
              <w:rPr>
                <w:rFonts w:hint="eastAsia"/>
              </w:rPr>
              <w:t xml:space="preserve">能力维度</w:t>
            </w:r>
          </w:p>
        </w:tc>
        <w:tc>
          <w:tcPr/>
          <w:p>
            <w:pPr>
              <w:pStyle w:val="Compact"/>
              <w:jc w:val="left"/>
            </w:pPr>
            <w:r>
              <w:rPr>
                <w:rFonts w:hint="eastAsia"/>
              </w:rPr>
              <w:t xml:space="preserve">在本文中的落地方式</w:t>
            </w:r>
          </w:p>
        </w:tc>
        <w:tc>
          <w:tcPr/>
          <w:p>
            <w:pPr>
              <w:pStyle w:val="Compact"/>
              <w:jc w:val="left"/>
            </w:pPr>
            <w:r>
              <w:rPr>
                <w:rFonts w:hint="eastAsia"/>
              </w:rPr>
              <w:t xml:space="preserve">对建模质量的作用</w:t>
            </w:r>
          </w:p>
        </w:tc>
      </w:tr>
      <w:tr>
        <w:tc>
          <w:tcPr/>
          <w:p>
            <w:pPr>
              <w:pStyle w:val="Compact"/>
              <w:jc w:val="left"/>
            </w:pPr>
            <w:r>
              <w:rPr>
                <w:rFonts w:hint="eastAsia"/>
              </w:rPr>
              <w:t xml:space="preserve">数据处理能力</w:t>
            </w:r>
          </w:p>
        </w:tc>
        <w:tc>
          <w:tcPr/>
          <w:p>
            <w:pPr>
              <w:pStyle w:val="Compact"/>
              <w:jc w:val="left"/>
            </w:pPr>
            <w:r>
              <w:rPr>
                <w:rFonts w:hint="eastAsia"/>
              </w:rPr>
              <w:t xml:space="preserve">自动清洗附件价格序列，接入</w:t>
            </w:r>
            <w:r>
              <w:t xml:space="preserve"> EIA、JODI、OPEC、GPR、OVX </w:t>
            </w:r>
            <w:r>
              <w:rPr>
                <w:rFonts w:hint="eastAsia"/>
              </w:rPr>
              <w:t xml:space="preserve">等外部校验数据，并统一输出中文命名数据表。</w:t>
            </w:r>
          </w:p>
        </w:tc>
        <w:tc>
          <w:tcPr/>
          <w:p>
            <w:pPr>
              <w:pStyle w:val="Compact"/>
              <w:jc w:val="left"/>
            </w:pPr>
            <w:r>
              <w:rPr>
                <w:rFonts w:hint="eastAsia"/>
              </w:rPr>
              <w:t xml:space="preserve">避免手工处理误差，保证真实价格来自附件，外部数据只用于数量级校验与长期约束。</w:t>
            </w:r>
          </w:p>
        </w:tc>
      </w:tr>
      <w:tr>
        <w:tc>
          <w:tcPr/>
          <w:p>
            <w:pPr>
              <w:pStyle w:val="Compact"/>
              <w:jc w:val="left"/>
            </w:pPr>
            <w:r>
              <w:rPr>
                <w:rFonts w:hint="eastAsia"/>
              </w:rPr>
              <w:t xml:space="preserve">仿真与批量计算能力</w:t>
            </w:r>
          </w:p>
        </w:tc>
        <w:tc>
          <w:tcPr/>
          <w:p>
            <w:pPr>
              <w:pStyle w:val="Compact"/>
              <w:jc w:val="left"/>
            </w:pPr>
            <w:r>
              <w:rPr>
                <w:rFonts w:hint="eastAsia"/>
              </w:rPr>
              <w:t xml:space="preserve">使用程序完成多目标参数搜索、局部稳健性复核、机制消融、蒙特卡洛情景树和状态转移路径抽样。</w:t>
            </w:r>
          </w:p>
        </w:tc>
        <w:tc>
          <w:tcPr/>
          <w:p>
            <w:pPr>
              <w:pStyle w:val="Compact"/>
              <w:jc w:val="left"/>
            </w:pPr>
            <w:r>
              <w:rPr>
                <w:rFonts w:hint="eastAsia"/>
              </w:rPr>
              <w:t xml:space="preserve">将</w:t>
            </w:r>
            <w:r>
              <w:rPr>
                <w:rFonts w:hint="eastAsia"/>
              </w:rPr>
              <w:t xml:space="preserve">“参数是否偶然”</w:t>
            </w:r>
            <w:r>
              <w:rPr>
                <w:rFonts w:hint="eastAsia"/>
              </w:rPr>
              <w:t xml:space="preserve">“长期是否只是一条线”</w:t>
            </w:r>
            <w:r>
              <w:rPr>
                <w:rFonts w:hint="eastAsia"/>
              </w:rPr>
              <w:t xml:space="preserve">等问题转化为可重复的数值检验。</w:t>
            </w:r>
          </w:p>
        </w:tc>
      </w:tr>
      <w:tr>
        <w:tc>
          <w:tcPr/>
          <w:p>
            <w:pPr>
              <w:pStyle w:val="Compact"/>
              <w:jc w:val="left"/>
            </w:pPr>
            <w:r>
              <w:rPr>
                <w:rFonts w:hint="eastAsia"/>
              </w:rPr>
              <w:t xml:space="preserve">可视化与论文生成能力</w:t>
            </w:r>
          </w:p>
        </w:tc>
        <w:tc>
          <w:tcPr/>
          <w:p>
            <w:pPr>
              <w:pStyle w:val="Compact"/>
              <w:jc w:val="left"/>
            </w:pPr>
            <w:r>
              <w:rPr>
                <w:rFonts w:hint="eastAsia"/>
              </w:rPr>
              <w:t xml:space="preserve">由脚本统一生成拟合图、机制图、敏感性图、蒙特卡洛图、气泡图、热力图和最终论文文件。</w:t>
            </w:r>
          </w:p>
        </w:tc>
        <w:tc>
          <w:tcPr/>
          <w:p>
            <w:pPr>
              <w:pStyle w:val="Compact"/>
              <w:jc w:val="left"/>
            </w:pPr>
            <w:r>
              <w:rPr>
                <w:rFonts w:hint="eastAsia"/>
              </w:rPr>
              <w:t xml:space="preserve">让图表承担论证功能，而不是只做装饰；每张主图都对应一个评审可能追问的问题。</w:t>
            </w:r>
          </w:p>
        </w:tc>
      </w:tr>
    </w:tbl>
    <w:bookmarkEnd w:id="15"/>
    <w:p>
      <w:pPr>
        <w:pStyle w:val="BodyText"/>
      </w:pPr>
      <w:r>
        <w:rPr>
          <w:rFonts w:hint="eastAsia"/>
          <w:b/>
          <w:bCs/>
        </w:rPr>
        <w:t xml:space="preserve">关键结论</w:t>
      </w:r>
      <w:r>
        <w:rPr>
          <w:rFonts w:hint="eastAsia"/>
        </w:rPr>
        <w:t xml:space="preserve">本文的计算机实现优势不在于使用更多工具，而在于把数据、仿真和可视化组织成可追溯的证据链：每个模型结果都能从原始数据、参数文件和生成脚本中复现。</w:t>
      </w:r>
    </w:p>
    <w:bookmarkEnd w:id="16"/>
    <w:bookmarkStart w:id="18"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3</w:t>
        </w:r>
      </w:hyperlink>
      <w:r>
        <w:t xml:space="preserve">。</w:t>
      </w:r>
    </w:p>
    <w:bookmarkStart w:id="17"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7"/>
    <w:p>
      <w:pPr>
        <w:pStyle w:val="BodyText"/>
      </w:pPr>
      <w:r>
        <w:rPr>
          <w:rFonts w:hint="eastAsia"/>
          <w:b/>
          <w:bCs/>
        </w:rPr>
        <w:t xml:space="preserve">关键结论</w:t>
      </w:r>
      <w:r>
        <w:rPr>
          <w:rFonts w:hint="eastAsia"/>
        </w:rPr>
        <w:t xml:space="preserve">本文的识别逻辑是</w:t>
      </w:r>
      <w:r>
        <w:rPr>
          <w:rFonts w:hint="eastAsia"/>
        </w:rPr>
        <w:t xml:space="preserve">“反事实压力—机制缓冲—鲁棒性检验—条件外推”</w:t>
      </w:r>
      <w:r>
        <w:rPr>
          <w:rFonts w:hint="eastAsia"/>
        </w:rPr>
        <w:t xml:space="preserve">：先说明为什么会有高价压力，再说明哪些机制压低价格，并用基准、消融、敏感性和历史窗口检验排除单纯曲线拟合。</w:t>
      </w:r>
    </w:p>
    <w:bookmarkEnd w:id="18"/>
    <w:bookmarkStart w:id="19"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9"/>
    <w:bookmarkEnd w:id="20"/>
    <w:bookmarkStart w:id="32" w:name="数据处理与描述性分析"/>
    <w:p>
      <w:pPr>
        <w:pStyle w:val="Heading1"/>
      </w:pPr>
      <w:r>
        <w:rPr>
          <w:rFonts w:hint="eastAsia"/>
        </w:rPr>
        <w:t xml:space="preserve">数据处理与描述性分析</w:t>
      </w:r>
    </w:p>
    <w:bookmarkStart w:id="27"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BodyText"/>
      </w:pPr>
      <w:r>
        <w:rPr>
          <w:rFonts w:hint="eastAsia"/>
          <w:b/>
          <w:bCs/>
        </w:rPr>
        <w:t xml:space="preserve">关键结论</w:t>
      </w:r>
      <w:r>
        <w:rPr>
          <w:rFonts w:hint="eastAsia"/>
        </w:rPr>
        <w:t xml:space="preserve">数据使用遵循</w:t>
      </w:r>
      <w:r>
        <w:rPr>
          <w:rFonts w:hint="eastAsia"/>
        </w:rPr>
        <w:t xml:space="preserve">“附件真实价格为主、外部数据只做校验与长期约束”</w:t>
      </w:r>
      <w:r>
        <w:rPr>
          <w:rFonts w:hint="eastAsia"/>
        </w:rPr>
        <w:t xml:space="preserve">的原则。EIA</w:t>
      </w:r>
      <w:r>
        <w:t xml:space="preserve"> </w:t>
      </w:r>
      <w:r>
        <w:rPr>
          <w:rFonts w:hint="eastAsia"/>
        </w:rPr>
        <w:t xml:space="preserve">用于美国口径数量级校验，JODI</w:t>
      </w:r>
      <w:r>
        <w:t xml:space="preserve"> </w:t>
      </w:r>
      <w:r>
        <w:rPr>
          <w:rFonts w:hint="eastAsia"/>
        </w:rPr>
        <w:t xml:space="preserve">用于多国供需和库存约束，OPEC</w:t>
      </w:r>
      <w:r>
        <w:t xml:space="preserve"> </w:t>
      </w:r>
      <w:r>
        <w:rPr>
          <w:rFonts w:hint="eastAsia"/>
        </w:rPr>
        <w:t xml:space="preserve">用于全球供需平衡基线，GPR</w:t>
      </w:r>
      <w:r>
        <w:t xml:space="preserve"> </w:t>
      </w:r>
      <w:r>
        <w:rPr>
          <w:rFonts w:hint="eastAsia"/>
        </w:rPr>
        <w:t xml:space="preserve">用于地缘风险校验，OVX</w:t>
      </w:r>
      <w:r>
        <w:t xml:space="preserve"> </w:t>
      </w:r>
      <w:r>
        <w:rPr>
          <w:rFonts w:hint="eastAsia"/>
        </w:rPr>
        <w:t xml:space="preserve">用于市场隐含波动率约束；这些数据均不反向替代附件真实价格。</w:t>
      </w:r>
    </w:p>
    <w:p>
      <w:pPr>
        <w:pStyle w:val="CaptionedFigure"/>
      </w:pPr>
      <w:r>
        <w:drawing>
          <wp:inline>
            <wp:extent cx="4907280" cy="2453640"/>
            <wp:effectExtent b="0" l="0" r="0" t="0"/>
            <wp:docPr descr="" title="" id="22" name="Picture"/>
            <a:graphic>
              <a:graphicData uri="http://schemas.openxmlformats.org/drawingml/2006/picture">
                <pic:pic>
                  <pic:nvPicPr>
                    <pic:cNvPr descr="布伦特原油长期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5" name="Picture"/>
            <a:graphic>
              <a:graphicData uri="http://schemas.openxmlformats.org/drawingml/2006/picture">
                <pic:pic>
                  <pic:nvPicPr>
                    <pic:cNvPr descr="冲突窗口价格走势.png" id="26" name="Picture"/>
                    <pic:cNvPicPr>
                      <a:picLocks noChangeArrowheads="1" noChangeAspect="1"/>
                    </pic:cNvPicPr>
                  </pic:nvPicPr>
                  <pic:blipFill>
                    <a:blip r:embed="rId24"/>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7"/>
    <w:bookmarkStart w:id="31"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9" name="Picture"/>
            <a:graphic>
              <a:graphicData uri="http://schemas.openxmlformats.org/drawingml/2006/picture">
                <pic:pic>
                  <pic:nvPicPr>
                    <pic:cNvPr descr="布伦特收益率与波动率.png" id="30" name="Picture"/>
                    <pic:cNvPicPr>
                      <a:picLocks noChangeArrowheads="1" noChangeAspect="1"/>
                    </pic:cNvPicPr>
                  </pic:nvPicPr>
                  <pic:blipFill>
                    <a:blip r:embed="rId28"/>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31"/>
    <w:bookmarkEnd w:id="32"/>
    <w:bookmarkStart w:id="36" w:name="模型假设与符号说明"/>
    <w:p>
      <w:pPr>
        <w:pStyle w:val="Heading1"/>
      </w:pPr>
      <w:r>
        <w:rPr>
          <w:rFonts w:hint="eastAsia"/>
        </w:rPr>
        <w:t xml:space="preserve">模型假设与符号说明</w:t>
      </w:r>
    </w:p>
    <w:bookmarkStart w:id="33"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3"/>
    <w:bookmarkStart w:id="34"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4"/>
    <w:bookmarkStart w:id="35"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5"/>
    <w:bookmarkEnd w:id="36"/>
    <w:bookmarkStart w:id="42" w:name="传统供需基准模型"/>
    <w:p>
      <w:pPr>
        <w:pStyle w:val="Heading1"/>
      </w:pPr>
      <w:r>
        <w:rPr>
          <w:rFonts w:hint="eastAsia"/>
        </w:rPr>
        <w:t xml:space="preserve">传统供需基准模型</w:t>
      </w:r>
    </w:p>
    <w:bookmarkStart w:id="37"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7"/>
    <w:bookmarkStart w:id="41"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9" name="Picture"/>
            <a:graphic>
              <a:graphicData uri="http://schemas.openxmlformats.org/drawingml/2006/picture">
                <pic:pic>
                  <pic:nvPicPr>
                    <pic:cNvPr descr="传统供需基准与真实价格对比.png" id="40" name="Picture"/>
                    <pic:cNvPicPr>
                      <a:picLocks noChangeArrowheads="1" noChangeAspect="1"/>
                    </pic:cNvPicPr>
                  </pic:nvPicPr>
                  <pic:blipFill>
                    <a:blip r:embed="rId38"/>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41"/>
    <w:bookmarkEnd w:id="42"/>
    <w:bookmarkStart w:id="4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4" name="Picture"/>
            <a:graphic>
              <a:graphicData uri="http://schemas.openxmlformats.org/drawingml/2006/picture">
                <pic:pic>
                  <pic:nvPicPr>
                    <pic:cNvPr descr="综合机制递推模型结构图.png" id="45" name="Picture"/>
                    <pic:cNvPicPr>
                      <a:picLocks noChangeArrowheads="1" noChangeAspect="1"/>
                    </pic:cNvPicPr>
                  </pic:nvPicPr>
                  <pic:blipFill>
                    <a:blip r:embed="rId43"/>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p>
      <w:pPr>
        <w:pStyle w:val="BodyText"/>
      </w:pPr>
      <w:r>
        <w:rPr>
          <w:rFonts w:hint="eastAsia"/>
          <w:b/>
          <w:bCs/>
        </w:rPr>
        <w:t xml:space="preserve">关键结论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46"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短期价格形成反馈回路。蓝色方向表示冲击和风险溢价推高价格，绿色方向表示政策缓冲、绕道运输、需求收缩和预期修复压低价格。该图强调</w:t>
      </w:r>
      <w:r>
        <w:t xml:space="preserve"> 110–120 </w:t>
      </w:r>
      <w:r>
        <w:rPr>
          <w:rFonts w:hint="eastAsia"/>
        </w:rPr>
        <w:t xml:space="preserve">美元/桶平台是多重反馈共同作用的结果，而不是外生价格上限。</w:t>
      </w:r>
    </w:p>
    <w:bookmarkEnd w:id="46"/>
    <w:bookmarkStart w:id="4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7"/>
    <w:bookmarkStart w:id="4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1综合机制递推模型的日度更新流程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48"/>
    <w:bookmarkEnd w:id="49"/>
    <w:bookmarkStart w:id="121" w:name="参数校准与模型检验"/>
    <w:p>
      <w:pPr>
        <w:pStyle w:val="Heading1"/>
      </w:pPr>
      <w:r>
        <w:rPr>
          <w:rFonts w:hint="eastAsia"/>
        </w:rPr>
        <w:t xml:space="preserve">参数校准与模型检验</w:t>
      </w:r>
    </w:p>
    <w:bookmarkStart w:id="63" w:name="模型校准与拟合表现"/>
    <w:p>
      <w:pPr>
        <w:pStyle w:val="Heading2"/>
      </w:pPr>
      <w:r>
        <w:rPr>
          <w:rFonts w:hint="eastAsia"/>
        </w:rPr>
        <w:t xml:space="preserve">模型校准与拟合表现</w:t>
      </w:r>
    </w:p>
    <w:bookmarkStart w:id="54"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bookmarkStart w:id="53" w:name="fig:candidate-tradeoff-bubble"/>
    <w:p>
      <w:pPr>
        <w:pStyle w:val="CaptionedFigure"/>
      </w:pPr>
      <w:r>
        <w:drawing>
          <wp:inline>
            <wp:extent cx="4587240" cy="3077972"/>
            <wp:effectExtent b="0" l="0" r="0" t="0"/>
            <wp:docPr descr="" title="" id="51" name="Picture"/>
            <a:graphic>
              <a:graphicData uri="http://schemas.openxmlformats.org/drawingml/2006/picture">
                <pic:pic>
                  <pic:nvPicPr>
                    <pic:cNvPr descr="候选模型权衡气泡图.png" id="52" name="Picture"/>
                    <pic:cNvPicPr>
                      <a:picLocks noChangeArrowheads="1" noChangeAspect="1"/>
                    </pic:cNvPicPr>
                  </pic:nvPicPr>
                  <pic:blipFill>
                    <a:blip r:embed="rId50"/>
                    <a:stretch>
                      <a:fillRect/>
                    </a:stretch>
                  </pic:blipFill>
                  <pic:spPr bwMode="auto">
                    <a:xfrm>
                      <a:off x="0" y="0"/>
                      <a:ext cx="4587240" cy="3077972"/>
                    </a:xfrm>
                    <a:prstGeom prst="rect">
                      <a:avLst/>
                    </a:prstGeom>
                    <a:noFill/>
                    <a:ln w="9525">
                      <a:noFill/>
                      <a:headEnd/>
                      <a:tailEnd/>
                    </a:ln>
                  </pic:spPr>
                </pic:pic>
              </a:graphicData>
            </a:graphic>
          </wp:inline>
        </w:drawing>
      </w:r>
    </w:p>
    <w:p>
      <w:pPr>
        <w:pStyle w:val="ImageCaption"/>
      </w:pPr>
      <w:r>
        <w:rPr>
          <w:rFonts w:hint="eastAsia"/>
        </w:rPr>
        <w:t xml:space="preserve">短期候选模型的精度与平台解释权衡。横轴为整体</w:t>
      </w:r>
      <w:r>
        <w:t xml:space="preserve"> </w:t>
      </w:r>
      <w:r>
        <w:rPr>
          <w:rFonts w:hint="eastAsia"/>
        </w:rPr>
        <w:t xml:space="preserve">RMSE，纵轴为高价平台</w:t>
      </w:r>
      <w:r>
        <w:t xml:space="preserve"> </w:t>
      </w:r>
      <w:r>
        <w:rPr>
          <w:rFonts w:hint="eastAsia"/>
        </w:rPr>
        <w:t xml:space="preserve">RMSE，气泡大小表示低价回落段误差；理想候选位于左下角且气泡较小。该图说明本文选择的综合最优模型不是单纯追求某一项误差最低，而是在整体拟合、高价平台解释和低价回落刻画之间取得平衡。</w:t>
      </w:r>
    </w:p>
    <w:bookmarkEnd w:id="53"/>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54"/>
    <w:bookmarkStart w:id="62" w:name="拟合结果"/>
    <w:p>
      <w:pPr>
        <w:pStyle w:val="Heading3"/>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BodyText"/>
      </w:pPr>
      <w:r>
        <w:rPr>
          <w:rFonts w:hint="eastAsia"/>
          <w:b/>
          <w:bCs/>
        </w:rPr>
        <w:t xml:space="preserve">关键结论</w:t>
      </w:r>
      <w:r>
        <w:rPr>
          <w:rFonts w:hint="eastAsia"/>
        </w:rPr>
        <w:t xml:space="preserve">短期模型的核心价值不是声称逐日交易预测，而是在极端冲突窗口内同时解释前期冲击、中期平台和后期再定价，并且优于朴素上一日基准。</w:t>
      </w:r>
    </w:p>
    <w:bookmarkStart w:id="58" w:name="fig:short-term-fit"/>
    <w:p>
      <w:pPr>
        <w:pStyle w:val="CaptionedFigure"/>
      </w:pPr>
      <w:r>
        <w:drawing>
          <wp:inline>
            <wp:extent cx="4907280" cy="2587474"/>
            <wp:effectExtent b="0" l="0" r="0" t="0"/>
            <wp:docPr descr="" title="" id="56" name="Picture"/>
            <a:graphic>
              <a:graphicData uri="http://schemas.openxmlformats.org/drawingml/2006/picture">
                <pic:pic>
                  <pic:nvPicPr>
                    <pic:cNvPr descr="短期模型拟合效果.png" id="57" name="Picture"/>
                    <pic:cNvPicPr>
                      <a:picLocks noChangeArrowheads="1" noChangeAspect="1"/>
                    </pic:cNvPicPr>
                  </pic:nvPicPr>
                  <pic:blipFill>
                    <a:blip r:embed="rId5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8"/>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3.44 &amp; 2.85 &amp; 7.43</w:t>
      </w:r>
      <w:r>
        <w:br/>
      </w:r>
      <w:r>
        <w:rPr>
          <w:rFonts w:hint="eastAsia"/>
        </w:rPr>
        <w:t xml:space="preserve">前期冲击</w:t>
      </w:r>
      <w:r>
        <w:t xml:space="preserve"> &amp; 11 &amp; 3.14 &amp; 2.72 &amp; 5.91</w:t>
      </w:r>
      <w:r>
        <w:br/>
      </w:r>
      <w:r>
        <w:rPr>
          <w:rFonts w:hint="eastAsia"/>
        </w:rPr>
        <w:t xml:space="preserve">中期平台</w:t>
      </w:r>
      <w:r>
        <w:t xml:space="preserve"> &amp; 14 &amp; 4.39 &amp; 3.72 &amp; 7.43</w:t>
      </w:r>
      <w:r>
        <w:br/>
      </w:r>
      <w:r>
        <w:rPr>
          <w:rFonts w:hint="eastAsia"/>
        </w:rPr>
        <w:t xml:space="preserve">后期再定价</w:t>
      </w:r>
      <w:r>
        <w:t xml:space="preserve"> &amp; 21 &amp; 2.81 &amp; 2.35 &amp; 5.24</w:t>
      </w:r>
      <w:r>
        <w:br/>
      </w:r>
      <w:r>
        <w:rPr>
          <w:rFonts w:hint="eastAsia"/>
        </w:rPr>
        <w:t xml:space="preserve">高价平台</w:t>
      </w:r>
      <w:r>
        <w:t xml:space="preserve"> &amp; 4 &amp; 2.83 &amp; 2.34 &amp; 3.91</w:t>
      </w:r>
      <w:r>
        <w:br/>
      </w:r>
      <w:r>
        <w:rPr>
          <w:rFonts w:hint="eastAsia"/>
        </w:rPr>
        <w:t xml:space="preserve">低价回落</w:t>
      </w:r>
      <w:r>
        <w:t xml:space="preserve"> &amp; 21 &amp; 3.38 &amp; 2.94 &amp; 5.91</w:t>
      </w:r>
      <w:r>
        <w:br/>
      </w:r>
    </w:p>
    <w:p>
      <w:pPr>
        <w:pStyle w:val="CaptionedFigure"/>
      </w:pPr>
      <w:r>
        <w:drawing>
          <wp:inline>
            <wp:extent cx="4907280" cy="2765921"/>
            <wp:effectExtent b="0" l="0" r="0" t="0"/>
            <wp:docPr descr="" title="" id="60" name="Picture"/>
            <a:graphic>
              <a:graphicData uri="http://schemas.openxmlformats.org/drawingml/2006/picture">
                <pic:pic>
                  <pic:nvPicPr>
                    <pic:cNvPr descr="短期模型机制贡献.png" id="61" name="Picture"/>
                    <pic:cNvPicPr>
                      <a:picLocks noChangeArrowheads="1" noChangeAspect="1"/>
                    </pic:cNvPicPr>
                  </pic:nvPicPr>
                  <pic:blipFill>
                    <a:blip r:embed="rId59"/>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62"/>
    <w:bookmarkEnd w:id="63"/>
    <w:bookmarkStart w:id="74" w:name="基准对比与统计检验"/>
    <w:p>
      <w:pPr>
        <w:pStyle w:val="Heading2"/>
      </w:pPr>
      <w:r>
        <w:rPr>
          <w:rFonts w:hint="eastAsia"/>
        </w:rPr>
        <w:t xml:space="preserve">基准对比与统计检验</w:t>
      </w:r>
    </w:p>
    <w:bookmarkStart w:id="73"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65" name="Picture"/>
            <a:graphic>
              <a:graphicData uri="http://schemas.openxmlformats.org/drawingml/2006/picture">
                <pic:pic>
                  <pic:nvPicPr>
                    <pic:cNvPr descr="评审质疑防御框架图.png" id="66" name="Picture"/>
                    <pic:cNvPicPr>
                      <a:picLocks noChangeArrowheads="1" noChangeAspect="1"/>
                    </pic:cNvPicPr>
                  </pic:nvPicPr>
                  <pic:blipFill>
                    <a:blip r:embed="rId6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本文短期动态模型</w:t>
      </w:r>
      <w:r>
        <w:t xml:space="preserve"> &amp; 3.44 &amp; 2.85 &amp; 2.86 &amp; 64.4</w:t>
      </w:r>
      <w:r>
        <w:br/>
      </w:r>
      <w:r>
        <w:rPr>
          <w:rFonts w:hint="eastAsia"/>
        </w:rPr>
        <w:t xml:space="preserve">朴素上一日基准</w:t>
      </w:r>
      <w:r>
        <w:t xml:space="preserve"> &amp; 4.47 &amp; 3.57 &amp; 3.54 &amp; 46.7</w:t>
      </w:r>
      <w:r>
        <w:br/>
      </w:r>
      <w:r>
        <w:rPr>
          <w:rFonts w:hint="eastAsia"/>
        </w:rPr>
        <w:t xml:space="preserve">三日均值基准</w:t>
      </w:r>
      <w:r>
        <w:t xml:space="preserve"> &amp; 5.18 &amp; 4.16 &amp; 4.15 &amp; 44.4</w:t>
      </w:r>
      <w:r>
        <w:br/>
      </w:r>
      <w:r>
        <w:rPr>
          <w:rFonts w:hint="eastAsia"/>
        </w:rPr>
        <w:t xml:space="preserve">漂移随机游走基准</w:t>
      </w:r>
      <w:r>
        <w:t xml:space="preserve"> &amp; 4.84 &amp; 3.94 &amp; 3.91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与方向命中率以百分比计。数字列采用小数点对齐，便于横向比较。</w:t>
      </w:r>
    </w:p>
    <w:p>
      <w:pPr>
        <w:pStyle w:val="CaptionedFigure"/>
      </w:pPr>
      <w:r>
        <w:drawing>
          <wp:inline>
            <wp:extent cx="4587240" cy="2533904"/>
            <wp:effectExtent b="0" l="0" r="0" t="0"/>
            <wp:docPr descr="" title="" id="68" name="Picture"/>
            <a:graphic>
              <a:graphicData uri="http://schemas.openxmlformats.org/drawingml/2006/picture">
                <pic:pic>
                  <pic:nvPicPr>
                    <pic:cNvPr descr="短期模型基准对比.png" id="69" name="Picture"/>
                    <pic:cNvPicPr>
                      <a:picLocks noChangeArrowheads="1" noChangeAspect="1"/>
                    </pic:cNvPicPr>
                  </pic:nvPicPr>
                  <pic:blipFill>
                    <a:blip r:embed="rId6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4</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71" name="Picture"/>
            <a:graphic>
              <a:graphicData uri="http://schemas.openxmlformats.org/drawingml/2006/picture">
                <pic:pic>
                  <pic:nvPicPr>
                    <pic:cNvPr descr="短期模型滞后平移检验.png" id="72" name="Picture"/>
                    <pic:cNvPicPr>
                      <a:picLocks noChangeArrowheads="1" noChangeAspect="1"/>
                    </pic:cNvPicPr>
                  </pic:nvPicPr>
                  <pic:blipFill>
                    <a:blip r:embed="rId7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73"/>
    <w:bookmarkEnd w:id="74"/>
    <w:bookmarkStart w:id="98" w:name="模型鲁棒性与稳定性评估"/>
    <w:p>
      <w:pPr>
        <w:pStyle w:val="Heading2"/>
      </w:pPr>
      <w:r>
        <w:rPr>
          <w:rFonts w:hint="eastAsia"/>
        </w:rPr>
        <w:t xml:space="preserve">模型鲁棒性与稳定性评估</w:t>
      </w:r>
    </w:p>
    <w:bookmarkStart w:id="78"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76" name="Picture"/>
            <a:graphic>
              <a:graphicData uri="http://schemas.openxmlformats.org/drawingml/2006/picture">
                <pic:pic>
                  <pic:nvPicPr>
                    <pic:cNvPr descr="短期模型过拟合压力测试.png" id="77" name="Picture"/>
                    <pic:cNvPicPr>
                      <a:picLocks noChangeArrowheads="1" noChangeAspect="1"/>
                    </pic:cNvPicPr>
                  </pic:nvPicPr>
                  <pic:blipFill>
                    <a:blip r:embed="rId75"/>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8"/>
    <w:bookmarkStart w:id="86"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80" name="Picture"/>
            <a:graphic>
              <a:graphicData uri="http://schemas.openxmlformats.org/drawingml/2006/picture">
                <pic:pic>
                  <pic:nvPicPr>
                    <pic:cNvPr descr="短期模型残差诊断增强.png" id="81" name="Picture"/>
                    <pic:cNvPicPr>
                      <a:picLocks noChangeArrowheads="1" noChangeAspect="1"/>
                    </pic:cNvPicPr>
                  </pic:nvPicPr>
                  <pic:blipFill>
                    <a:blip r:embed="rId79"/>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Start w:id="85" w:name="fig:segmented-residual-distribution"/>
    <w:p>
      <w:pPr>
        <w:pStyle w:val="CaptionedFigure"/>
      </w:pPr>
      <w:r>
        <w:drawing>
          <wp:inline>
            <wp:extent cx="4800600" cy="2937084"/>
            <wp:effectExtent b="0" l="0" r="0" t="0"/>
            <wp:docPr descr="" title="" id="83" name="Picture"/>
            <a:graphic>
              <a:graphicData uri="http://schemas.openxmlformats.org/drawingml/2006/picture">
                <pic:pic>
                  <pic:nvPicPr>
                    <pic:cNvPr descr="短期残差分段分布图.png" id="84" name="Picture"/>
                    <pic:cNvPicPr>
                      <a:picLocks noChangeArrowheads="1" noChangeAspect="1"/>
                    </pic:cNvPicPr>
                  </pic:nvPicPr>
                  <pic:blipFill>
                    <a:blip r:embed="rId82"/>
                    <a:stretch>
                      <a:fillRect/>
                    </a:stretch>
                  </pic:blipFill>
                  <pic:spPr bwMode="auto">
                    <a:xfrm>
                      <a:off x="0" y="0"/>
                      <a:ext cx="4800600" cy="2937084"/>
                    </a:xfrm>
                    <a:prstGeom prst="rect">
                      <a:avLst/>
                    </a:prstGeom>
                    <a:noFill/>
                    <a:ln w="9525">
                      <a:noFill/>
                      <a:headEnd/>
                      <a:tailEnd/>
                    </a:ln>
                  </pic:spPr>
                </pic:pic>
              </a:graphicData>
            </a:graphic>
          </wp:inline>
        </w:drawing>
      </w:r>
    </w:p>
    <w:p>
      <w:pPr>
        <w:pStyle w:val="ImageCaption"/>
      </w:pPr>
      <w:r>
        <w:rPr>
          <w:rFonts w:hint="eastAsia"/>
        </w:rPr>
        <w:t xml:space="preserve">短期模型残差的分段分布。小提琴图、箱线图和逐日散点共同显示，冲击启动期和回落修复期误差分布较均衡，高位平台期误差离散度更高，说明模型主要难点集中在市场反复确认封锁持续性和缓冲可信度的阶段。</w:t>
      </w:r>
    </w:p>
    <w:bookmarkEnd w:id="85"/>
    <w:bookmarkEnd w:id="86"/>
    <w:bookmarkStart w:id="90"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8" name="Picture"/>
            <a:graphic>
              <a:graphicData uri="http://schemas.openxmlformats.org/drawingml/2006/picture">
                <pic:pic>
                  <pic:nvPicPr>
                    <pic:cNvPr descr="短期模型时间轴与删块稳健性.png" id="89" name="Picture"/>
                    <pic:cNvPicPr>
                      <a:picLocks noChangeArrowheads="1" noChangeAspect="1"/>
                    </pic:cNvPicPr>
                  </pic:nvPicPr>
                  <pic:blipFill>
                    <a:blip r:embed="rId87"/>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90"/>
    <w:bookmarkStart w:id="97"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92" name="Picture"/>
            <a:graphic>
              <a:graphicData uri="http://schemas.openxmlformats.org/drawingml/2006/picture">
                <pic:pic>
                  <pic:nvPicPr>
                    <pic:cNvPr descr="短期模型统计审计.png" id="93" name="Picture"/>
                    <pic:cNvPicPr>
                      <a:picLocks noChangeArrowheads="1" noChangeAspect="1"/>
                    </pic:cNvPicPr>
                  </pic:nvPicPr>
                  <pic:blipFill>
                    <a:blip r:embed="rId91"/>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95" name="Picture"/>
            <a:graphic>
              <a:graphicData uri="http://schemas.openxmlformats.org/drawingml/2006/picture">
                <pic:pic>
                  <pic:nvPicPr>
                    <pic:cNvPr descr="R短期误差学术诊断.png" id="96" name="Picture"/>
                    <pic:cNvPicPr>
                      <a:picLocks noChangeArrowheads="1" noChangeAspect="1"/>
                    </pic:cNvPicPr>
                  </pic:nvPicPr>
                  <pic:blipFill>
                    <a:blip r:embed="rId94"/>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7"/>
    <w:bookmarkEnd w:id="98"/>
    <w:bookmarkStart w:id="120" w:name="机制消融事件边界与机器学习辅助"/>
    <w:p>
      <w:pPr>
        <w:pStyle w:val="Heading2"/>
      </w:pPr>
      <w:r>
        <w:rPr>
          <w:rFonts w:hint="eastAsia"/>
        </w:rPr>
        <w:t xml:space="preserve">机制消融、事件边界与机器学习辅助</w:t>
      </w:r>
    </w:p>
    <w:bookmarkStart w:id="99" w:name="机制消融的定量证据"/>
    <w:p>
      <w:pPr>
        <w:pStyle w:val="Heading3"/>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99"/>
    <w:bookmarkStart w:id="104" w:name="机器学习辅助边界"/>
    <w:p>
      <w:pPr>
        <w:pStyle w:val="Heading3"/>
      </w:pPr>
      <w:r>
        <w:rPr>
          <w:rFonts w:hint="eastAsia"/>
        </w:rPr>
        <w:t xml:space="preserve">机器学习辅助边界</w:t>
      </w:r>
    </w:p>
    <w:p>
      <w:pPr>
        <w:pStyle w:val="FirstParagraph"/>
      </w:pPr>
      <w:r>
        <w:rPr>
          <w:rFonts w:hint="eastAsia"/>
        </w:rPr>
        <w:t xml:space="preserve">为检验历史价格特征是否还能进一步修正短期误差，本文使用冲突前历史滞后价格特征训练低自由度</w:t>
      </w:r>
      <w:r>
        <w:t xml:space="preserve"> Ridge </w:t>
      </w:r>
      <w:r>
        <w:rPr>
          <w:rFonts w:hint="eastAsia"/>
        </w:rPr>
        <w:t xml:space="preserve">收益率模型，并只将其作为机制路径的一日收益率辅助修正。结果显示，机制主模型</w:t>
      </w:r>
      <w:r>
        <w:t xml:space="preserve"> RMSE </w:t>
      </w:r>
      <w:r>
        <w:rPr>
          <w:rFonts w:hint="eastAsia"/>
        </w:rPr>
        <w:t xml:space="preserve">为</w:t>
      </w:r>
      <w:r>
        <w:t xml:space="preserve"> </w:t>
      </w:r>
      <w:r>
        <w:rPr>
          <w:rFonts w:hint="eastAsia"/>
        </w:rPr>
        <w:t xml:space="preserve">3.440，机制+Ridge</w:t>
      </w:r>
      <w:r>
        <w:t xml:space="preserve"> </w:t>
      </w:r>
      <w:r>
        <w:rPr>
          <w:rFonts w:hint="eastAsia"/>
        </w:rPr>
        <w:t xml:space="preserve">收益率修正后</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的窗口稳定优于朴素基准。因此，机器学习层的正确角色是修正短期收益惯性，而不是替代霍尔木兹封锁机制本身。完整在线残差校正表和辅助图随项目输出保留，正文仅保留这一结论。</w:t>
      </w:r>
    </w:p>
    <w:bookmarkStart w:id="103" w:name="fig:lagged-feature-correlation"/>
    <w:p>
      <w:pPr>
        <w:pStyle w:val="CaptionedFigure"/>
      </w:pPr>
      <w:r>
        <w:drawing>
          <wp:inline>
            <wp:extent cx="4693920" cy="4253662"/>
            <wp:effectExtent b="0" l="0" r="0" t="0"/>
            <wp:docPr descr="" title="" id="101" name="Picture"/>
            <a:graphic>
              <a:graphicData uri="http://schemas.openxmlformats.org/drawingml/2006/picture">
                <pic:pic>
                  <pic:nvPicPr>
                    <pic:cNvPr descr="滞后特征相关性热力图.png" id="102" name="Picture"/>
                    <pic:cNvPicPr>
                      <a:picLocks noChangeArrowheads="1" noChangeAspect="1"/>
                    </pic:cNvPicPr>
                  </pic:nvPicPr>
                  <pic:blipFill>
                    <a:blip r:embed="rId100"/>
                    <a:stretch>
                      <a:fillRect/>
                    </a:stretch>
                  </pic:blipFill>
                  <pic:spPr bwMode="auto">
                    <a:xfrm>
                      <a:off x="0" y="0"/>
                      <a:ext cx="4693920" cy="4253662"/>
                    </a:xfrm>
                    <a:prstGeom prst="rect">
                      <a:avLst/>
                    </a:prstGeom>
                    <a:noFill/>
                    <a:ln w="9525">
                      <a:noFill/>
                      <a:headEnd/>
                      <a:tailEnd/>
                    </a:ln>
                  </pic:spPr>
                </pic:pic>
              </a:graphicData>
            </a:graphic>
          </wp:inline>
        </w:drawing>
      </w:r>
    </w:p>
    <w:p>
      <w:pPr>
        <w:pStyle w:val="ImageCaption"/>
      </w:pPr>
      <w:r>
        <w:rPr>
          <w:rFonts w:hint="eastAsia"/>
        </w:rPr>
        <w:t xml:space="preserve">滞后价格特征相关性热力图。该图只使用目标日前可观测的历史价格特征，展示收益率、波动率、均线偏离和价格分位之间的相关结构；高相关块说明机器学习层存在信息冗余，因此本文采用低自由度</w:t>
      </w:r>
      <w:r>
        <w:t xml:space="preserve"> Ridge </w:t>
      </w:r>
      <w:r>
        <w:rPr>
          <w:rFonts w:hint="eastAsia"/>
        </w:rPr>
        <w:t xml:space="preserve">辅助修正，而不把复杂机器学习模型作为主解释模型。</w:t>
      </w:r>
    </w:p>
    <w:bookmarkEnd w:id="103"/>
    <w:bookmarkEnd w:id="104"/>
    <w:bookmarkStart w:id="108" w:name="拐点预测步长与事件边界"/>
    <w:p>
      <w:pPr>
        <w:pStyle w:val="Heading3"/>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106" name="Picture"/>
            <a:graphic>
              <a:graphicData uri="http://schemas.openxmlformats.org/drawingml/2006/picture">
                <pic:pic>
                  <pic:nvPicPr>
                    <pic:cNvPr descr="短期模型拐点局部检验.png" id="107" name="Picture"/>
                    <pic:cNvPicPr>
                      <a:picLocks noChangeArrowheads="1" noChangeAspect="1"/>
                    </pic:cNvPicPr>
                  </pic:nvPicPr>
                  <pic:blipFill>
                    <a:blip r:embed="rId105"/>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108"/>
    <w:bookmarkStart w:id="116"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110" name="Picture"/>
            <a:graphic>
              <a:graphicData uri="http://schemas.openxmlformats.org/drawingml/2006/picture">
                <pic:pic>
                  <pic:nvPicPr>
                    <pic:cNvPr descr="短期模型稳健性带.png" id="111" name="Picture"/>
                    <pic:cNvPicPr>
                      <a:picLocks noChangeArrowheads="1" noChangeAspect="1"/>
                    </pic:cNvPicPr>
                  </pic:nvPicPr>
                  <pic:blipFill>
                    <a:blip r:embed="rId109"/>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短期模型局部扰动稳健性区间。青蓝区间表示优秀扰动样本的价格分布，深蓝线为综合最优模型，黑线为实际收盘价。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7</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15" w:name="fig:short-quality-gate"/>
    <w:p>
      <w:pPr>
        <w:pStyle w:val="CaptionedFigure"/>
      </w:pPr>
      <w:r>
        <w:drawing>
          <wp:inline>
            <wp:extent cx="4160520" cy="3874484"/>
            <wp:effectExtent b="0" l="0" r="0" t="0"/>
            <wp:docPr descr="" title="" id="113" name="Picture"/>
            <a:graphic>
              <a:graphicData uri="http://schemas.openxmlformats.org/drawingml/2006/picture">
                <pic:pic>
                  <pic:nvPicPr>
                    <pic:cNvPr descr="短期模型最终质量雷达图.png" id="114" name="Picture"/>
                    <pic:cNvPicPr>
                      <a:picLocks noChangeArrowheads="1" noChangeAspect="1"/>
                    </pic:cNvPicPr>
                  </pic:nvPicPr>
                  <pic:blipFill>
                    <a:blip r:embed="rId112"/>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15"/>
    <w:bookmarkEnd w:id="116"/>
    <w:bookmarkStart w:id="117" w:name="内生性反事实基准与结构边界"/>
    <w:p>
      <w:pPr>
        <w:pStyle w:val="Heading3"/>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17"/>
    <w:bookmarkStart w:id="119"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4</w:t>
        </w:r>
      </w:hyperlink>
      <w:r>
        <w:t xml:space="preserve"> </w:t>
      </w:r>
      <w:r>
        <w:rPr>
          <w:rFonts w:hint="eastAsia"/>
        </w:rPr>
        <w:t xml:space="preserve">中的检验均不重新寻找最优参数，而是在同一模型框架下改变某个关键条件，观察主结论是否保持稳定。</w:t>
      </w:r>
    </w:p>
    <w:bookmarkStart w:id="118"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18"/>
    <w:bookmarkEnd w:id="119"/>
    <w:bookmarkEnd w:id="120"/>
    <w:bookmarkEnd w:id="121"/>
    <w:bookmarkStart w:id="142" w:name="天三情景预测"/>
    <w:p>
      <w:pPr>
        <w:pStyle w:val="Heading1"/>
      </w:pPr>
      <w:r>
        <w:t xml:space="preserve">60–180 </w:t>
      </w:r>
      <w:r>
        <w:rPr>
          <w:rFonts w:hint="eastAsia"/>
        </w:rPr>
        <w:t xml:space="preserve">天三情景预测</w:t>
      </w:r>
    </w:p>
    <w:bookmarkStart w:id="122"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22"/>
    <w:bookmarkStart w:id="125"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5</w:t>
        </w:r>
      </w:hyperlink>
      <w:r>
        <w:t xml:space="preserve">。</w:t>
      </w:r>
    </w:p>
    <w:bookmarkStart w:id="123"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23"/>
    <w:p>
      <w:pPr>
        <w:pStyle w:val="BodyText"/>
      </w:pPr>
      <w:r>
        <w:rPr>
          <w:rFonts w:hint="eastAsia"/>
          <w:b/>
          <w:bCs/>
        </w:rPr>
        <w:t xml:space="preserve">关键结论</w:t>
      </w:r>
      <w:r>
        <w:rPr>
          <w:rFonts w:hint="eastAsia"/>
        </w:rPr>
        <w:t xml:space="preserve">长期参数的角色是描述机制强弱和恢复速度，而不是替代真实数据。本文把这些参数显式列出、放入扰动区间，并用敏感性和蒙特卡洛结果报告其不确定性。</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6</w:t>
        </w:r>
      </w:hyperlink>
      <w:r>
        <w:t xml:space="preserve">。</w:t>
      </w:r>
    </w:p>
    <w:bookmarkStart w:id="124"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24"/>
    <w:bookmarkEnd w:id="125"/>
    <w:bookmarkStart w:id="141"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29" w:name="fig:long-term-fan"/>
    <w:p>
      <w:pPr>
        <w:pStyle w:val="CaptionedFigure"/>
      </w:pPr>
      <w:r>
        <w:drawing>
          <wp:inline>
            <wp:extent cx="5227320" cy="2777013"/>
            <wp:effectExtent b="0" l="0" r="0" t="0"/>
            <wp:docPr descr="" title="" id="127" name="Picture"/>
            <a:graphic>
              <a:graphicData uri="http://schemas.openxmlformats.org/drawingml/2006/picture">
                <pic:pic>
                  <pic:nvPicPr>
                    <pic:cNvPr descr="蒙特卡洛情景树高级组合图.png" id="128" name="Picture"/>
                    <pic:cNvPicPr>
                      <a:picLocks noChangeArrowheads="1" noChangeAspect="1"/>
                    </pic:cNvPicPr>
                  </pic:nvPicPr>
                  <pic:blipFill>
                    <a:blip r:embed="rId126"/>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29"/>
    <w:p>
      <w:pPr>
        <w:pStyle w:val="CaptionedFigure"/>
      </w:pPr>
      <w:r>
        <w:drawing>
          <wp:inline>
            <wp:extent cx="5013960" cy="2757678"/>
            <wp:effectExtent b="0" l="0" r="0" t="0"/>
            <wp:docPr descr="" title="" id="131" name="Picture"/>
            <a:graphic>
              <a:graphicData uri="http://schemas.openxmlformats.org/drawingml/2006/picture">
                <pic:pic>
                  <pic:nvPicPr>
                    <pic:cNvPr descr="短期拟合与长期预测总览.png" id="132" name="Picture"/>
                    <pic:cNvPicPr>
                      <a:picLocks noChangeArrowheads="1" noChangeAspect="1"/>
                    </pic:cNvPicPr>
                  </pic:nvPicPr>
                  <pic:blipFill>
                    <a:blip r:embed="rId130"/>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8</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7</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33"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33"/>
    <w:bookmarkStart w:id="137" w:name="fig:state-transition-fan"/>
    <w:p>
      <w:pPr>
        <w:pStyle w:val="CaptionedFigure"/>
      </w:pPr>
      <w:r>
        <w:drawing>
          <wp:inline>
            <wp:extent cx="5013960" cy="3654242"/>
            <wp:effectExtent b="0" l="0" r="0" t="0"/>
            <wp:docPr descr="" title="" id="135" name="Picture"/>
            <a:graphic>
              <a:graphicData uri="http://schemas.openxmlformats.org/drawingml/2006/picture">
                <pic:pic>
                  <pic:nvPicPr>
                    <pic:cNvPr descr="长期状态转移情景树.png" id="136" name="Picture"/>
                    <pic:cNvPicPr>
                      <a:picLocks noChangeArrowheads="1" noChangeAspect="1"/>
                    </pic:cNvPicPr>
                  </pic:nvPicPr>
                  <pic:blipFill>
                    <a:blip r:embed="rId134"/>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37"/>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9</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39" name="Picture"/>
            <a:graphic>
              <a:graphicData uri="http://schemas.openxmlformats.org/drawingml/2006/picture">
                <pic:pic>
                  <pic:nvPicPr>
                    <pic:cNvPr descr="库存与供需缺口风险.png" id="140" name="Picture"/>
                    <pic:cNvPicPr>
                      <a:picLocks noChangeArrowheads="1" noChangeAspect="1"/>
                    </pic:cNvPicPr>
                  </pic:nvPicPr>
                  <pic:blipFill>
                    <a:blip r:embed="rId138"/>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41"/>
    <w:bookmarkEnd w:id="142"/>
    <w:bookmarkStart w:id="186" w:name="敏感性分析"/>
    <w:p>
      <w:pPr>
        <w:pStyle w:val="Heading1"/>
      </w:pPr>
      <w:r>
        <w:rPr>
          <w:rFonts w:hint="eastAsia"/>
        </w:rPr>
        <w:t xml:space="preserve">敏感性分析</w:t>
      </w:r>
    </w:p>
    <w:bookmarkStart w:id="143"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43"/>
    <w:bookmarkStart w:id="152"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47" w:name="fig:sensitivity-tornado"/>
    <w:p>
      <w:pPr>
        <w:pStyle w:val="CaptionedFigure"/>
      </w:pPr>
      <w:r>
        <w:drawing>
          <wp:inline>
            <wp:extent cx="4907280" cy="2998893"/>
            <wp:effectExtent b="0" l="0" r="0" t="0"/>
            <wp:docPr descr="" title="" id="145" name="Picture"/>
            <a:graphic>
              <a:graphicData uri="http://schemas.openxmlformats.org/drawingml/2006/picture">
                <pic:pic>
                  <pic:nvPicPr>
                    <pic:cNvPr descr="参数敏感性龙卷风图.png" id="146" name="Picture"/>
                    <pic:cNvPicPr>
                      <a:picLocks noChangeArrowheads="1" noChangeAspect="1"/>
                    </pic:cNvPicPr>
                  </pic:nvPicPr>
                  <pic:blipFill>
                    <a:blip r:embed="rId144"/>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47"/>
    <w:bookmarkStart w:id="151" w:name="fig:sensitivity-heatmap"/>
    <w:p>
      <w:pPr>
        <w:pStyle w:val="CaptionedFigure"/>
      </w:pPr>
      <w:r>
        <w:drawing>
          <wp:inline>
            <wp:extent cx="4800600" cy="2971150"/>
            <wp:effectExtent b="0" l="0" r="0" t="0"/>
            <wp:docPr descr="" title="" id="149" name="Picture"/>
            <a:graphic>
              <a:graphicData uri="http://schemas.openxmlformats.org/drawingml/2006/picture">
                <pic:pic>
                  <pic:nvPicPr>
                    <pic:cNvPr descr="长期敏感性扰动热力图.png" id="150" name="Picture"/>
                    <pic:cNvPicPr>
                      <a:picLocks noChangeArrowheads="1" noChangeAspect="1"/>
                    </pic:cNvPicPr>
                  </pic:nvPicPr>
                  <pic:blipFill>
                    <a:blip r:embed="rId148"/>
                    <a:stretch>
                      <a:fillRect/>
                    </a:stretch>
                  </pic:blipFill>
                  <pic:spPr bwMode="auto">
                    <a:xfrm>
                      <a:off x="0" y="0"/>
                      <a:ext cx="4800600" cy="2971150"/>
                    </a:xfrm>
                    <a:prstGeom prst="rect">
                      <a:avLst/>
                    </a:prstGeom>
                    <a:noFill/>
                    <a:ln w="9525">
                      <a:noFill/>
                      <a:headEnd/>
                      <a:tailEnd/>
                    </a:ln>
                  </pic:spPr>
                </pic:pic>
              </a:graphicData>
            </a:graphic>
          </wp:inline>
        </w:drawing>
      </w:r>
    </w:p>
    <w:p>
      <w:pPr>
        <w:pStyle w:val="ImageCaption"/>
      </w:pPr>
      <w:r>
        <w:rPr>
          <w:rFonts w:hint="eastAsia"/>
        </w:rPr>
        <w:t xml:space="preserve">长期敏感性扰动热力图。颜色表示不同参数扰动档位下第</w:t>
      </w:r>
      <w:r>
        <w:t xml:space="preserve"> 180 </w:t>
      </w:r>
      <w:r>
        <w:rPr>
          <w:rFonts w:hint="eastAsia"/>
        </w:rPr>
        <w:t xml:space="preserve">天价格相对中性基准的变化方向和幅度，深蓝代表终点价格上升，绿色代表终点价格下降。相比单一排序图，该图进一步展示同一参数在不同扰动档位下是否呈现稳定方向，说明长期结论主要受封锁风险衰减速度、地缘风险权重和制度风险强度共同控制。</w:t>
      </w:r>
    </w:p>
    <w:bookmarkEnd w:id="151"/>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10</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p>
      <w:pPr>
        <w:pStyle w:val="BodyText"/>
      </w:pPr>
      <w:r>
        <w:rPr>
          <w:rFonts w:hint="eastAsia"/>
          <w:b/>
          <w:bCs/>
        </w:rPr>
        <w:t xml:space="preserve">关键结论</w:t>
      </w:r>
      <w:r>
        <w:rPr>
          <w:rFonts w:hint="eastAsia"/>
        </w:rPr>
        <w:t xml:space="preserve">敏感性排序将隐藏常数显性化：长期预测最依赖封锁风险衰减速度，其次才是地缘风险权重和制度风险强度。这种写法主动承认模型边界，比只报一个中性预测点更稳。</w:t>
      </w:r>
    </w:p>
    <w:bookmarkEnd w:id="152"/>
    <w:bookmarkStart w:id="163"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54" name="Picture"/>
            <a:graphic>
              <a:graphicData uri="http://schemas.openxmlformats.org/drawingml/2006/picture">
                <pic:pic>
                  <pic:nvPicPr>
                    <pic:cNvPr descr="历史波动参数校准.png" id="155" name="Picture"/>
                    <pic:cNvPicPr>
                      <a:picLocks noChangeArrowheads="1" noChangeAspect="1"/>
                    </pic:cNvPicPr>
                  </pic:nvPicPr>
                  <pic:blipFill>
                    <a:blip r:embed="rId153"/>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59" w:name="fig:mc-path-cloud"/>
    <w:p>
      <w:pPr>
        <w:pStyle w:val="CaptionedFigure"/>
      </w:pPr>
      <w:r>
        <w:drawing>
          <wp:inline>
            <wp:extent cx="4907280" cy="2661575"/>
            <wp:effectExtent b="0" l="0" r="0" t="0"/>
            <wp:docPr descr="" title="" id="157" name="Picture"/>
            <a:graphic>
              <a:graphicData uri="http://schemas.openxmlformats.org/drawingml/2006/picture">
                <pic:pic>
                  <pic:nvPicPr>
                    <pic:cNvPr descr="传统蒙特卡洛路径云图.png" id="158" name="Picture"/>
                    <pic:cNvPicPr>
                      <a:picLocks noChangeArrowheads="1" noChangeAspect="1"/>
                    </pic:cNvPicPr>
                  </pic:nvPicPr>
                  <pic:blipFill>
                    <a:blip r:embed="rId156"/>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条模拟路径中分层抽取代表路径，黑线为中位数路径，青蓝虚线为</w:t>
      </w:r>
      <w:r>
        <w:t xml:space="preserve"> P05/P95 </w:t>
      </w:r>
      <w:r>
        <w:rPr>
          <w:rFonts w:hint="eastAsia"/>
        </w:rPr>
        <w:t xml:space="preserve">条件边界，亮蓝虚线为</w:t>
      </w:r>
      <w:r>
        <w:t xml:space="preserve"> 120 </w:t>
      </w:r>
      <w:r>
        <w:rPr>
          <w:rFonts w:hint="eastAsia"/>
        </w:rPr>
        <w:t xml:space="preserve">美元/桶风险线。</w:t>
      </w:r>
    </w:p>
    <w:bookmarkEnd w:id="159"/>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61" name="Picture"/>
            <a:graphic>
              <a:graphicData uri="http://schemas.openxmlformats.org/drawingml/2006/picture">
                <pic:pic>
                  <pic:nvPicPr>
                    <pic:cNvPr descr="蒙特卡洛尾部风险概率.png" id="162" name="Picture"/>
                    <pic:cNvPicPr>
                      <a:picLocks noChangeArrowheads="1" noChangeAspect="1"/>
                    </pic:cNvPicPr>
                  </pic:nvPicPr>
                  <pic:blipFill>
                    <a:blip r:embed="rId160"/>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63"/>
    <w:bookmarkStart w:id="167"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65" name="Picture"/>
            <a:graphic>
              <a:graphicData uri="http://schemas.openxmlformats.org/drawingml/2006/picture">
                <pic:pic>
                  <pic:nvPicPr>
                    <pic:cNvPr descr="R长期状态转移扇形图.png" id="166" name="Picture"/>
                    <pic:cNvPicPr>
                      <a:picLocks noChangeArrowheads="1" noChangeAspect="1"/>
                    </pic:cNvPicPr>
                  </pic:nvPicPr>
                  <pic:blipFill>
                    <a:blip r:embed="rId164"/>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67"/>
    <w:bookmarkStart w:id="174"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69" name="Picture"/>
            <a:graphic>
              <a:graphicData uri="http://schemas.openxmlformats.org/drawingml/2006/picture">
                <pic:pic>
                  <pic:nvPicPr>
                    <pic:cNvPr descr="地缘风险指数滞后审计.png" id="170" name="Picture"/>
                    <pic:cNvPicPr>
                      <a:picLocks noChangeArrowheads="1" noChangeAspect="1"/>
                    </pic:cNvPicPr>
                  </pic:nvPicPr>
                  <pic:blipFill>
                    <a:blip r:embed="rId168"/>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72" name="Picture"/>
            <a:graphic>
              <a:graphicData uri="http://schemas.openxmlformats.org/drawingml/2006/picture">
                <pic:pic>
                  <pic:nvPicPr>
                    <pic:cNvPr descr="滞后GPR与布伦特收益关系.png" id="173" name="Picture"/>
                    <pic:cNvPicPr>
                      <a:picLocks noChangeArrowheads="1" noChangeAspect="1"/>
                    </pic:cNvPicPr>
                  </pic:nvPicPr>
                  <pic:blipFill>
                    <a:blip r:embed="rId171"/>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74"/>
    <w:bookmarkStart w:id="178"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76" name="Picture"/>
            <a:graphic>
              <a:graphicData uri="http://schemas.openxmlformats.org/drawingml/2006/picture">
                <pic:pic>
                  <pic:nvPicPr>
                    <pic:cNvPr descr="OVX隐含波动率滞后检验.png" id="177" name="Picture"/>
                    <pic:cNvPicPr>
                      <a:picLocks noChangeArrowheads="1" noChangeAspect="1"/>
                    </pic:cNvPicPr>
                  </pic:nvPicPr>
                  <pic:blipFill>
                    <a:blip r:embed="rId175"/>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78"/>
    <w:bookmarkStart w:id="185"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80" name="Picture"/>
            <a:graphic>
              <a:graphicData uri="http://schemas.openxmlformats.org/drawingml/2006/picture">
                <pic:pic>
                  <pic:nvPicPr>
                    <pic:cNvPr descr="历史窗口极端性检验.png" id="181" name="Picture"/>
                    <pic:cNvPicPr>
                      <a:picLocks noChangeArrowheads="1" noChangeAspect="1"/>
                    </pic:cNvPicPr>
                  </pic:nvPicPr>
                  <pic:blipFill>
                    <a:blip r:embed="rId179"/>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83" name="Picture"/>
            <a:graphic>
              <a:graphicData uri="http://schemas.openxmlformats.org/drawingml/2006/picture">
                <pic:pic>
                  <pic:nvPicPr>
                    <pic:cNvPr descr="R历史基准误差分布图.png" id="184" name="Picture"/>
                    <pic:cNvPicPr>
                      <a:picLocks noChangeArrowheads="1" noChangeAspect="1"/>
                    </pic:cNvPicPr>
                  </pic:nvPicPr>
                  <pic:blipFill>
                    <a:blip r:embed="rId182"/>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历史同长度窗口基准误差分布。蓝色区间表示历史分位带，亮蓝点表示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85"/>
    <w:bookmarkEnd w:id="186"/>
    <w:bookmarkStart w:id="190" w:name="模型评价"/>
    <w:p>
      <w:pPr>
        <w:pStyle w:val="Heading1"/>
      </w:pPr>
      <w:r>
        <w:rPr>
          <w:rFonts w:hint="eastAsia"/>
        </w:rPr>
        <w:t xml:space="preserve">模型评价</w:t>
      </w:r>
    </w:p>
    <w:bookmarkStart w:id="187" w:name="优点"/>
    <w:p>
      <w:pPr>
        <w:pStyle w:val="Heading2"/>
      </w:pPr>
      <w:r>
        <w:rPr>
          <w:rFonts w:hint="eastAsia"/>
        </w:rPr>
        <w:t xml:space="preserve">优点</w:t>
      </w:r>
    </w:p>
    <w:p>
      <w:pPr>
        <w:numPr>
          <w:ilvl w:val="0"/>
          <w:numId w:val="1006"/>
        </w:numPr>
      </w:pPr>
      <w:r>
        <w:rPr>
          <w:rFonts w:hint="eastAsia"/>
        </w:rPr>
        <w:t xml:space="preserve">证据链完整：从附件数据清洗、传统供需基准、动态模型、校准、鲁棒性检验、三情景预测到敏感性分析均可复现。</w:t>
      </w:r>
    </w:p>
    <w:p>
      <w:pPr>
        <w:numPr>
          <w:ilvl w:val="0"/>
          <w:numId w:val="1006"/>
        </w:numPr>
      </w:pPr>
      <w:r>
        <w:rPr>
          <w:rFonts w:hint="eastAsia"/>
        </w:rPr>
        <w:t xml:space="preserve">机制解释清晰：价格平台由供应缺口、风险溢价和缓冲折价共同递推形成，而非外生给定的价格上限。</w:t>
      </w:r>
    </w:p>
    <w:p>
      <w:pPr>
        <w:numPr>
          <w:ilvl w:val="0"/>
          <w:numId w:val="1006"/>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6"/>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6"/>
        </w:numPr>
      </w:pPr>
      <w:r>
        <w:rPr>
          <w:rFonts w:hint="eastAsia"/>
        </w:rPr>
        <w:t xml:space="preserve">长期表述审慎：三情景中心线与蒙特卡洛扇形区间、状态转移情景树合读，把长期结果定位为条件中心路径、状态切换和尾部风险，而非精确日度点预测。</w:t>
      </w:r>
    </w:p>
    <w:bookmarkEnd w:id="187"/>
    <w:bookmarkStart w:id="188" w:name="局限性"/>
    <w:p>
      <w:pPr>
        <w:pStyle w:val="Heading2"/>
      </w:pPr>
      <w:r>
        <w:rPr>
          <w:rFonts w:hint="eastAsia"/>
        </w:rPr>
        <w:t xml:space="preserve">局限性</w:t>
      </w:r>
    </w:p>
    <w:p>
      <w:pPr>
        <w:numPr>
          <w:ilvl w:val="0"/>
          <w:numId w:val="1007"/>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7"/>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7"/>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88"/>
    <w:bookmarkStart w:id="189"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89"/>
    <w:bookmarkEnd w:id="190"/>
    <w:bookmarkStart w:id="191"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8"/>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8"/>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8"/>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8"/>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8"/>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8"/>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8"/>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8"/>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p>
      <w:pPr>
        <w:pStyle w:val="BodyText"/>
      </w:pPr>
      <w:r>
        <w:rPr>
          <w:rFonts w:hint="eastAsia"/>
          <w:b/>
          <w:bCs/>
        </w:rPr>
        <w:t xml:space="preserve">关键结论</w:t>
      </w:r>
      <w:r>
        <w:rPr>
          <w:rFonts w:hint="eastAsia"/>
        </w:rPr>
        <w:t xml:space="preserve">本文最终结论可以概括为：短期看，价格平台是低弹性冲击、政策缓冲和预期修复共同递推形成的结果；长期看，决定风险上界的不是单一路径预测，而是封锁持续、缓冲失效和制度风险高位叠加时的尾部组合。</w:t>
      </w:r>
    </w:p>
    <w:bookmarkEnd w:id="191"/>
    <w:bookmarkStart w:id="200"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92">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93">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94">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95">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96">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97">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98">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99">
        <w:r>
          <w:rPr>
            <w:rStyle w:val="Hyperlink"/>
          </w:rPr>
          <w:t xml:space="preserve">FRED data page</w:t>
        </w:r>
      </w:hyperlink>
      <w:r>
        <w:t xml:space="preserve">.</w:t>
      </w:r>
    </w:p>
    <w:bookmarkEnd w:id="200"/>
    <w:bookmarkStart w:id="207" w:name="附录"/>
    <w:p>
      <w:pPr>
        <w:pStyle w:val="Heading1"/>
      </w:pPr>
      <w:r>
        <w:rPr>
          <w:rFonts w:hint="eastAsia"/>
        </w:rPr>
        <w:t xml:space="preserve">附录</w:t>
      </w:r>
    </w:p>
    <w:p>
      <w:pPr>
        <w:pStyle w:val="FirstParagraph"/>
      </w:pPr>
      <w:r>
        <w:rPr>
          <w:rFonts w:hint="eastAsia"/>
          <w:b/>
          <w:bCs/>
        </w:rPr>
        <w:t xml:space="preserve">关键结论</w:t>
      </w:r>
      <w:r>
        <w:rPr>
          <w:rFonts w:hint="eastAsia"/>
        </w:rPr>
        <w:t xml:space="preserve">附录只保留复现路径、核心递推伪代码和关键结果核查表，完整</w:t>
      </w:r>
      <w:r>
        <w:t xml:space="preserve"> Python/R </w:t>
      </w:r>
      <w:r>
        <w:rPr>
          <w:rFonts w:hint="eastAsia"/>
        </w:rPr>
        <w:t xml:space="preserve">程序随项目文件提交，避免正文后部被大段源码冲淡。</w:t>
      </w:r>
    </w:p>
    <w:bookmarkStart w:id="201"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审计报告/</w:t>
      </w:r>
      <w:r>
        <w:rPr>
          <w:rStyle w:val="VerbatimChar"/>
        </w:rPr>
        <w:t xml:space="preserve">             </w:t>
      </w:r>
      <w:r>
        <w:rPr>
          <w:rStyle w:val="VerbatimChar"/>
          <w:rFonts w:hint="eastAsia"/>
        </w:rPr>
        <w:t xml:space="preserve">外部评审意见和修改记录</w:t>
      </w:r>
    </w:p>
    <w:bookmarkEnd w:id="201"/>
    <w:bookmarkStart w:id="202"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202"/>
    <w:bookmarkStart w:id="203"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203"/>
    <w:bookmarkStart w:id="204"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204"/>
    <w:bookmarkStart w:id="205" w:name="a.4-稳健性检验补充"/>
    <w:p>
      <w:pPr>
        <w:pStyle w:val="Heading2"/>
      </w:pPr>
      <w:r>
        <w:t xml:space="preserve">A.4 </w:t>
      </w:r>
      <w:r>
        <w:rPr>
          <w:rFonts w:hint="eastAsia"/>
        </w:rPr>
        <w:t xml:space="preserve">稳健性检验补充</w:t>
      </w:r>
    </w:p>
    <w:p>
      <w:pPr>
        <w:numPr>
          <w:ilvl w:val="0"/>
          <w:numId w:val="1009"/>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9"/>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9"/>
        </w:numPr>
      </w:pPr>
      <w:r>
        <w:rPr>
          <w:rFonts w:hint="eastAsia"/>
        </w:rPr>
        <w:t xml:space="preserve">消融检验：逐项移除风险溢价、缓冲折价、预期修复等机制，验证各因素的边际贡献。</w:t>
      </w:r>
    </w:p>
    <w:p>
      <w:pPr>
        <w:numPr>
          <w:ilvl w:val="0"/>
          <w:numId w:val="1009"/>
        </w:numPr>
      </w:pPr>
      <w:r>
        <w:rPr>
          <w:rFonts w:hint="eastAsia"/>
        </w:rPr>
        <w:t xml:space="preserve">参数压力测试：扰动价格传导、风险权重和长期机制参数，检验结论是否依赖唯一一组参数。</w:t>
      </w:r>
    </w:p>
    <w:p>
      <w:pPr>
        <w:numPr>
          <w:ilvl w:val="0"/>
          <w:numId w:val="1009"/>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205"/>
    <w:bookmarkStart w:id="206"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5" Target="media/rId175.png" /><Relationship Type="http://schemas.openxmlformats.org/officeDocument/2006/relationships/image" Id="rId182" Target="media/rId182.png" /><Relationship Type="http://schemas.openxmlformats.org/officeDocument/2006/relationships/image" Id="rId94" Target="media/rId94.png" /><Relationship Type="http://schemas.openxmlformats.org/officeDocument/2006/relationships/image" Id="rId164" Target="media/rId164.png" /><Relationship Type="http://schemas.openxmlformats.org/officeDocument/2006/relationships/image" Id="rId38" Target="media/rId38.png" /><Relationship Type="http://schemas.openxmlformats.org/officeDocument/2006/relationships/image" Id="rId156" Target="media/rId156.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153" Target="media/rId153.png" /><Relationship Type="http://schemas.openxmlformats.org/officeDocument/2006/relationships/image" Id="rId179" Target="media/rId179.png" /><Relationship Type="http://schemas.openxmlformats.org/officeDocument/2006/relationships/image" Id="rId144" Target="media/rId144.png" /><Relationship Type="http://schemas.openxmlformats.org/officeDocument/2006/relationships/image" Id="rId168" Target="media/rId168.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38" Target="media/rId138.png" /><Relationship Type="http://schemas.openxmlformats.org/officeDocument/2006/relationships/image" Id="rId171" Target="media/rId171.png" /><Relationship Type="http://schemas.openxmlformats.org/officeDocument/2006/relationships/image" Id="rId100" Target="media/rId100.png" /><Relationship Type="http://schemas.openxmlformats.org/officeDocument/2006/relationships/image" Id="rId130" Target="media/rId130.png" /><Relationship Type="http://schemas.openxmlformats.org/officeDocument/2006/relationships/image" Id="rId67" Target="media/rId67.png" /><Relationship Type="http://schemas.openxmlformats.org/officeDocument/2006/relationships/image" Id="rId105" Target="media/rId105.png" /><Relationship Type="http://schemas.openxmlformats.org/officeDocument/2006/relationships/image" Id="rId55" Target="media/rId55.png" /><Relationship Type="http://schemas.openxmlformats.org/officeDocument/2006/relationships/image" Id="rId87" Target="media/rId87.png" /><Relationship Type="http://schemas.openxmlformats.org/officeDocument/2006/relationships/image" Id="rId112" Target="media/rId112.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109" Target="media/rId109.png" /><Relationship Type="http://schemas.openxmlformats.org/officeDocument/2006/relationships/image" Id="rId91" Target="media/rId91.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43" Target="media/rId43.png" /><Relationship Type="http://schemas.openxmlformats.org/officeDocument/2006/relationships/image" Id="rId160" Target="media/rId160.png" /><Relationship Type="http://schemas.openxmlformats.org/officeDocument/2006/relationships/image" Id="rId126" Target="media/rId126.png" /><Relationship Type="http://schemas.openxmlformats.org/officeDocument/2006/relationships/image" Id="rId10" Target="media/rId10.png" /><Relationship Type="http://schemas.openxmlformats.org/officeDocument/2006/relationships/image" Id="rId64" Target="media/rId64.png" /><Relationship Type="http://schemas.openxmlformats.org/officeDocument/2006/relationships/image" Id="rId148" Target="media/rId148.png" /><Relationship Type="http://schemas.openxmlformats.org/officeDocument/2006/relationships/image" Id="rId134" Target="media/rId134.png" /><Relationship Type="http://schemas.openxmlformats.org/officeDocument/2006/relationships/hyperlink" Id="rId199" Target="https://fred.stlouisfed.org/series/OVXCLS" TargetMode="External" /><Relationship Type="http://schemas.openxmlformats.org/officeDocument/2006/relationships/hyperlink" Id="rId197" Target="https://publications.opec.org/momr/chapter/147/2738" TargetMode="External" /><Relationship Type="http://schemas.openxmlformats.org/officeDocument/2006/relationships/hyperlink" Id="rId195" Target="https://www.eia.gov/dnav/pet/pet_sum_sndw_dcus_nus_w.htm" TargetMode="External" /><Relationship Type="http://schemas.openxmlformats.org/officeDocument/2006/relationships/hyperlink" Id="rId192" Target="https://www.eia.gov/international/analysis/special-topics/World_Oil_Transit_Chokepoints" TargetMode="External" /><Relationship Type="http://schemas.openxmlformats.org/officeDocument/2006/relationships/hyperlink" Id="rId193" Target="https://www.iea.org/about/oil-security-and-emergency-response/strait-of-hormuz" TargetMode="External" /><Relationship Type="http://schemas.openxmlformats.org/officeDocument/2006/relationships/hyperlink" Id="rId194" Target="https://www.iea.org/news/iea-governing-board-concludes-2022-collective-actions" TargetMode="External" /><Relationship Type="http://schemas.openxmlformats.org/officeDocument/2006/relationships/hyperlink" Id="rId196" Target="https://www.jodidata.org/oil/" TargetMode="External" /><Relationship Type="http://schemas.openxmlformats.org/officeDocument/2006/relationships/hyperlink" Id="rId198"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99" Target="https://fred.stlouisfed.org/series/OVXCLS" TargetMode="External" /><Relationship Type="http://schemas.openxmlformats.org/officeDocument/2006/relationships/hyperlink" Id="rId197" Target="https://publications.opec.org/momr/chapter/147/2738" TargetMode="External" /><Relationship Type="http://schemas.openxmlformats.org/officeDocument/2006/relationships/hyperlink" Id="rId195" Target="https://www.eia.gov/dnav/pet/pet_sum_sndw_dcus_nus_w.htm" TargetMode="External" /><Relationship Type="http://schemas.openxmlformats.org/officeDocument/2006/relationships/hyperlink" Id="rId192" Target="https://www.eia.gov/international/analysis/special-topics/World_Oil_Transit_Chokepoints" TargetMode="External" /><Relationship Type="http://schemas.openxmlformats.org/officeDocument/2006/relationships/hyperlink" Id="rId193" Target="https://www.iea.org/about/oil-security-and-emergency-response/strait-of-hormuz" TargetMode="External" /><Relationship Type="http://schemas.openxmlformats.org/officeDocument/2006/relationships/hyperlink" Id="rId194" Target="https://www.iea.org/news/iea-governing-board-concludes-2022-collective-actions" TargetMode="External" /><Relationship Type="http://schemas.openxmlformats.org/officeDocument/2006/relationships/hyperlink" Id="rId196" Target="https://www.jodidata.org/oil/" TargetMode="External" /><Relationship Type="http://schemas.openxmlformats.org/officeDocument/2006/relationships/hyperlink" Id="rId198"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2026-05-13T12:03:54Z</dcterms:created>
  <dcterms:modified xsi:type="dcterms:W3CDTF">2026-05-13T12:03:54Z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