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7.png" ContentType="image/png"/>
  <Override PartName="/word/media/rId174.png" ContentType="image/png"/>
  <Override PartName="/word/media/rId90.png" ContentType="image/png"/>
  <Override PartName="/word/media/rId156.png" ContentType="image/png"/>
  <Override PartName="/word/media/rId38.png" ContentType="image/png"/>
  <Override PartName="/word/media/rId148.png" ContentType="image/png"/>
  <Override PartName="/word/media/rId50.png" ContentType="image/png"/>
  <Override PartName="/word/media/rId24.png" ContentType="image/png"/>
  <Override PartName="/word/media/rId145.png" ContentType="image/png"/>
  <Override PartName="/word/media/rId171.png" ContentType="image/png"/>
  <Override PartName="/word/media/rId136.png" ContentType="image/png"/>
  <Override PartName="/word/media/rId160.png" ContentType="image/png"/>
  <Override PartName="/word/media/rId21.png" ContentType="image/png"/>
  <Override PartName="/word/media/rId28.png" ContentType="image/png"/>
  <Override PartName="/word/media/rId130.png" ContentType="image/png"/>
  <Override PartName="/word/media/rId163.png" ContentType="image/png"/>
  <Override PartName="/word/media/rId122.png" ContentType="image/png"/>
  <Override PartName="/word/media/rId67.png" ContentType="image/png"/>
  <Override PartName="/word/media/rId97.png" ContentType="image/png"/>
  <Override PartName="/word/media/rId55.png" ContentType="image/png"/>
  <Override PartName="/word/media/rId83.png" ContentType="image/png"/>
  <Override PartName="/word/media/rId104.png" ContentType="image/png"/>
  <Override PartName="/word/media/rId59.png" ContentType="image/png"/>
  <Override PartName="/word/media/rId79.png" ContentType="image/png"/>
  <Override PartName="/word/media/rId70.png" ContentType="image/png"/>
  <Override PartName="/word/media/rId101.png" ContentType="image/png"/>
  <Override PartName="/word/media/rId87.png" ContentType="image/png"/>
  <Override PartName="/word/media/rId75.png" ContentType="image/png"/>
  <Override PartName="/word/media/rId43.png" ContentType="image/png"/>
  <Override PartName="/word/media/rId152.png" ContentType="image/png"/>
  <Override PartName="/word/media/rId118.png" ContentType="image/png"/>
  <Override PartName="/word/media/rId10.png" ContentType="image/png"/>
  <Override PartName="/word/media/rId64.png" ContentType="image/png"/>
  <Override PartName="/word/media/rId140.png" ContentType="image/png"/>
  <Override PartName="/word/media/rId1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“数据清洗–传统供需基准–短期动态递推–长期情景预测–敏感性分析”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为解释日度价格路径，本文构建综合机制递推模型：物理供需层纳入供应中断、SPR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释放、商业库存、绕道运输、需求收缩和恐慌衰减，市场价格形成层纳入地缘风险溢价、冲击不确定性、持续封锁制度风险、缓冲确认折价和预期修复折价。综合最优模型在</w:t>
      </w:r>
      <w:r>
        <w:t xml:space="preserve"> 46 </w:t>
      </w:r>
      <w:r>
        <w:rPr>
          <w:rFonts w:hint="eastAsia"/>
        </w:rPr>
        <w:t xml:space="preserve">个交易日内取得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美元/桶、MAPE</w:t>
      </w:r>
      <w:r>
        <w:t xml:space="preserve"> </w:t>
      </w:r>
      <w:r>
        <w:rPr>
          <w:rFonts w:hint="eastAsia"/>
        </w:rPr>
        <w:t xml:space="preserve">为</w:t>
      </w:r>
      <w:r>
        <w:t xml:space="preserve"> 2.86% </w:t>
      </w:r>
      <w:r>
        <w:rPr>
          <w:rFonts w:hint="eastAsia"/>
        </w:rPr>
        <w:t xml:space="preserve">的拟合效果，并优于上一日价格朴素基准和滚动</w:t>
      </w:r>
      <w:r>
        <w:t xml:space="preserve"> ARIMA </w:t>
      </w:r>
      <w:r>
        <w:rPr>
          <w:rFonts w:hint="eastAsia"/>
        </w:rPr>
        <w:t xml:space="preserve">基准。进一步加入只使用历史滞后价格特征的</w:t>
      </w:r>
      <w:r>
        <w:t xml:space="preserve"> Ridge </w:t>
      </w:r>
      <w:r>
        <w:rPr>
          <w:rFonts w:hint="eastAsia"/>
        </w:rPr>
        <w:t xml:space="preserve">收益率辅助层后，RMSE</w:t>
      </w:r>
      <w:r>
        <w:t xml:space="preserve"> </w:t>
      </w:r>
      <w:r>
        <w:rPr>
          <w:rFonts w:hint="eastAsia"/>
        </w:rPr>
        <w:t xml:space="preserve">降至</w:t>
      </w:r>
      <w:r>
        <w:t xml:space="preserve"> 3.35 </w:t>
      </w:r>
      <w:r>
        <w:rPr>
          <w:rFonts w:hint="eastAsia"/>
        </w:rPr>
        <w:t xml:space="preserve">美元/桶、方向命中率升至</w:t>
      </w:r>
      <w:r>
        <w:t xml:space="preserve"> </w:t>
      </w:r>
      <w:r>
        <w:rPr>
          <w:rFonts w:hint="eastAsia"/>
        </w:rPr>
        <w:t xml:space="preserve">68.9%，但纯历史机器学习模型不能替代机制模型，因此该层仅作为计算机辅助增强。滞后平移、拐点、机制消融和结构稳定性检验表明，模型不是简单滞后复制，110–120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市场隐含波动率从证据校验层推进到长期参数约束层。新版长期自适应反馈模型显示，中性情景第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且仍保留二次跳涨风险。敏感性分析表明，封锁风险衰减速度、地缘风险权重、不确定性与制度风险强度是综合敏感度最高的三个因素；这说明长期结果最依赖市场吸收封锁制度风险的速度，而非某个单一政策释放量。2000</w:t>
      </w:r>
      <w:r>
        <w:t xml:space="preserve"> </w:t>
      </w:r>
      <w:r>
        <w:rPr>
          <w:rFonts w:hint="eastAsia"/>
        </w:rPr>
        <w:t xml:space="preserve">次蒙特卡洛情景树显示，第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16.3%。为避免长期中性线被误读为逐日精确预测，本文又引入受</w:t>
      </w:r>
      <w:r>
        <w:t xml:space="preserve"> GPR </w:t>
      </w:r>
      <w:r>
        <w:rPr>
          <w:rFonts w:hint="eastAsia"/>
        </w:rPr>
        <w:t xml:space="preserve">与</w:t>
      </w:r>
      <w:r>
        <w:t xml:space="preserve"> OVX </w:t>
      </w:r>
      <w:r>
        <w:rPr>
          <w:rFonts w:hint="eastAsia"/>
        </w:rPr>
        <w:t xml:space="preserve">风险读数约束的缓和、维持、升级三状态转移扰动，得到第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38.3%。GPR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年历史同长度窗口检验进一步说明：2026</w:t>
      </w:r>
      <w:r>
        <w:t xml:space="preserve"> </w:t>
      </w:r>
      <w:r>
        <w:rPr>
          <w:rFonts w:hint="eastAsia"/>
        </w:rPr>
        <w:t xml:space="preserve">冲突窗口具有罕见地缘风险和高波动特征，但外部风险指标只作为校验与长期约束证据，不作为短期同月拟合因子。</w:t>
      </w:r>
    </w:p>
    <w:p>
      <w:pPr>
        <w:pStyle w:val="BodyText"/>
      </w:pPr>
      <w:r>
        <w:rPr>
          <w:rFonts w:hint="eastAsia"/>
          <w:b/>
          <w:bCs/>
        </w:rPr>
        <w:t xml:space="preserve">关键词：</w:t>
      </w:r>
      <w:r>
        <w:t xml:space="preserve"> </w:t>
      </w:r>
      <w:r>
        <w:rPr>
          <w:rFonts w:hint="eastAsia"/>
        </w:rPr>
        <w:t xml:space="preserve">霍尔木兹海峡；原油价格；动态递推模型；战略石油储备；情景预测；敏感性分析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动态层：引入</w:t>
      </w:r>
      <w:r>
        <w:t xml:space="preserve"> </w:t>
      </w:r>
      <w:r>
        <w:rPr>
          <w:rFonts w:hint="eastAsia"/>
        </w:rPr>
        <w:t xml:space="preserve">SPR、库存、绕道、需求调整、恐慌衰减和预期修复，解释现实价格路径。</w:t>
      </w:r>
    </w:p>
    <w:p>
      <w:pPr>
        <w:numPr>
          <w:ilvl w:val="0"/>
          <w:numId w:val="1001"/>
        </w:numPr>
      </w:pPr>
      <w:r>
        <w:rPr>
          <w:rFonts w:hint="eastAsia"/>
        </w:rPr>
        <w:t xml:space="preserve">外推层：构建</w:t>
      </w:r>
      <w:r>
        <w:t xml:space="preserve"> 60–180 </w:t>
      </w:r>
      <w:r>
        <w:rPr>
          <w:rFonts w:hint="eastAsia"/>
        </w:rPr>
        <w:t xml:space="preserve">天三情景预测，并通过敏感性分析识别关键变量。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1</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完成附件数据清洗、传统供需基准、短期动态递推、参数校准和鲁棒性检验，给出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2</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20"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再建立短期动态递推模型，把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w:t>
      </w:r>
      <w:r>
        <w:t xml:space="preserve"> 60–180 </w:t>
      </w:r>
      <w:r>
        <w:rPr>
          <w:rFonts w:hint="eastAsia"/>
        </w:rPr>
        <w:t xml:space="preserve">天三情景预测模型，并通过敏感性分析、蒙特卡洛情景树、滞后地缘风险指数检验和历史样本稳健性检验识别影响长期价格平衡点和二次跳涨风险的关键变量。</w:t>
      </w:r>
    </w:p>
    <w:bookmarkStart w:id="13" w:name="fig:paper-roadmap"/>
    <w:p>
      <w:pPr>
        <w:pStyle w:val="CaptionedFigure"/>
      </w:pPr>
      <w:r>
        <w:drawing>
          <wp:inline>
            <wp:extent cx="5120640" cy="2901696"/>
            <wp:effectExtent b="0" l="0" r="0" t="0"/>
            <wp:docPr descr="" title="" id="11" name="Picture"/>
            <a:graphic>
              <a:graphicData uri="http://schemas.openxmlformats.org/drawingml/2006/picture">
                <pic:pic>
                  <pic:nvPicPr>
                    <pic:cNvPr descr="论文总体技术路线图.png" id="12" name="Picture"/>
                    <pic:cNvPicPr>
                      <a:picLocks noChangeArrowheads="1" noChangeAspect="1"/>
                    </pic:cNvPicPr>
                  </pic:nvPicPr>
                  <pic:blipFill>
                    <a:blip r:embed="rId10"/>
                    <a:stretch>
                      <a:fillRect/>
                    </a:stretch>
                  </pic:blipFill>
                  <pic:spPr bwMode="auto">
                    <a:xfrm>
                      <a:off x="0" y="0"/>
                      <a:ext cx="5120640" cy="2901696"/>
                    </a:xfrm>
                    <a:prstGeom prst="rect">
                      <a:avLst/>
                    </a:prstGeom>
                    <a:noFill/>
                    <a:ln w="9525">
                      <a:noFill/>
                      <a:headEnd/>
                      <a:tailEnd/>
                    </a:ln>
                  </pic:spPr>
                </pic:pic>
              </a:graphicData>
            </a:graphic>
          </wp:inline>
        </w:drawing>
      </w:r>
    </w:p>
    <w:p>
      <w:pPr>
        <w:pStyle w:val="ImageCaption"/>
      </w:pPr>
      <w:r>
        <w:rPr>
          <w:rFonts w:hint="eastAsia"/>
        </w:rPr>
        <w:t xml:space="preserve">本文总体技术路线。模型从附件真实数据出发，先解释短期价格平台，再外推长期情景风险。</w:t>
      </w:r>
    </w:p>
    <w:bookmarkEnd w:id="13"/>
    <w:p>
      <w:pPr>
        <w:pStyle w:val="BodyText"/>
      </w:pPr>
      <w:r>
        <w:rPr>
          <w:rFonts w:hint="eastAsia"/>
          <w:b/>
          <w:bCs/>
        </w:rPr>
        <w:t xml:space="preserve">关键结论</w:t>
      </w:r>
      <w:r>
        <w:rPr>
          <w:rFonts w:hint="eastAsia"/>
        </w:rPr>
        <w:t xml:space="preserve">如图</w:t>
      </w:r>
      <w:r>
        <w:t xml:space="preserve"> </w:t>
      </w:r>
      <w:hyperlink w:anchor="fig:paper-roadmap">
        <w:r>
          <w:rPr>
            <w:rStyle w:val="Hyperlink"/>
          </w:rPr>
          <w:t xml:space="preserve">1</w:t>
        </w:r>
      </w:hyperlink>
      <w:r>
        <w:t xml:space="preserve"> </w:t>
      </w:r>
      <w:r>
        <w:rPr>
          <w:rFonts w:hint="eastAsia"/>
        </w:rPr>
        <w:t xml:space="preserve">所示，本文不是把若干模型简单堆叠，而是用传统供需模型给出反事实压力，用综合机制递推模型解释短期平台，再用情景预测和敏感性分析刻画长期尾部风险。</w:t>
      </w:r>
    </w:p>
    <w:p>
      <w:pPr>
        <w:pStyle w:val="BodyText"/>
      </w:pPr>
      <w:r>
        <w:rPr>
          <w:rFonts w:hint="eastAsia"/>
        </w:rPr>
        <w:t xml:space="preserve">这一技术路线的核心原则是：真实价格只来自附件数据；长期部分只作情景预测，不伪装成拟合；模型检验需覆盖朴素基准、滞后复制、参数过拟合和结构稳定性等关键边界。</w:t>
      </w:r>
    </w:p>
    <w:p>
      <w:pPr>
        <w:pStyle w:val="BodyText"/>
      </w:pPr>
      <w:r>
        <w:rPr>
          <w:rFonts w:hint="eastAsia"/>
        </w:rPr>
        <w:t xml:space="preserve">最终论文只推荐一个主模型，即综合机制递推模型。传统供需模型用于提供反事实基准，三情景模型是主模型在</w:t>
      </w:r>
      <w:r>
        <w:t xml:space="preserve"> 60–180 </w:t>
      </w:r>
      <w:r>
        <w:rPr>
          <w:rFonts w:hint="eastAsia"/>
        </w:rPr>
        <w:t xml:space="preserve">天尺度上的条件外推，消融实验、敏感性分析和蒙特卡洛情景树用于证明主模型中的因素是否值得保留，并刻画多因素同时恶化时的尾部风险。因素纳入原则见表</w:t>
      </w:r>
      <w:r>
        <w:t xml:space="preserve"> </w:t>
      </w:r>
      <w:hyperlink w:anchor="tab:factor-inclusion">
        <w:r>
          <w:rPr>
            <w:rStyle w:val="Hyperlink"/>
          </w:rPr>
          <w:t xml:space="preserve">1</w:t>
        </w:r>
      </w:hyperlink>
      <w:r>
        <w:t xml:space="preserve">。</w:t>
      </w:r>
    </w:p>
    <w:bookmarkStart w:id="14"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进入综合机制递推模型，参与短期路径拟合与机制解释</w:t>
            </w:r>
          </w:p>
        </w:tc>
      </w:tr>
      <w:tr>
        <w:tc>
          <w:tcPr/>
          <w:p>
            <w:pPr>
              <w:pStyle w:val="Compact"/>
              <w:jc w:val="left"/>
            </w:pPr>
            <w:r>
              <w:rPr>
                <w:rFonts w:hint="eastAsia"/>
              </w:rPr>
              <w:t xml:space="preserve">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进入主模型，但必须通过基准对比、消融实验和稳健性检验证明必要性</w:t>
            </w:r>
          </w:p>
        </w:tc>
      </w:tr>
      <w:tr>
        <w:tc>
          <w:tcPr/>
          <w:p>
            <w:pPr>
              <w:pStyle w:val="Compact"/>
              <w:jc w:val="left"/>
            </w:pPr>
            <w:r>
              <w:rPr>
                <w:rFonts w:hint="eastAsia"/>
              </w:rPr>
              <w:t xml:space="preserve">长期情景层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w:t>
            </w:r>
            <w:r>
              <w:t xml:space="preserve"> 60–180 </w:t>
            </w:r>
            <w:r>
              <w:rPr>
                <w:rFonts w:hint="eastAsia"/>
              </w:rPr>
              <w:t xml:space="preserve">天情景预测和尾部风险解释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4"/>
    <w:bookmarkStart w:id="16" w:name="工程化实现原则"/>
    <w:p>
      <w:pPr>
        <w:pStyle w:val="Heading2"/>
      </w:pPr>
      <w:r>
        <w:rPr>
          <w:rFonts w:hint="eastAsia"/>
        </w:rPr>
        <w:t xml:space="preserve">工程化实现原则</w:t>
      </w:r>
    </w:p>
    <w:p>
      <w:pPr>
        <w:pStyle w:val="FirstParagraph"/>
      </w:pPr>
      <w:r>
        <w:rPr>
          <w:rFonts w:hint="eastAsia"/>
        </w:rPr>
        <w:t xml:space="preserve">本文没有把工程实现作为独立炫技项，而是将其转化为建模可信度的一部分：数据处理保证口径可追溯，仿真程序保证模型可复现，图表系统保证论证过程可检查。具体而言，本文所有清洗数据、外部校验数据、参数校准结果、蒙特卡洛样本、敏感性结果、论文图表和最终</w:t>
      </w:r>
      <w:r>
        <w:t xml:space="preserve"> PDF/DOCX </w:t>
      </w:r>
      <w:r>
        <w:rPr>
          <w:rFonts w:hint="eastAsia"/>
        </w:rPr>
        <w:t xml:space="preserve">均由统一项目脚本生成；这使每一个结论都可以回溯到明确的数据文件、模型参数和图表来源。</w:t>
      </w:r>
    </w:p>
    <w:bookmarkStart w:id="15" w:name="tab:engineering-implementation"/>
    <w:p>
      <w:pPr>
        <w:pStyle w:val="TableCaption"/>
      </w:pPr>
      <w:r>
        <w:rPr>
          <w:rFonts w:hint="eastAsia"/>
        </w:rPr>
        <w:t xml:space="preserve">工程能力在本文中的建模落点</w:t>
      </w:r>
    </w:p>
    <w:tbl>
      <w:tblPr>
        <w:tblStyle w:val="Table"/>
        <w:tblW w:type="auto" w:w="0"/>
        <w:tblLook w:firstRow="1" w:lastRow="0" w:firstColumn="0" w:lastColumn="0" w:noHBand="0" w:noVBand="0" w:val="0020"/>
        <w:tblCaption w:val="工程能力在本文中的建模落点"/>
      </w:tblPr>
      <w:tblGrid>
        <w:gridCol w:w="2640"/>
        <w:gridCol w:w="2640"/>
        <w:gridCol w:w="2640"/>
      </w:tblGrid>
      <w:tr>
        <w:trPr>
          <w:tblHeader w:val="on"/>
        </w:trPr>
        <w:tc>
          <w:tcPr/>
          <w:p>
            <w:pPr>
              <w:pStyle w:val="Compact"/>
              <w:jc w:val="left"/>
            </w:pPr>
            <w:r>
              <w:rPr>
                <w:rFonts w:hint="eastAsia"/>
              </w:rPr>
              <w:t xml:space="preserve">能力维度</w:t>
            </w:r>
          </w:p>
        </w:tc>
        <w:tc>
          <w:tcPr/>
          <w:p>
            <w:pPr>
              <w:pStyle w:val="Compact"/>
              <w:jc w:val="left"/>
            </w:pPr>
            <w:r>
              <w:rPr>
                <w:rFonts w:hint="eastAsia"/>
              </w:rPr>
              <w:t xml:space="preserve">在本文中的落地方式</w:t>
            </w:r>
          </w:p>
        </w:tc>
        <w:tc>
          <w:tcPr/>
          <w:p>
            <w:pPr>
              <w:pStyle w:val="Compact"/>
              <w:jc w:val="left"/>
            </w:pPr>
            <w:r>
              <w:rPr>
                <w:rFonts w:hint="eastAsia"/>
              </w:rPr>
              <w:t xml:space="preserve">对建模质量的作用</w:t>
            </w:r>
          </w:p>
        </w:tc>
      </w:tr>
      <w:tr>
        <w:tc>
          <w:tcPr/>
          <w:p>
            <w:pPr>
              <w:pStyle w:val="Compact"/>
              <w:jc w:val="left"/>
            </w:pPr>
            <w:r>
              <w:rPr>
                <w:rFonts w:hint="eastAsia"/>
              </w:rPr>
              <w:t xml:space="preserve">数据处理能力</w:t>
            </w:r>
          </w:p>
        </w:tc>
        <w:tc>
          <w:tcPr/>
          <w:p>
            <w:pPr>
              <w:pStyle w:val="Compact"/>
              <w:jc w:val="left"/>
            </w:pPr>
            <w:r>
              <w:rPr>
                <w:rFonts w:hint="eastAsia"/>
              </w:rPr>
              <w:t xml:space="preserve">自动清洗附件价格序列，接入</w:t>
            </w:r>
            <w:r>
              <w:t xml:space="preserve"> EIA、JODI、OPEC、GPR、OVX </w:t>
            </w:r>
            <w:r>
              <w:rPr>
                <w:rFonts w:hint="eastAsia"/>
              </w:rPr>
              <w:t xml:space="preserve">等外部校验数据，并统一输出中文命名数据表。</w:t>
            </w:r>
          </w:p>
        </w:tc>
        <w:tc>
          <w:tcPr/>
          <w:p>
            <w:pPr>
              <w:pStyle w:val="Compact"/>
              <w:jc w:val="left"/>
            </w:pPr>
            <w:r>
              <w:rPr>
                <w:rFonts w:hint="eastAsia"/>
              </w:rPr>
              <w:t xml:space="preserve">避免手工处理误差，保证真实价格来自附件，外部数据只用于数量级校验与长期约束。</w:t>
            </w:r>
          </w:p>
        </w:tc>
      </w:tr>
      <w:tr>
        <w:tc>
          <w:tcPr/>
          <w:p>
            <w:pPr>
              <w:pStyle w:val="Compact"/>
              <w:jc w:val="left"/>
            </w:pPr>
            <w:r>
              <w:rPr>
                <w:rFonts w:hint="eastAsia"/>
              </w:rPr>
              <w:t xml:space="preserve">仿真与批量计算能力</w:t>
            </w:r>
          </w:p>
        </w:tc>
        <w:tc>
          <w:tcPr/>
          <w:p>
            <w:pPr>
              <w:pStyle w:val="Compact"/>
              <w:jc w:val="left"/>
            </w:pPr>
            <w:r>
              <w:rPr>
                <w:rFonts w:hint="eastAsia"/>
              </w:rPr>
              <w:t xml:space="preserve">使用程序完成多目标参数搜索、局部稳健性复核、机制消融、蒙特卡洛情景树和状态转移路径抽样。</w:t>
            </w:r>
          </w:p>
        </w:tc>
        <w:tc>
          <w:tcPr/>
          <w:p>
            <w:pPr>
              <w:pStyle w:val="Compact"/>
              <w:jc w:val="left"/>
            </w:pPr>
            <w:r>
              <w:rPr>
                <w:rFonts w:hint="eastAsia"/>
              </w:rPr>
              <w:t xml:space="preserve">将</w:t>
            </w:r>
            <w:r>
              <w:rPr>
                <w:rFonts w:hint="eastAsia"/>
              </w:rPr>
              <w:t xml:space="preserve">“参数是否偶然”</w:t>
            </w:r>
            <w:r>
              <w:rPr>
                <w:rFonts w:hint="eastAsia"/>
              </w:rPr>
              <w:t xml:space="preserve">“长期是否只是一条线”</w:t>
            </w:r>
            <w:r>
              <w:rPr>
                <w:rFonts w:hint="eastAsia"/>
              </w:rPr>
              <w:t xml:space="preserve">等问题转化为可重复的数值检验。</w:t>
            </w:r>
          </w:p>
        </w:tc>
      </w:tr>
      <w:tr>
        <w:tc>
          <w:tcPr/>
          <w:p>
            <w:pPr>
              <w:pStyle w:val="Compact"/>
              <w:jc w:val="left"/>
            </w:pPr>
            <w:r>
              <w:rPr>
                <w:rFonts w:hint="eastAsia"/>
              </w:rPr>
              <w:t xml:space="preserve">可视化与论文生成能力</w:t>
            </w:r>
          </w:p>
        </w:tc>
        <w:tc>
          <w:tcPr/>
          <w:p>
            <w:pPr>
              <w:pStyle w:val="Compact"/>
              <w:jc w:val="left"/>
            </w:pPr>
            <w:r>
              <w:rPr>
                <w:rFonts w:hint="eastAsia"/>
              </w:rPr>
              <w:t xml:space="preserve">由脚本统一生成拟合图、机制图、敏感性图、蒙特卡洛图、气泡图、热力图和最终论文文件。</w:t>
            </w:r>
          </w:p>
        </w:tc>
        <w:tc>
          <w:tcPr/>
          <w:p>
            <w:pPr>
              <w:pStyle w:val="Compact"/>
              <w:jc w:val="left"/>
            </w:pPr>
            <w:r>
              <w:rPr>
                <w:rFonts w:hint="eastAsia"/>
              </w:rPr>
              <w:t xml:space="preserve">让图表承担论证功能，而不是只做装饰；每张主图都对应一个评审可能追问的问题。</w:t>
            </w:r>
          </w:p>
        </w:tc>
      </w:tr>
    </w:tbl>
    <w:bookmarkEnd w:id="15"/>
    <w:p>
      <w:pPr>
        <w:pStyle w:val="BodyText"/>
      </w:pPr>
      <w:r>
        <w:rPr>
          <w:rFonts w:hint="eastAsia"/>
          <w:b/>
          <w:bCs/>
        </w:rPr>
        <w:t xml:space="preserve">关键结论</w:t>
      </w:r>
      <w:r>
        <w:rPr>
          <w:rFonts w:hint="eastAsia"/>
        </w:rPr>
        <w:t xml:space="preserve">本文的计算机实现优势不在于使用更多工具，而在于把数据、仿真和可视化组织成可追溯的证据链：每个模型结果都能从原始数据、参数文件和生成脚本中复现。</w:t>
      </w:r>
    </w:p>
    <w:bookmarkEnd w:id="16"/>
    <w:bookmarkStart w:id="18" w:name="本文贡献与识别边界"/>
    <w:p>
      <w:pPr>
        <w:pStyle w:val="Heading2"/>
      </w:pPr>
      <w:r>
        <w:rPr>
          <w:rFonts w:hint="eastAsia"/>
        </w:rPr>
        <w:t xml:space="preserve">本文贡献与识别边界</w:t>
      </w:r>
    </w:p>
    <w:p>
      <w:pPr>
        <w:pStyle w:val="FirstParagraph"/>
      </w:pPr>
      <w:r>
        <w:rPr>
          <w:rFonts w:hint="eastAsia"/>
        </w:rPr>
        <w:t xml:space="preserve">从评审视角看，本文的关键目标是回答三个可检验问题：第一，在题面给定低弹性和封锁冲击下，传统供需模型为什么会明显高估价格；第二，哪些缓冲机制能够把理论高位压回附件中的现实价格平台；第三，当封锁延长至</w:t>
      </w:r>
      <w:r>
        <w:t xml:space="preserve"> 60–180 </w:t>
      </w:r>
      <w:r>
        <w:rPr>
          <w:rFonts w:hint="eastAsia"/>
        </w:rPr>
        <w:t xml:space="preserve">天时，哪些因素决定价格中枢和尾部跳涨风险。本文的贡献与边界见表</w:t>
      </w:r>
      <w:r>
        <w:t xml:space="preserve"> </w:t>
      </w:r>
      <w:hyperlink w:anchor="tab:contribution-boundary">
        <w:r>
          <w:rPr>
            <w:rStyle w:val="Hyperlink"/>
          </w:rPr>
          <w:t xml:space="preserve">3</w:t>
        </w:r>
      </w:hyperlink>
      <w:r>
        <w:t xml:space="preserve">。</w:t>
      </w:r>
    </w:p>
    <w:bookmarkStart w:id="17" w:name="tab:contribution-boundary"/>
    <w:p>
      <w:pPr>
        <w:pStyle w:val="TableCaption"/>
      </w:pPr>
      <w:r>
        <w:rPr>
          <w:rFonts w:hint="eastAsia"/>
        </w:rPr>
        <w:t xml:space="preserve">本文贡献与识别边界</w:t>
      </w:r>
    </w:p>
    <w:tbl>
      <w:tblPr>
        <w:tblStyle w:val="Table"/>
        <w:tblW w:type="auto" w:w="0"/>
        <w:tblLook w:firstRow="1" w:lastRow="0" w:firstColumn="0" w:lastColumn="0" w:noHBand="0" w:noVBand="0" w:val="0020"/>
        <w:tblCaption w:val="本文贡献与识别边界"/>
      </w:tblPr>
      <w:tblGrid>
        <w:gridCol w:w="2640"/>
        <w:gridCol w:w="2640"/>
        <w:gridCol w:w="2640"/>
      </w:tblGrid>
      <w:tr>
        <w:trPr>
          <w:tblHeader w:val="on"/>
        </w:trPr>
        <w:tc>
          <w:tcPr/>
          <w:p>
            <w:pPr>
              <w:pStyle w:val="Compact"/>
              <w:jc w:val="left"/>
            </w:pPr>
            <w:r>
              <w:rPr>
                <w:rFonts w:hint="eastAsia"/>
              </w:rPr>
              <w:t xml:space="preserve">维度</w:t>
            </w:r>
          </w:p>
        </w:tc>
        <w:tc>
          <w:tcPr/>
          <w:p>
            <w:pPr>
              <w:pStyle w:val="Compact"/>
              <w:jc w:val="left"/>
            </w:pPr>
            <w:r>
              <w:rPr>
                <w:rFonts w:hint="eastAsia"/>
              </w:rPr>
              <w:t xml:space="preserve">本文贡献</w:t>
            </w:r>
          </w:p>
        </w:tc>
        <w:tc>
          <w:tcPr/>
          <w:p>
            <w:pPr>
              <w:pStyle w:val="Compact"/>
              <w:jc w:val="left"/>
            </w:pPr>
            <w:r>
              <w:rPr>
                <w:rFonts w:hint="eastAsia"/>
              </w:rPr>
              <w:t xml:space="preserve">识别边界</w:t>
            </w:r>
          </w:p>
        </w:tc>
      </w:tr>
      <w:tr>
        <w:tc>
          <w:tcPr/>
          <w:p>
            <w:pPr>
              <w:pStyle w:val="Compact"/>
              <w:jc w:val="left"/>
            </w:pPr>
            <w:r>
              <w:rPr>
                <w:rFonts w:hint="eastAsia"/>
              </w:rPr>
              <w:t xml:space="preserve">反事实基准</w:t>
            </w:r>
          </w:p>
        </w:tc>
        <w:tc>
          <w:tcPr/>
          <w:p>
            <w:pPr>
              <w:pStyle w:val="Compact"/>
              <w:jc w:val="left"/>
            </w:pPr>
            <w:r>
              <w:rPr>
                <w:rFonts w:hint="eastAsia"/>
              </w:rPr>
              <w:t xml:space="preserve">依据赛题低弹性假设构造无缓冲价格上界，给出动态模型需要解释的压力来源。</w:t>
            </w:r>
          </w:p>
        </w:tc>
        <w:tc>
          <w:tcPr/>
          <w:p>
            <w:pPr>
              <w:pStyle w:val="Compact"/>
              <w:jc w:val="left"/>
            </w:pPr>
            <w:r>
              <w:rPr>
                <w:rFonts w:hint="eastAsia"/>
              </w:rPr>
              <w:t xml:space="preserve">该上界是题面条件下的反事实压力，不是对现实市场价格的直接预测。</w:t>
            </w:r>
          </w:p>
        </w:tc>
      </w:tr>
      <w:tr>
        <w:tc>
          <w:tcPr/>
          <w:p>
            <w:pPr>
              <w:pStyle w:val="Compact"/>
              <w:jc w:val="left"/>
            </w:pPr>
            <w:r>
              <w:rPr>
                <w:rFonts w:hint="eastAsia"/>
              </w:rPr>
              <w:t xml:space="preserve">短期机制递推</w:t>
            </w:r>
          </w:p>
        </w:tc>
        <w:tc>
          <w:tcPr/>
          <w:p>
            <w:pPr>
              <w:pStyle w:val="Compact"/>
              <w:jc w:val="left"/>
            </w:pPr>
            <w:r>
              <w:rPr>
                <w:rFonts w:hint="eastAsia"/>
              </w:rPr>
              <w:t xml:space="preserve">将</w:t>
            </w:r>
            <w:r>
              <w:t xml:space="preserve"> </w:t>
            </w:r>
            <w:r>
              <w:rPr>
                <w:rFonts w:hint="eastAsia"/>
              </w:rPr>
              <w:t xml:space="preserve">SPR、商业库存、绕道运输、需求收缩、恐慌衰减、风险溢价和预期修复放入同一日度递推框架，解释附件冲突窗口内的价格平台。</w:t>
            </w:r>
          </w:p>
        </w:tc>
        <w:tc>
          <w:tcPr/>
          <w:p>
            <w:pPr>
              <w:pStyle w:val="Compact"/>
              <w:jc w:val="left"/>
            </w:pPr>
            <w:r>
              <w:rPr>
                <w:rFonts w:hint="eastAsia"/>
              </w:rPr>
              <w:t xml:space="preserve">短期结果只在</w:t>
            </w:r>
            <w:r>
              <w:t xml:space="preserve"> 2026 </w:t>
            </w:r>
            <w:r>
              <w:rPr>
                <w:rFonts w:hint="eastAsia"/>
              </w:rPr>
              <w:t xml:space="preserve">冲突窗口内校准，不包装为跨年份通用交易模型。</w:t>
            </w:r>
          </w:p>
        </w:tc>
      </w:tr>
      <w:tr>
        <w:tc>
          <w:tcPr/>
          <w:p>
            <w:pPr>
              <w:pStyle w:val="Compact"/>
              <w:jc w:val="left"/>
            </w:pPr>
            <w:r>
              <w:rPr>
                <w:rFonts w:hint="eastAsia"/>
              </w:rPr>
              <w:t xml:space="preserve">模型鲁棒性检验</w:t>
            </w:r>
          </w:p>
        </w:tc>
        <w:tc>
          <w:tcPr/>
          <w:p>
            <w:pPr>
              <w:pStyle w:val="Compact"/>
              <w:jc w:val="left"/>
            </w:pPr>
            <w:r>
              <w:rPr>
                <w:rFonts w:hint="eastAsia"/>
              </w:rPr>
              <w:t xml:space="preserve">与朴素上一日、漂移随机游走和</w:t>
            </w:r>
            <w:r>
              <w:t xml:space="preserve"> ARIMA </w:t>
            </w:r>
            <w:r>
              <w:rPr>
                <w:rFonts w:hint="eastAsia"/>
              </w:rPr>
              <w:t xml:space="preserve">基准比较，并加入</w:t>
            </w:r>
            <w:r>
              <w:t xml:space="preserve"> DM </w:t>
            </w:r>
            <w:r>
              <w:rPr>
                <w:rFonts w:hint="eastAsia"/>
              </w:rPr>
              <w:t xml:space="preserve">检验、滞后平移、机制消融和参数扰动测试。</w:t>
            </w:r>
          </w:p>
        </w:tc>
        <w:tc>
          <w:tcPr/>
          <w:p>
            <w:pPr>
              <w:pStyle w:val="Compact"/>
              <w:jc w:val="left"/>
            </w:pPr>
            <w:r>
              <w:rPr>
                <w:rFonts w:hint="eastAsia"/>
              </w:rPr>
              <w:t xml:space="preserve">检验提供支持性证据，但不能替代未来真实观测对长期外推的事后验证。</w:t>
            </w:r>
          </w:p>
        </w:tc>
      </w:tr>
      <w:tr>
        <w:tc>
          <w:tcPr/>
          <w:p>
            <w:pPr>
              <w:pStyle w:val="Compact"/>
              <w:jc w:val="left"/>
            </w:pPr>
            <w:r>
              <w:rPr>
                <w:rFonts w:hint="eastAsia"/>
              </w:rPr>
              <w:t xml:space="preserve">长期情景推演</w:t>
            </w:r>
          </w:p>
        </w:tc>
        <w:tc>
          <w:tcPr/>
          <w:p>
            <w:pPr>
              <w:pStyle w:val="Compact"/>
              <w:jc w:val="left"/>
            </w:pPr>
            <w:r>
              <w:rPr>
                <w:rFonts w:hint="eastAsia"/>
              </w:rPr>
              <w:t xml:space="preserve">把主模型延伸到</w:t>
            </w:r>
            <w:r>
              <w:t xml:space="preserve"> 60–180 </w:t>
            </w:r>
            <w:r>
              <w:rPr>
                <w:rFonts w:hint="eastAsia"/>
              </w:rPr>
              <w:t xml:space="preserve">天，输出乐观、中性、悲观路径、蒙特卡洛区间和状态转移尾部风险。</w:t>
            </w:r>
          </w:p>
        </w:tc>
        <w:tc>
          <w:tcPr/>
          <w:p>
            <w:pPr>
              <w:pStyle w:val="Compact"/>
              <w:jc w:val="left"/>
            </w:pPr>
            <w:r>
              <w:rPr>
                <w:rFonts w:hint="eastAsia"/>
              </w:rPr>
              <w:t xml:space="preserve">长期结果是条件情景预测，不把中性曲线写成未来每日油价的精确点预测。</w:t>
            </w:r>
          </w:p>
        </w:tc>
      </w:tr>
      <w:tr>
        <w:tc>
          <w:tcPr/>
          <w:p>
            <w:pPr>
              <w:pStyle w:val="Compact"/>
              <w:jc w:val="left"/>
            </w:pPr>
            <w:r>
              <w:rPr>
                <w:rFonts w:hint="eastAsia"/>
              </w:rPr>
              <w:t xml:space="preserve">外部合理性校验</w:t>
            </w:r>
          </w:p>
        </w:tc>
        <w:tc>
          <w:tcPr/>
          <w:p>
            <w:pPr>
              <w:pStyle w:val="Compact"/>
              <w:jc w:val="left"/>
            </w:pPr>
            <w:r>
              <w:rPr>
                <w:rFonts w:hint="eastAsia"/>
              </w:rPr>
              <w:t xml:space="preserve">使用</w:t>
            </w:r>
            <w:r>
              <w:t xml:space="preserve"> EIA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指数、OVX</w:t>
            </w:r>
            <w:r>
              <w:t xml:space="preserve"> </w:t>
            </w:r>
            <w:r>
              <w:rPr>
                <w:rFonts w:hint="eastAsia"/>
              </w:rPr>
              <w:t xml:space="preserve">隐含波动率和</w:t>
            </w:r>
            <w:r>
              <w:t xml:space="preserve"> 2017–2026 </w:t>
            </w:r>
            <w:r>
              <w:rPr>
                <w:rFonts w:hint="eastAsia"/>
              </w:rPr>
              <w:t xml:space="preserve">历史同长度窗口验证数量级、事件极端性与风险环境。</w:t>
            </w:r>
          </w:p>
        </w:tc>
        <w:tc>
          <w:tcPr/>
          <w:p>
            <w:pPr>
              <w:pStyle w:val="Compact"/>
              <w:jc w:val="left"/>
            </w:pPr>
            <w:r>
              <w:rPr>
                <w:rFonts w:hint="eastAsia"/>
              </w:rPr>
              <w:t xml:space="preserve">外部数据用于数量级校验和约束；JODI</w:t>
            </w:r>
            <w:r>
              <w:t xml:space="preserve"> </w:t>
            </w:r>
            <w:r>
              <w:rPr>
                <w:rFonts w:hint="eastAsia"/>
              </w:rPr>
              <w:t xml:space="preserve">按多国上报口径解释，附件价格仍是短期拟合目标。</w:t>
            </w:r>
          </w:p>
        </w:tc>
      </w:tr>
    </w:tbl>
    <w:bookmarkEnd w:id="17"/>
    <w:p>
      <w:pPr>
        <w:pStyle w:val="BodyText"/>
      </w:pPr>
      <w:r>
        <w:rPr>
          <w:rFonts w:hint="eastAsia"/>
          <w:b/>
          <w:bCs/>
        </w:rPr>
        <w:t xml:space="preserve">关键结论</w:t>
      </w:r>
      <w:r>
        <w:rPr>
          <w:rFonts w:hint="eastAsia"/>
        </w:rPr>
        <w:t xml:space="preserve">本文的识别逻辑是</w:t>
      </w:r>
      <w:r>
        <w:rPr>
          <w:rFonts w:hint="eastAsia"/>
        </w:rPr>
        <w:t xml:space="preserve">“反事实压力—机制缓冲—鲁棒性检验—条件外推”</w:t>
      </w:r>
      <w:r>
        <w:rPr>
          <w:rFonts w:hint="eastAsia"/>
        </w:rPr>
        <w:t xml:space="preserve">：先说明为什么会有高价压力，再说明哪些机制压低价格，并用基准、消融、敏感性和历史窗口检验排除单纯曲线拟合。</w:t>
      </w:r>
    </w:p>
    <w:bookmarkEnd w:id="18"/>
    <w:bookmarkStart w:id="19" w:name="文献依据与建模约束"/>
    <w:p>
      <w:pPr>
        <w:pStyle w:val="Heading2"/>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传统基准与综合机制递推模型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长期结果应报告情景、区间和尾部概率，不夸大单点预测</w:t>
            </w:r>
          </w:p>
        </w:tc>
        <w:tc>
          <w:tcPr/>
          <w:p>
            <w:pPr>
              <w:pStyle w:val="Compact"/>
              <w:jc w:val="left"/>
            </w:pPr>
            <w:r>
              <w:rPr>
                <w:rFonts w:hint="eastAsia"/>
              </w:rPr>
              <w:t xml:space="preserve">三情景、蒙特卡洛和状态转移情景树</w:t>
            </w:r>
          </w:p>
        </w:tc>
      </w:tr>
    </w:tbl>
    <w:bookmarkEnd w:id="19"/>
    <w:bookmarkEnd w:id="20"/>
    <w:bookmarkStart w:id="32" w:name="数据处理与描述性分析"/>
    <w:p>
      <w:pPr>
        <w:pStyle w:val="Heading1"/>
      </w:pPr>
      <w:r>
        <w:rPr>
          <w:rFonts w:hint="eastAsia"/>
        </w:rPr>
        <w:t xml:space="preserve">数据处理与描述性分析</w:t>
      </w:r>
    </w:p>
    <w:bookmarkStart w:id="27"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日。数据清洗步骤包括日期解析、数值字段标准化、收益率计算、滚动波动率计算和冲突窗口截取。第一条记录的前收盘价缺失属于正常时间序列边界，冲突窗口内收盘价不存在缺失。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本文采用附件</w:t>
      </w:r>
      <w:r>
        <w:t xml:space="preserve"> CSV </w:t>
      </w:r>
      <w:r>
        <w:rPr>
          <w:rFonts w:hint="eastAsia"/>
        </w:rPr>
        <w:t xml:space="preserve">中的</w:t>
      </w:r>
      <w:r>
        <w:t xml:space="preserve"> </w:t>
      </w:r>
      <w:r>
        <w:rPr>
          <w:rStyle w:val="VerbatimChar"/>
        </w:rPr>
        <w:t xml:space="preserve">close_price</w:t>
      </w:r>
      <w:r>
        <w:t xml:space="preserve"> </w:t>
      </w:r>
      <w:r>
        <w:rPr>
          <w:rFonts w:hint="eastAsia"/>
        </w:rPr>
        <w:t xml:space="preserve">作为拟合目标。题面中提到的极端峰值和附件</w:t>
      </w:r>
      <w:r>
        <w:t xml:space="preserve"> CSV </w:t>
      </w:r>
      <w:r>
        <w:rPr>
          <w:rFonts w:hint="eastAsia"/>
        </w:rPr>
        <w:t xml:space="preserve">的收盘价口径并不完全一致，因此本文在建模评价中坚持</w:t>
      </w:r>
      <w:r>
        <w:rPr>
          <w:rFonts w:hint="eastAsia"/>
        </w:rPr>
        <w:t xml:space="preserve">“以附件数据为准”</w:t>
      </w:r>
      <w:r>
        <w:rPr>
          <w:rFonts w:hint="eastAsia"/>
        </w:rPr>
        <w:t xml:space="preserve">，并把题面峰值作为极端冲击叙述背景。</w:t>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p>
      <w:pPr>
        <w:pStyle w:val="BodyText"/>
      </w:pPr>
      <w:r>
        <w:rPr>
          <w:rFonts w:hint="eastAsia"/>
        </w:rPr>
        <w:t xml:space="preserve">为增强长期情景预测的外部约束，本文进一步补充</w:t>
      </w:r>
      <w:r>
        <w:t xml:space="preserve"> EIA </w:t>
      </w:r>
      <w:r>
        <w:rPr>
          <w:rFonts w:hint="eastAsia"/>
        </w:rPr>
        <w:t xml:space="preserve">官方周度数据，包括美国</w:t>
      </w:r>
      <w:r>
        <w:t xml:space="preserve"> SPR </w:t>
      </w:r>
      <w:r>
        <w:rPr>
          <w:rFonts w:hint="eastAsia"/>
        </w:rPr>
        <w:t xml:space="preserve">原油库存、美国商业原油库存和美国原油产量。需要说明的是，这些数据均为美国口径，不能直接等同全球战略储备、全球商业库存或全球供给恢复能力；本文将其用于校验长期模型的数量级和叙述边界，而不是粗暴替换赛题给定的全球冲击参数。</w:t>
      </w:r>
    </w:p>
    <w:p>
      <w:pPr>
        <w:pStyle w:val="TableCaption"/>
      </w:pPr>
      <w:r>
        <w:t xml:space="preserve">EIA </w:t>
      </w:r>
      <w:r>
        <w:rPr>
          <w:rFonts w:hint="eastAsia"/>
        </w:rPr>
        <w:t xml:space="preserve">官方外生数据摘要</w:t>
      </w:r>
    </w:p>
    <w:tbl>
      <w:tblPr>
        <w:tblStyle w:val="Table"/>
        <w:tblW w:type="auto" w:w="0"/>
        <w:tblLook w:firstRow="1" w:lastRow="0" w:firstColumn="0" w:lastColumn="0" w:noHBand="0" w:noVBand="0" w:val="0020"/>
        <w:tblCaption w:val="EIA 官方外生数据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冲突前数值</w:t>
            </w:r>
          </w:p>
        </w:tc>
        <w:tc>
          <w:tcPr/>
          <w:p>
            <w:pPr>
              <w:pStyle w:val="Compact"/>
              <w:jc w:val="right"/>
            </w:pPr>
            <w:r>
              <w:rPr>
                <w:rFonts w:hint="eastAsia"/>
              </w:rPr>
              <w:t xml:space="preserve">窗口末数值</w:t>
            </w:r>
          </w:p>
        </w:tc>
        <w:tc>
          <w:tcPr/>
          <w:p>
            <w:pPr>
              <w:pStyle w:val="Compact"/>
              <w:jc w:val="right"/>
            </w:pPr>
            <w:r>
              <w:rPr>
                <w:rFonts w:hint="eastAsia"/>
              </w:rPr>
              <w:t xml:space="preserve">窗口变化</w:t>
            </w:r>
          </w:p>
        </w:tc>
        <w:tc>
          <w:tcPr/>
          <w:p>
            <w:pPr>
              <w:pStyle w:val="Compact"/>
              <w:jc w:val="right"/>
            </w:pPr>
            <w:r>
              <w:rPr>
                <w:rFonts w:hint="eastAsia"/>
              </w:rPr>
              <w:t xml:space="preserve">日均变化</w:t>
            </w:r>
          </w:p>
        </w:tc>
      </w:tr>
      <w:tr>
        <w:tc>
          <w:tcPr/>
          <w:p>
            <w:pPr>
              <w:pStyle w:val="Compact"/>
              <w:jc w:val="left"/>
            </w:pPr>
            <w:r>
              <w:rPr>
                <w:rFonts w:hint="eastAsia"/>
              </w:rPr>
              <w:t xml:space="preserve">美国</w:t>
            </w:r>
            <w:r>
              <w:t xml:space="preserve"> SPR </w:t>
            </w:r>
            <w:r>
              <w:rPr>
                <w:rFonts w:hint="eastAsia"/>
              </w:rPr>
              <w:t xml:space="preserve">库存</w:t>
            </w:r>
          </w:p>
        </w:tc>
        <w:tc>
          <w:tcPr/>
          <w:p>
            <w:pPr>
              <w:pStyle w:val="Compact"/>
              <w:jc w:val="right"/>
            </w:pPr>
            <w:r>
              <w:t xml:space="preserve">415441</w:t>
            </w:r>
          </w:p>
        </w:tc>
        <w:tc>
          <w:tcPr/>
          <w:p>
            <w:pPr>
              <w:pStyle w:val="Compact"/>
              <w:jc w:val="right"/>
            </w:pPr>
            <w:r>
              <w:t xml:space="preserve">392700</w:t>
            </w:r>
          </w:p>
        </w:tc>
        <w:tc>
          <w:tcPr/>
          <w:p>
            <w:pPr>
              <w:pStyle w:val="Compact"/>
              <w:jc w:val="right"/>
            </w:pPr>
            <w:r>
              <w:t xml:space="preserve">-2274.1 </w:t>
            </w:r>
            <w:r>
              <w:rPr>
                <w:rFonts w:hint="eastAsia"/>
              </w:rPr>
              <w:t xml:space="preserve">万桶</w:t>
            </w:r>
          </w:p>
        </w:tc>
        <w:tc>
          <w:tcPr/>
          <w:p>
            <w:pPr>
              <w:pStyle w:val="Compact"/>
              <w:jc w:val="right"/>
            </w:pPr>
            <w:r>
              <w:t xml:space="preserve">-36.10 </w:t>
            </w:r>
            <w:r>
              <w:rPr>
                <w:rFonts w:hint="eastAsia"/>
              </w:rPr>
              <w:t xml:space="preserve">万桶/日</w:t>
            </w:r>
          </w:p>
        </w:tc>
      </w:tr>
      <w:tr>
        <w:tc>
          <w:tcPr/>
          <w:p>
            <w:pPr>
              <w:pStyle w:val="Compact"/>
              <w:jc w:val="left"/>
            </w:pPr>
            <w:r>
              <w:rPr>
                <w:rFonts w:hint="eastAsia"/>
              </w:rPr>
              <w:t xml:space="preserve">美国商业库存</w:t>
            </w:r>
          </w:p>
        </w:tc>
        <w:tc>
          <w:tcPr/>
          <w:p>
            <w:pPr>
              <w:pStyle w:val="Compact"/>
              <w:jc w:val="right"/>
            </w:pPr>
            <w:r>
              <w:t xml:space="preserve">439279</w:t>
            </w:r>
          </w:p>
        </w:tc>
        <w:tc>
          <w:tcPr/>
          <w:p>
            <w:pPr>
              <w:pStyle w:val="Compact"/>
              <w:jc w:val="right"/>
            </w:pPr>
            <w:r>
              <w:t xml:space="preserve">457182</w:t>
            </w:r>
          </w:p>
        </w:tc>
        <w:tc>
          <w:tcPr/>
          <w:p>
            <w:pPr>
              <w:pStyle w:val="Compact"/>
              <w:jc w:val="right"/>
            </w:pPr>
            <w:r>
              <w:t xml:space="preserve">1790.3 </w:t>
            </w:r>
            <w:r>
              <w:rPr>
                <w:rFonts w:hint="eastAsia"/>
              </w:rPr>
              <w:t xml:space="preserve">万桶</w:t>
            </w:r>
          </w:p>
        </w:tc>
        <w:tc>
          <w:tcPr/>
          <w:p>
            <w:pPr>
              <w:pStyle w:val="Compact"/>
              <w:jc w:val="right"/>
            </w:pPr>
            <w:r>
              <w:t xml:space="preserve">28.42 </w:t>
            </w:r>
            <w:r>
              <w:rPr>
                <w:rFonts w:hint="eastAsia"/>
              </w:rPr>
              <w:t xml:space="preserve">万桶/日</w:t>
            </w:r>
          </w:p>
        </w:tc>
      </w:tr>
      <w:tr>
        <w:tc>
          <w:tcPr/>
          <w:p>
            <w:pPr>
              <w:pStyle w:val="Compact"/>
              <w:jc w:val="left"/>
            </w:pPr>
            <w:r>
              <w:rPr>
                <w:rFonts w:hint="eastAsia"/>
              </w:rPr>
              <w:t xml:space="preserve">美国原油产量</w:t>
            </w:r>
          </w:p>
        </w:tc>
        <w:tc>
          <w:tcPr/>
          <w:p>
            <w:pPr>
              <w:pStyle w:val="Compact"/>
              <w:jc w:val="right"/>
            </w:pPr>
            <w:r>
              <w:t xml:space="preserve">13696</w:t>
            </w:r>
          </w:p>
        </w:tc>
        <w:tc>
          <w:tcPr/>
          <w:p>
            <w:pPr>
              <w:pStyle w:val="Compact"/>
              <w:jc w:val="right"/>
            </w:pPr>
            <w:r>
              <w:t xml:space="preserve">13573</w:t>
            </w:r>
          </w:p>
        </w:tc>
        <w:tc>
          <w:tcPr/>
          <w:p>
            <w:pPr>
              <w:pStyle w:val="Compact"/>
              <w:jc w:val="right"/>
            </w:pPr>
            <w:r>
              <w:t xml:space="preserve">-12.3 </w:t>
            </w:r>
            <w:r>
              <w:rPr>
                <w:rFonts w:hint="eastAsia"/>
              </w:rPr>
              <w:t xml:space="preserve">万桶/日</w:t>
            </w:r>
          </w:p>
        </w:tc>
        <w:tc>
          <w:tcPr/>
          <w:p>
            <w:pPr>
              <w:pStyle w:val="Compact"/>
              <w:jc w:val="right"/>
            </w:pPr>
            <w:r>
              <w:t xml:space="preserve">-0.20 </w:t>
            </w:r>
            <w:r>
              <w:rPr>
                <w:rFonts w:hint="eastAsia"/>
              </w:rPr>
              <w:t xml:space="preserve">万桶/日</w:t>
            </w:r>
          </w:p>
        </w:tc>
      </w:tr>
    </w:tbl>
    <w:p>
      <w:pPr>
        <w:pStyle w:val="BodyText"/>
      </w:pPr>
      <w:r>
        <w:rPr>
          <w:rFonts w:hint="eastAsia"/>
        </w:rPr>
        <w:t xml:space="preserve">该外部数据带来三个约束。第一，美国</w:t>
      </w:r>
      <w:r>
        <w:t xml:space="preserve"> SPR </w:t>
      </w:r>
      <w:r>
        <w:rPr>
          <w:rFonts w:hint="eastAsia"/>
        </w:rPr>
        <w:t xml:space="preserve">释放强度明显低于赛题给定的国际协调释放上限，因此模型中的</w:t>
      </w:r>
      <w:r>
        <w:t xml:space="preserve"> SPR </w:t>
      </w:r>
      <w:r>
        <w:rPr>
          <w:rFonts w:hint="eastAsia"/>
        </w:rPr>
        <w:t xml:space="preserve">参数应解释为全球或多国协调缓冲能力，而非美国单独释放量。第二，美国商业库存并未在冲突窗口内快速耗尽，说明库存缓冲不能被写成机械消耗项。第三，美国原油产量短期变化较小，支持</w:t>
      </w:r>
      <w:r>
        <w:rPr>
          <w:rFonts w:hint="eastAsia"/>
        </w:rPr>
        <w:t xml:space="preserve">“非海湾供给恢复较慢，难以单独抵消封锁缺口”</w:t>
      </w:r>
      <w:r>
        <w:rPr>
          <w:rFonts w:hint="eastAsia"/>
        </w:rPr>
        <w:t xml:space="preserve">的长期设定。</w:t>
      </w:r>
    </w:p>
    <w:p>
      <w:pPr>
        <w:pStyle w:val="BodyText"/>
      </w:pPr>
      <w:r>
        <w:rPr>
          <w:rFonts w:hint="eastAsia"/>
        </w:rPr>
        <w:t xml:space="preserve">为补强全球口径约束，本文进一步接入</w:t>
      </w:r>
      <w:r>
        <w:t xml:space="preserve"> JODI Oil World Database。JODI </w:t>
      </w:r>
      <w:r>
        <w:rPr>
          <w:rFonts w:hint="eastAsia"/>
        </w:rPr>
        <w:t xml:space="preserve">数据由国际能源论坛协调，汇集多国官方上报的月度石油数据。本文下载</w:t>
      </w:r>
      <w:r>
        <w:t xml:space="preserve"> 2025 </w:t>
      </w:r>
      <w:r>
        <w:rPr>
          <w:rFonts w:hint="eastAsia"/>
        </w:rPr>
        <w:t xml:space="preserve">年完整年度</w:t>
      </w:r>
      <w:r>
        <w:t xml:space="preserve"> CSV </w:t>
      </w:r>
      <w:r>
        <w:rPr>
          <w:rFonts w:hint="eastAsia"/>
        </w:rPr>
        <w:t xml:space="preserve">和</w:t>
      </w:r>
      <w:r>
        <w:t xml:space="preserve"> 2026 </w:t>
      </w:r>
      <w:r>
        <w:rPr>
          <w:rFonts w:hint="eastAsia"/>
        </w:rPr>
        <w:t xml:space="preserve">年当前年度</w:t>
      </w:r>
      <w:r>
        <w:t xml:space="preserve"> </w:t>
      </w:r>
      <w:r>
        <w:rPr>
          <w:rFonts w:hint="eastAsia"/>
        </w:rPr>
        <w:t xml:space="preserve">CSV，抽取一次石油和二次石油中的产量、库存、进出口、油品需求与炼厂产出。由于</w:t>
      </w:r>
      <w:r>
        <w:t xml:space="preserve"> JODI </w:t>
      </w:r>
      <w:r>
        <w:rPr>
          <w:rFonts w:hint="eastAsia"/>
        </w:rPr>
        <w:t xml:space="preserve">存在国家覆盖差异和发布滞后，本文不把它写成完整全球总量，而称为</w:t>
      </w:r>
      <w:r>
        <w:rPr>
          <w:rFonts w:hint="eastAsia"/>
        </w:rPr>
        <w:t xml:space="preserve">“多国上报口径”</w:t>
      </w:r>
      <w:r>
        <w:rPr>
          <w:rFonts w:hint="eastAsia"/>
        </w:rPr>
        <w:t xml:space="preserve">；所有变化量均采用</w:t>
      </w:r>
      <w:r>
        <w:t xml:space="preserve"> 2026 </w:t>
      </w:r>
      <w:r>
        <w:rPr>
          <w:rFonts w:hint="eastAsia"/>
        </w:rPr>
        <w:t xml:space="preserve">年</w:t>
      </w:r>
      <w:r>
        <w:t xml:space="preserve"> 2 </w:t>
      </w:r>
      <w:r>
        <w:rPr>
          <w:rFonts w:hint="eastAsia"/>
        </w:rPr>
        <w:t xml:space="preserve">月已上报国家/地区作为同口径样本，再回看这些国家/地区在</w:t>
      </w:r>
      <w:r>
        <w:t xml:space="preserve"> 2025 </w:t>
      </w:r>
      <w:r>
        <w:rPr>
          <w:rFonts w:hint="eastAsia"/>
        </w:rPr>
        <w:t xml:space="preserve">年</w:t>
      </w:r>
      <w:r>
        <w:t xml:space="preserve"> 2 </w:t>
      </w:r>
      <w:r>
        <w:rPr>
          <w:rFonts w:hint="eastAsia"/>
        </w:rPr>
        <w:t xml:space="preserve">月和</w:t>
      </w:r>
      <w:r>
        <w:t xml:space="preserve"> 2025 </w:t>
      </w:r>
      <w:r>
        <w:rPr>
          <w:rFonts w:hint="eastAsia"/>
        </w:rPr>
        <w:t xml:space="preserve">年</w:t>
      </w:r>
      <w:r>
        <w:t xml:space="preserve"> 12 </w:t>
      </w:r>
      <w:r>
        <w:rPr>
          <w:rFonts w:hint="eastAsia"/>
        </w:rPr>
        <w:t xml:space="preserve">月的数值。</w:t>
      </w:r>
    </w:p>
    <w:p>
      <w:pPr>
        <w:pStyle w:val="TableCaption"/>
      </w:pPr>
      <w:r>
        <w:t xml:space="preserve">JODI </w:t>
      </w:r>
      <w:r>
        <w:rPr>
          <w:rFonts w:hint="eastAsia"/>
        </w:rPr>
        <w:t xml:space="preserve">多国口径外生约束摘要</w:t>
      </w:r>
    </w:p>
    <w:tbl>
      <w:tblPr>
        <w:tblStyle w:val="Table"/>
        <w:tblW w:type="auto" w:w="0"/>
        <w:tblLook w:firstRow="1" w:lastRow="0" w:firstColumn="0" w:lastColumn="0" w:noHBand="0" w:noVBand="0" w:val="0020"/>
        <w:tblCaption w:val="JODI 多国口径外生约束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月份</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right"/>
            </w:pPr>
            <w:r>
              <w:rPr>
                <w:rFonts w:hint="eastAsia"/>
              </w:rPr>
              <w:t xml:space="preserve">同口径较上年末变化</w:t>
            </w:r>
          </w:p>
        </w:tc>
      </w:tr>
      <w:tr>
        <w:tc>
          <w:tcPr/>
          <w:p>
            <w:pPr>
              <w:pStyle w:val="Compact"/>
              <w:jc w:val="left"/>
            </w:pPr>
            <w:r>
              <w:rPr>
                <w:rFonts w:hint="eastAsia"/>
              </w:rPr>
              <w:t xml:space="preserve">原油及凝析油产量</w:t>
            </w:r>
          </w:p>
        </w:tc>
        <w:tc>
          <w:tcPr/>
          <w:p>
            <w:pPr>
              <w:pStyle w:val="Compact"/>
              <w:jc w:val="right"/>
            </w:pPr>
            <w:r>
              <w:t xml:space="preserve">2026-02</w:t>
            </w:r>
          </w:p>
        </w:tc>
        <w:tc>
          <w:tcPr/>
          <w:p>
            <w:pPr>
              <w:pStyle w:val="Compact"/>
              <w:jc w:val="right"/>
            </w:pPr>
            <w:r>
              <w:t xml:space="preserve">51456.97</w:t>
            </w:r>
          </w:p>
        </w:tc>
        <w:tc>
          <w:tcPr/>
          <w:p>
            <w:pPr>
              <w:pStyle w:val="Compact"/>
              <w:jc w:val="right"/>
            </w:pPr>
            <w:r>
              <w:t xml:space="preserve">KBD</w:t>
            </w:r>
          </w:p>
        </w:tc>
        <w:tc>
          <w:tcPr/>
          <w:p>
            <w:pPr>
              <w:pStyle w:val="Compact"/>
              <w:jc w:val="right"/>
            </w:pPr>
            <w:r>
              <w:t xml:space="preserve">108.39</w:t>
            </w:r>
          </w:p>
        </w:tc>
      </w:tr>
      <w:tr>
        <w:tc>
          <w:tcPr/>
          <w:p>
            <w:pPr>
              <w:pStyle w:val="Compact"/>
              <w:jc w:val="left"/>
            </w:pPr>
            <w:r>
              <w:rPr>
                <w:rFonts w:hint="eastAsia"/>
              </w:rPr>
              <w:t xml:space="preserve">原油及凝析油期末库存</w:t>
            </w:r>
          </w:p>
        </w:tc>
        <w:tc>
          <w:tcPr/>
          <w:p>
            <w:pPr>
              <w:pStyle w:val="Compact"/>
              <w:jc w:val="right"/>
            </w:pPr>
            <w:r>
              <w:t xml:space="preserve">2026-02</w:t>
            </w:r>
          </w:p>
        </w:tc>
        <w:tc>
          <w:tcPr/>
          <w:p>
            <w:pPr>
              <w:pStyle w:val="Compact"/>
              <w:jc w:val="right"/>
            </w:pPr>
            <w:r>
              <w:t xml:space="preserve">2203133.02</w:t>
            </w:r>
          </w:p>
        </w:tc>
        <w:tc>
          <w:tcPr/>
          <w:p>
            <w:pPr>
              <w:pStyle w:val="Compact"/>
              <w:jc w:val="right"/>
            </w:pPr>
            <w:r>
              <w:t xml:space="preserve">KBBL</w:t>
            </w:r>
          </w:p>
        </w:tc>
        <w:tc>
          <w:tcPr/>
          <w:p>
            <w:pPr>
              <w:pStyle w:val="Compact"/>
              <w:jc w:val="right"/>
            </w:pPr>
            <w:r>
              <w:t xml:space="preserve">20073.83</w:t>
            </w:r>
          </w:p>
        </w:tc>
      </w:tr>
      <w:tr>
        <w:tc>
          <w:tcPr/>
          <w:p>
            <w:pPr>
              <w:pStyle w:val="Compact"/>
              <w:jc w:val="left"/>
            </w:pPr>
            <w:r>
              <w:rPr>
                <w:rFonts w:hint="eastAsia"/>
              </w:rPr>
              <w:t xml:space="preserve">原油及凝析油进口</w:t>
            </w:r>
          </w:p>
        </w:tc>
        <w:tc>
          <w:tcPr/>
          <w:p>
            <w:pPr>
              <w:pStyle w:val="Compact"/>
              <w:jc w:val="right"/>
            </w:pPr>
            <w:r>
              <w:t xml:space="preserve">2026-02</w:t>
            </w:r>
          </w:p>
        </w:tc>
        <w:tc>
          <w:tcPr/>
          <w:p>
            <w:pPr>
              <w:pStyle w:val="Compact"/>
              <w:jc w:val="right"/>
            </w:pPr>
            <w:r>
              <w:t xml:space="preserve">26746.71</w:t>
            </w:r>
          </w:p>
        </w:tc>
        <w:tc>
          <w:tcPr/>
          <w:p>
            <w:pPr>
              <w:pStyle w:val="Compact"/>
              <w:jc w:val="right"/>
            </w:pPr>
            <w:r>
              <w:t xml:space="preserve">KBD</w:t>
            </w:r>
          </w:p>
        </w:tc>
        <w:tc>
          <w:tcPr/>
          <w:p>
            <w:pPr>
              <w:pStyle w:val="Compact"/>
              <w:jc w:val="right"/>
            </w:pPr>
            <w:r>
              <w:t xml:space="preserve">-963.69</w:t>
            </w:r>
          </w:p>
        </w:tc>
      </w:tr>
      <w:tr>
        <w:tc>
          <w:tcPr/>
          <w:p>
            <w:pPr>
              <w:pStyle w:val="Compact"/>
              <w:jc w:val="left"/>
            </w:pPr>
            <w:r>
              <w:rPr>
                <w:rFonts w:hint="eastAsia"/>
              </w:rPr>
              <w:t xml:space="preserve">原油及凝析油出口</w:t>
            </w:r>
          </w:p>
        </w:tc>
        <w:tc>
          <w:tcPr/>
          <w:p>
            <w:pPr>
              <w:pStyle w:val="Compact"/>
              <w:jc w:val="right"/>
            </w:pPr>
            <w:r>
              <w:t xml:space="preserve">2026-02</w:t>
            </w:r>
          </w:p>
        </w:tc>
        <w:tc>
          <w:tcPr/>
          <w:p>
            <w:pPr>
              <w:pStyle w:val="Compact"/>
              <w:jc w:val="right"/>
            </w:pPr>
            <w:r>
              <w:t xml:space="preserve">22887.30</w:t>
            </w:r>
          </w:p>
        </w:tc>
        <w:tc>
          <w:tcPr/>
          <w:p>
            <w:pPr>
              <w:pStyle w:val="Compact"/>
              <w:jc w:val="right"/>
            </w:pPr>
            <w:r>
              <w:t xml:space="preserve">KBD</w:t>
            </w:r>
          </w:p>
        </w:tc>
        <w:tc>
          <w:tcPr/>
          <w:p>
            <w:pPr>
              <w:pStyle w:val="Compact"/>
              <w:jc w:val="right"/>
            </w:pPr>
            <w:r>
              <w:t xml:space="preserve">-465.39</w:t>
            </w:r>
          </w:p>
        </w:tc>
      </w:tr>
      <w:tr>
        <w:tc>
          <w:tcPr/>
          <w:p>
            <w:pPr>
              <w:pStyle w:val="Compact"/>
              <w:jc w:val="left"/>
            </w:pPr>
            <w:r>
              <w:rPr>
                <w:rFonts w:hint="eastAsia"/>
              </w:rPr>
              <w:t xml:space="preserve">油品总需求</w:t>
            </w:r>
          </w:p>
        </w:tc>
        <w:tc>
          <w:tcPr/>
          <w:p>
            <w:pPr>
              <w:pStyle w:val="Compact"/>
              <w:jc w:val="right"/>
            </w:pPr>
            <w:r>
              <w:t xml:space="preserve">2026-02</w:t>
            </w:r>
          </w:p>
        </w:tc>
        <w:tc>
          <w:tcPr/>
          <w:p>
            <w:pPr>
              <w:pStyle w:val="Compact"/>
              <w:jc w:val="right"/>
            </w:pPr>
            <w:r>
              <w:t xml:space="preserve">52784.43</w:t>
            </w:r>
          </w:p>
        </w:tc>
        <w:tc>
          <w:tcPr/>
          <w:p>
            <w:pPr>
              <w:pStyle w:val="Compact"/>
              <w:jc w:val="right"/>
            </w:pPr>
            <w:r>
              <w:t xml:space="preserve">KBD</w:t>
            </w:r>
          </w:p>
        </w:tc>
        <w:tc>
          <w:tcPr/>
          <w:p>
            <w:pPr>
              <w:pStyle w:val="Compact"/>
              <w:jc w:val="right"/>
            </w:pPr>
            <w:r>
              <w:t xml:space="preserve">423.81</w:t>
            </w:r>
          </w:p>
        </w:tc>
      </w:tr>
      <w:tr>
        <w:tc>
          <w:tcPr/>
          <w:p>
            <w:pPr>
              <w:pStyle w:val="Compact"/>
              <w:jc w:val="left"/>
            </w:pPr>
            <w:r>
              <w:rPr>
                <w:rFonts w:hint="eastAsia"/>
              </w:rPr>
              <w:t xml:space="preserve">油品炼厂总产出</w:t>
            </w:r>
          </w:p>
        </w:tc>
        <w:tc>
          <w:tcPr/>
          <w:p>
            <w:pPr>
              <w:pStyle w:val="Compact"/>
              <w:jc w:val="right"/>
            </w:pPr>
            <w:r>
              <w:t xml:space="preserve">2026-02</w:t>
            </w:r>
          </w:p>
        </w:tc>
        <w:tc>
          <w:tcPr/>
          <w:p>
            <w:pPr>
              <w:pStyle w:val="Compact"/>
              <w:jc w:val="right"/>
            </w:pPr>
            <w:r>
              <w:t xml:space="preserve">54428.66</w:t>
            </w:r>
          </w:p>
        </w:tc>
        <w:tc>
          <w:tcPr/>
          <w:p>
            <w:pPr>
              <w:pStyle w:val="Compact"/>
              <w:jc w:val="right"/>
            </w:pPr>
            <w:r>
              <w:t xml:space="preserve">KBD</w:t>
            </w:r>
          </w:p>
        </w:tc>
        <w:tc>
          <w:tcPr/>
          <w:p>
            <w:pPr>
              <w:pStyle w:val="Compact"/>
              <w:jc w:val="right"/>
            </w:pPr>
            <w:r>
              <w:t xml:space="preserve">4316.20</w:t>
            </w:r>
          </w:p>
        </w:tc>
      </w:tr>
      <w:tr>
        <w:tc>
          <w:tcPr/>
          <w:p>
            <w:pPr>
              <w:pStyle w:val="Compact"/>
              <w:jc w:val="left"/>
            </w:pPr>
            <w:r>
              <w:rPr>
                <w:rFonts w:hint="eastAsia"/>
              </w:rPr>
              <w:t xml:space="preserve">油品期末库存</w:t>
            </w:r>
          </w:p>
        </w:tc>
        <w:tc>
          <w:tcPr/>
          <w:p>
            <w:pPr>
              <w:pStyle w:val="Compact"/>
              <w:jc w:val="right"/>
            </w:pPr>
            <w:r>
              <w:t xml:space="preserve">2026-02</w:t>
            </w:r>
          </w:p>
        </w:tc>
        <w:tc>
          <w:tcPr/>
          <w:p>
            <w:pPr>
              <w:pStyle w:val="Compact"/>
              <w:jc w:val="right"/>
            </w:pPr>
            <w:r>
              <w:t xml:space="preserve">1837991.05</w:t>
            </w:r>
          </w:p>
        </w:tc>
        <w:tc>
          <w:tcPr/>
          <w:p>
            <w:pPr>
              <w:pStyle w:val="Compact"/>
              <w:jc w:val="right"/>
            </w:pPr>
            <w:r>
              <w:t xml:space="preserve">KBBL</w:t>
            </w:r>
          </w:p>
        </w:tc>
        <w:tc>
          <w:tcPr/>
          <w:p>
            <w:pPr>
              <w:pStyle w:val="Compact"/>
              <w:jc w:val="right"/>
            </w:pPr>
            <w:r>
              <w:t xml:space="preserve">49713.86</w:t>
            </w:r>
          </w:p>
        </w:tc>
      </w:tr>
    </w:tbl>
    <w:p>
      <w:pPr>
        <w:pStyle w:val="BodyText"/>
      </w:pPr>
      <w:r>
        <w:t xml:space="preserve">JODI </w:t>
      </w:r>
      <w:r>
        <w:rPr>
          <w:rFonts w:hint="eastAsia"/>
        </w:rPr>
        <w:t xml:space="preserve">数据对长期模型提供了更强的外部边界：第一，非海湾供给恢复和需求调整应理解为多国系统的缓慢响应，而不是某个国家单独变量；第二，库存缓冲应同时区分原油库存和成品油库存，不能只用美国商业库存代表全球库存；第三，2026</w:t>
      </w:r>
      <w:r>
        <w:t xml:space="preserve"> </w:t>
      </w:r>
      <w:r>
        <w:rPr>
          <w:rFonts w:hint="eastAsia"/>
        </w:rPr>
        <w:t xml:space="preserve">年</w:t>
      </w:r>
      <w:r>
        <w:t xml:space="preserve"> 2 </w:t>
      </w:r>
      <w:r>
        <w:rPr>
          <w:rFonts w:hint="eastAsia"/>
        </w:rPr>
        <w:t xml:space="preserve">月可得数据只到冲突发生前，因此它适合作为长期外推的先验约束，不适合作为</w:t>
      </w:r>
      <w:r>
        <w:t xml:space="preserve"> 3–5 </w:t>
      </w:r>
      <w:r>
        <w:rPr>
          <w:rFonts w:hint="eastAsia"/>
        </w:rPr>
        <w:t xml:space="preserve">月短期拟合的同步解释变量。</w:t>
      </w:r>
    </w:p>
    <w:p>
      <w:pPr>
        <w:pStyle w:val="BodyText"/>
      </w:pPr>
      <w:r>
        <w:rPr>
          <w:rFonts w:hint="eastAsia"/>
        </w:rPr>
        <w:t xml:space="preserve">在此基础上，本文进一步整理</w:t>
      </w:r>
      <w:r>
        <w:t xml:space="preserve"> OPEC Monthly Oil Market Report </w:t>
      </w:r>
      <w:r>
        <w:rPr>
          <w:rFonts w:hint="eastAsia"/>
        </w:rPr>
        <w:t xml:space="preserve">中的全球供需平衡表。与</w:t>
      </w:r>
      <w:r>
        <w:t xml:space="preserve"> EIA、JODI </w:t>
      </w:r>
      <w:r>
        <w:rPr>
          <w:rFonts w:hint="eastAsia"/>
        </w:rPr>
        <w:t xml:space="preserve">不同，OPEC</w:t>
      </w:r>
      <w:r>
        <w:t xml:space="preserve"> </w:t>
      </w:r>
      <w:r>
        <w:rPr>
          <w:rFonts w:hint="eastAsia"/>
        </w:rPr>
        <w:t xml:space="preserve">表给出的是全球正常情景下的年度和季度供需基线，适合约束</w:t>
      </w:r>
      <w:r>
        <w:t xml:space="preserve"> 60–180 </w:t>
      </w:r>
      <w:r>
        <w:rPr>
          <w:rFonts w:hint="eastAsia"/>
        </w:rPr>
        <w:t xml:space="preserve">天长期外推中的需求背景、非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TableCaption"/>
      </w:pPr>
      <w:r>
        <w:t xml:space="preserve">OPEC </w:t>
      </w:r>
      <w:r>
        <w:rPr>
          <w:rFonts w:hint="eastAsia"/>
        </w:rPr>
        <w:t xml:space="preserve">全球供需平衡表关键约束</w:t>
      </w:r>
    </w:p>
    <w:tbl>
      <w:tblPr>
        <w:tblStyle w:val="Table"/>
        <w:tblW w:type="auto" w:w="0"/>
        <w:tblLook w:firstRow="1" w:lastRow="0" w:firstColumn="0" w:lastColumn="0" w:noHBand="0" w:noVBand="0" w:val="0020"/>
        <w:tblCaption w:val="OPEC 全球供需平衡表关键约束"/>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right"/>
            </w:pPr>
            <w:r>
              <w:rPr>
                <w:rFonts w:hint="eastAsia"/>
              </w:rPr>
              <w:t xml:space="preserve">单位</w:t>
            </w:r>
          </w:p>
        </w:tc>
        <w:tc>
          <w:tcPr/>
          <w:p>
            <w:pPr>
              <w:pStyle w:val="Compact"/>
              <w:jc w:val="left"/>
            </w:pPr>
            <w:r>
              <w:rPr>
                <w:rFonts w:hint="eastAsia"/>
              </w:rPr>
              <w:t xml:space="preserve">模型含义</w:t>
            </w:r>
          </w:p>
        </w:tc>
      </w:tr>
      <w:tr>
        <w:tc>
          <w:tcPr/>
          <w:p>
            <w:pPr>
              <w:pStyle w:val="Compact"/>
              <w:jc w:val="left"/>
            </w:pPr>
            <w:r>
              <w:t xml:space="preserve">2026 </w:t>
            </w:r>
            <w:r>
              <w:rPr>
                <w:rFonts w:hint="eastAsia"/>
              </w:rPr>
              <w:t xml:space="preserve">年世界石油需求增量</w:t>
            </w:r>
          </w:p>
        </w:tc>
        <w:tc>
          <w:tcPr/>
          <w:p>
            <w:pPr>
              <w:pStyle w:val="Compact"/>
              <w:jc w:val="right"/>
            </w:pPr>
            <w:r>
              <w:t xml:space="preserve">1.40</w:t>
            </w:r>
          </w:p>
        </w:tc>
        <w:tc>
          <w:tcPr/>
          <w:p>
            <w:pPr>
              <w:pStyle w:val="Compact"/>
              <w:jc w:val="right"/>
            </w:pPr>
            <w:r>
              <w:t xml:space="preserve">mb/d</w:t>
            </w:r>
          </w:p>
        </w:tc>
        <w:tc>
          <w:tcPr/>
          <w:p>
            <w:pPr>
              <w:pStyle w:val="Compact"/>
              <w:jc w:val="left"/>
            </w:pPr>
            <w:r>
              <w:rPr>
                <w:rFonts w:hint="eastAsia"/>
              </w:rPr>
              <w:t xml:space="preserve">长期需求背景仍增长，需求收缩不能设得过强</w:t>
            </w:r>
          </w:p>
        </w:tc>
      </w:tr>
      <w:tr>
        <w:tc>
          <w:tcPr/>
          <w:p>
            <w:pPr>
              <w:pStyle w:val="Compact"/>
              <w:jc w:val="left"/>
            </w:pPr>
            <w:r>
              <w:t xml:space="preserve">2026 </w:t>
            </w:r>
            <w:r>
              <w:rPr>
                <w:rFonts w:hint="eastAsia"/>
              </w:rPr>
              <w:t xml:space="preserve">年非</w:t>
            </w:r>
            <w:r>
              <w:t xml:space="preserve"> DoC </w:t>
            </w:r>
            <w:r>
              <w:rPr>
                <w:rFonts w:hint="eastAsia"/>
              </w:rPr>
              <w:t xml:space="preserve">液体供给增量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外部供给有恢复能力，但远小于封锁冲击量级</w:t>
            </w:r>
          </w:p>
        </w:tc>
      </w:tr>
      <w:tr>
        <w:tc>
          <w:tcPr/>
          <w:p>
            <w:pPr>
              <w:pStyle w:val="Compact"/>
              <w:jc w:val="left"/>
            </w:pPr>
            <w:r>
              <w:t xml:space="preserve">2026 </w:t>
            </w:r>
            <w:r>
              <w:rPr>
                <w:rFonts w:hint="eastAsia"/>
              </w:rPr>
              <w:t xml:space="preserve">年</w:t>
            </w:r>
            <w:r>
              <w:t xml:space="preserve"> DoC </w:t>
            </w:r>
            <w:r>
              <w:rPr>
                <w:rFonts w:hint="eastAsia"/>
              </w:rPr>
              <w:t xml:space="preserve">原油需求差额增量</w:t>
            </w:r>
          </w:p>
        </w:tc>
        <w:tc>
          <w:tcPr/>
          <w:p>
            <w:pPr>
              <w:pStyle w:val="Compact"/>
              <w:jc w:val="right"/>
            </w:pPr>
            <w:r>
              <w:t xml:space="preserve">0.60</w:t>
            </w:r>
          </w:p>
        </w:tc>
        <w:tc>
          <w:tcPr/>
          <w:p>
            <w:pPr>
              <w:pStyle w:val="Compact"/>
              <w:jc w:val="right"/>
            </w:pPr>
            <w:r>
              <w:t xml:space="preserve">mb/d</w:t>
            </w:r>
          </w:p>
        </w:tc>
        <w:tc>
          <w:tcPr/>
          <w:p>
            <w:pPr>
              <w:pStyle w:val="Compact"/>
              <w:jc w:val="left"/>
            </w:pPr>
            <w:r>
              <w:rPr>
                <w:rFonts w:hint="eastAsia"/>
              </w:rPr>
              <w:t xml:space="preserve">对</w:t>
            </w:r>
            <w:r>
              <w:t xml:space="preserve"> DoC </w:t>
            </w:r>
            <w:r>
              <w:rPr>
                <w:rFonts w:hint="eastAsia"/>
              </w:rPr>
              <w:t xml:space="preserve">原油的压力仍上升，支持保留尾部风险</w:t>
            </w:r>
          </w:p>
        </w:tc>
      </w:tr>
      <w:tr>
        <w:tc>
          <w:tcPr/>
          <w:p>
            <w:pPr>
              <w:pStyle w:val="Compact"/>
              <w:jc w:val="left"/>
            </w:pPr>
            <w:r>
              <w:t xml:space="preserve">2026 </w:t>
            </w:r>
            <w:r>
              <w:rPr>
                <w:rFonts w:hint="eastAsia"/>
              </w:rPr>
              <w:t xml:space="preserve">年</w:t>
            </w:r>
            <w:r>
              <w:t xml:space="preserve"> DoC </w:t>
            </w:r>
            <w:r>
              <w:rPr>
                <w:rFonts w:hint="eastAsia"/>
              </w:rPr>
              <w:t xml:space="preserve">原油需求差额峰值</w:t>
            </w:r>
          </w:p>
        </w:tc>
        <w:tc>
          <w:tcPr/>
          <w:p>
            <w:pPr>
              <w:pStyle w:val="Compact"/>
              <w:jc w:val="right"/>
            </w:pPr>
            <w:r>
              <w:t xml:space="preserve">43.70</w:t>
            </w:r>
          </w:p>
        </w:tc>
        <w:tc>
          <w:tcPr/>
          <w:p>
            <w:pPr>
              <w:pStyle w:val="Compact"/>
              <w:jc w:val="right"/>
            </w:pPr>
            <w:r>
              <w:t xml:space="preserve">mb/d</w:t>
            </w:r>
          </w:p>
        </w:tc>
        <w:tc>
          <w:tcPr/>
          <w:p>
            <w:pPr>
              <w:pStyle w:val="Compact"/>
              <w:jc w:val="left"/>
            </w:pPr>
            <w:r>
              <w:rPr>
                <w:rFonts w:hint="eastAsia"/>
              </w:rPr>
              <w:t xml:space="preserve">下半年需求差额更高，长期模型需保留季节性压力</w:t>
            </w:r>
          </w:p>
        </w:tc>
      </w:tr>
      <w:tr>
        <w:tc>
          <w:tcPr/>
          <w:p>
            <w:pPr>
              <w:pStyle w:val="Compact"/>
              <w:jc w:val="left"/>
            </w:pPr>
            <w:r>
              <w:rPr>
                <w:rFonts w:hint="eastAsia"/>
              </w:rPr>
              <w:t xml:space="preserve">峰值高于年均</w:t>
            </w:r>
          </w:p>
        </w:tc>
        <w:tc>
          <w:tcPr/>
          <w:p>
            <w:pPr>
              <w:pStyle w:val="Compact"/>
              <w:jc w:val="right"/>
            </w:pPr>
            <w:r>
              <w:t xml:space="preserve">0.70</w:t>
            </w:r>
          </w:p>
        </w:tc>
        <w:tc>
          <w:tcPr/>
          <w:p>
            <w:pPr>
              <w:pStyle w:val="Compact"/>
              <w:jc w:val="right"/>
            </w:pPr>
            <w:r>
              <w:t xml:space="preserve">mb/d</w:t>
            </w:r>
          </w:p>
        </w:tc>
        <w:tc>
          <w:tcPr/>
          <w:p>
            <w:pPr>
              <w:pStyle w:val="Compact"/>
              <w:jc w:val="left"/>
            </w:pPr>
            <w:r>
              <w:rPr>
                <w:rFonts w:hint="eastAsia"/>
              </w:rPr>
              <w:t xml:space="preserve">用于温和抬升尾部风险权重</w:t>
            </w:r>
          </w:p>
        </w:tc>
      </w:tr>
    </w:tbl>
    <w:p>
      <w:pPr>
        <w:pStyle w:val="BodyText"/>
      </w:pPr>
      <w:r>
        <w:t xml:space="preserve">OPEC </w:t>
      </w:r>
      <w:r>
        <w:rPr>
          <w:rFonts w:hint="eastAsia"/>
        </w:rPr>
        <w:t xml:space="preserve">表并不替代赛题冲击参数。它只说明：在没有霍尔木兹极端封锁的正常基线下，2026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原油需求差额更高。因此，长期模型不能把价格回落解释成</w:t>
      </w:r>
      <w:r>
        <w:rPr>
          <w:rFonts w:hint="eastAsia"/>
        </w:rPr>
        <w:t xml:space="preserve">“全球需求自然塌陷”</w:t>
      </w:r>
      <w:r>
        <w:rPr>
          <w:rFonts w:hint="eastAsia"/>
        </w:rPr>
        <w:t xml:space="preserve">，而应解释为政策缓冲、供给恢复、需求弹性和风险溢价衰减共同作用后的条件路径。</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月度指数，作为地缘风险溢价的外部校验变量。由于</w:t>
      </w:r>
      <w:r>
        <w:t xml:space="preserve"> GPR </w:t>
      </w:r>
      <w:r>
        <w:rPr>
          <w:rFonts w:hint="eastAsia"/>
        </w:rPr>
        <w:t xml:space="preserve">由新闻文本构造，同月指数不直接进入短期拟合；详细滞后检验放在第</w:t>
      </w:r>
      <w:r>
        <w:t xml:space="preserve"> 9.5 </w:t>
      </w:r>
      <w:r>
        <w:rPr>
          <w:rFonts w:hint="eastAsia"/>
        </w:rPr>
        <w:t xml:space="preserve">节统一报告。与此同时，本文接入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97.3%，因此适合进入长期风险权重和不确定性强度约束。</w:t>
      </w:r>
    </w:p>
    <w:p>
      <w:pPr>
        <w:pStyle w:val="BodyText"/>
      </w:pPr>
      <w:r>
        <w:rPr>
          <w:rFonts w:hint="eastAsia"/>
          <w:b/>
          <w:bCs/>
        </w:rPr>
        <w:t xml:space="preserve">关键结论</w:t>
      </w:r>
      <w:r>
        <w:rPr>
          <w:rFonts w:hint="eastAsia"/>
        </w:rPr>
        <w:t xml:space="preserve">数据使用遵循</w:t>
      </w:r>
      <w:r>
        <w:rPr>
          <w:rFonts w:hint="eastAsia"/>
        </w:rPr>
        <w:t xml:space="preserve">“附件真实价格为主、外部数据只做校验与长期约束”</w:t>
      </w:r>
      <w:r>
        <w:rPr>
          <w:rFonts w:hint="eastAsia"/>
        </w:rPr>
        <w:t xml:space="preserve">的原则。EIA</w:t>
      </w:r>
      <w:r>
        <w:t xml:space="preserve"> </w:t>
      </w:r>
      <w:r>
        <w:rPr>
          <w:rFonts w:hint="eastAsia"/>
        </w:rPr>
        <w:t xml:space="preserve">用于美国口径数量级校验，JODI</w:t>
      </w:r>
      <w:r>
        <w:t xml:space="preserve"> </w:t>
      </w:r>
      <w:r>
        <w:rPr>
          <w:rFonts w:hint="eastAsia"/>
        </w:rPr>
        <w:t xml:space="preserve">用于多国供需和库存约束，OPEC</w:t>
      </w:r>
      <w:r>
        <w:t xml:space="preserve"> </w:t>
      </w:r>
      <w:r>
        <w:rPr>
          <w:rFonts w:hint="eastAsia"/>
        </w:rPr>
        <w:t xml:space="preserve">用于全球供需平衡基线，GPR</w:t>
      </w:r>
      <w:r>
        <w:t xml:space="preserve"> </w:t>
      </w:r>
      <w:r>
        <w:rPr>
          <w:rFonts w:hint="eastAsia"/>
        </w:rPr>
        <w:t xml:space="preserve">用于地缘风险校验，OVX</w:t>
      </w:r>
      <w:r>
        <w:t xml:space="preserve"> </w:t>
      </w:r>
      <w:r>
        <w:rPr>
          <w:rFonts w:hint="eastAsia"/>
        </w:rPr>
        <w:t xml:space="preserve">用于市场隐含波动率约束；这些数据均不反向替代附件真实价格。</w:t>
      </w:r>
    </w:p>
    <w:p>
      <w:pPr>
        <w:pStyle w:val="CaptionedFigure"/>
      </w:pPr>
      <w:r>
        <w:drawing>
          <wp:inline>
            <wp:extent cx="4907280" cy="2453640"/>
            <wp:effectExtent b="0" l="0" r="0" t="0"/>
            <wp:docPr descr="" title="" id="22" name="Picture"/>
            <a:graphic>
              <a:graphicData uri="http://schemas.openxmlformats.org/drawingml/2006/picture">
                <pic:pic>
                  <pic:nvPicPr>
                    <pic:cNvPr descr="布伦特原油长期价格走势.png" id="23" name="Picture"/>
                    <pic:cNvPicPr>
                      <a:picLocks noChangeArrowheads="1" noChangeAspect="1"/>
                    </pic:cNvPicPr>
                  </pic:nvPicPr>
                  <pic:blipFill>
                    <a:blip r:embed="rId21"/>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布伦特原油期货主力合约收盘价长期走势。该图用于确认</w:t>
      </w:r>
      <w:r>
        <w:t xml:space="preserve"> 2026 </w:t>
      </w:r>
      <w:r>
        <w:rPr>
          <w:rFonts w:hint="eastAsia"/>
        </w:rPr>
        <w:t xml:space="preserve">冲突窗口不是孤立样本，而是处在</w:t>
      </w:r>
      <w:r>
        <w:t xml:space="preserve"> 2017–2026 </w:t>
      </w:r>
      <w:r>
        <w:rPr>
          <w:rFonts w:hint="eastAsia"/>
        </w:rPr>
        <w:t xml:space="preserve">年高波动能源价格背景下。</w:t>
      </w:r>
    </w:p>
    <w:p>
      <w:pPr>
        <w:pStyle w:val="CaptionedFigure"/>
      </w:pPr>
      <w:r>
        <w:drawing>
          <wp:inline>
            <wp:extent cx="4907280" cy="2453640"/>
            <wp:effectExtent b="0" l="0" r="0" t="0"/>
            <wp:docPr descr="" title="" id="25" name="Picture"/>
            <a:graphic>
              <a:graphicData uri="http://schemas.openxmlformats.org/drawingml/2006/picture">
                <pic:pic>
                  <pic:nvPicPr>
                    <pic:cNvPr descr="冲突窗口价格走势.png" id="26" name="Picture"/>
                    <pic:cNvPicPr>
                      <a:picLocks noChangeArrowheads="1" noChangeAspect="1"/>
                    </pic:cNvPicPr>
                  </pic:nvPicPr>
                  <pic:blipFill>
                    <a:blip r:embed="rId24"/>
                    <a:stretch>
                      <a:fillRect/>
                    </a:stretch>
                  </pic:blipFill>
                  <pic:spPr bwMode="auto">
                    <a:xfrm>
                      <a:off x="0" y="0"/>
                      <a:ext cx="4907280" cy="2453640"/>
                    </a:xfrm>
                    <a:prstGeom prst="rect">
                      <a:avLst/>
                    </a:prstGeom>
                    <a:noFill/>
                    <a:ln w="9525">
                      <a:noFill/>
                      <a:headEnd/>
                      <a:tailEnd/>
                    </a:ln>
                  </pic:spPr>
                </pic:pic>
              </a:graphicData>
            </a:graphic>
          </wp:inline>
        </w:drawing>
      </w:r>
    </w:p>
    <w:p>
      <w:pPr>
        <w:pStyle w:val="ImageCaption"/>
      </w:pPr>
      <w:r>
        <w:rPr>
          <w:rFonts w:hint="eastAsia"/>
        </w:rPr>
        <w:t xml:space="preserve">冲突窗口内附件真实价格路径。价格在冲击后快速进入</w:t>
      </w:r>
      <w:r>
        <w:t xml:space="preserve"> 110–120 </w:t>
      </w:r>
      <w:r>
        <w:rPr>
          <w:rFonts w:hint="eastAsia"/>
        </w:rPr>
        <w:t xml:space="preserve">美元/桶平台，为短期动态递推模型提供直接拟合目标。</w:t>
      </w:r>
    </w:p>
    <w:bookmarkEnd w:id="27"/>
    <w:bookmarkStart w:id="31"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9" name="Picture"/>
            <a:graphic>
              <a:graphicData uri="http://schemas.openxmlformats.org/drawingml/2006/picture">
                <pic:pic>
                  <pic:nvPicPr>
                    <pic:cNvPr descr="布伦特收益率与波动率.png" id="30" name="Picture"/>
                    <pic:cNvPicPr>
                      <a:picLocks noChangeArrowheads="1" noChangeAspect="1"/>
                    </pic:cNvPicPr>
                  </pic:nvPicPr>
                  <pic:blipFill>
                    <a:blip r:embed="rId28"/>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收益率与滚动波动率。冲突窗口波动明显放大，说明模型评价不能只看价格水平，还需要检验残差结构、历史极端性和尾部风险。</w:t>
      </w:r>
    </w:p>
    <w:bookmarkEnd w:id="31"/>
    <w:bookmarkEnd w:id="32"/>
    <w:bookmarkStart w:id="36" w:name="模型假设与符号说明"/>
    <w:p>
      <w:pPr>
        <w:pStyle w:val="Heading1"/>
      </w:pPr>
      <w:r>
        <w:rPr>
          <w:rFonts w:hint="eastAsia"/>
        </w:rPr>
        <w:t xml:space="preserve">模型假设与符号说明</w:t>
      </w:r>
    </w:p>
    <w:bookmarkStart w:id="33"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t xml:space="preserve">60–180 </w:t>
      </w:r>
      <w:r>
        <w:rPr>
          <w:rFonts w:hint="eastAsia"/>
        </w:rPr>
        <w:t xml:space="preserve">天预测为条件情景外推，不代表真实未来观测，也不编造任何未来真实价格。</w:t>
      </w:r>
    </w:p>
    <w:bookmarkEnd w:id="33"/>
    <w:bookmarkStart w:id="34"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34"/>
    <w:bookmarkStart w:id="35"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长期情景参数只用于</w:t>
      </w:r>
      <w:r>
        <w:t xml:space="preserve"> 60–180 </w:t>
      </w:r>
      <w:r>
        <w:rPr>
          <w:rFonts w:hint="eastAsia"/>
        </w:rPr>
        <w:t xml:space="preserve">天条件外推，不参与短期窗口的误差拟合；长期机制强度参数则必须显式命名，并进入敏感性分析。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长期判断主要来自机制组合，而不是某一个隐藏常数。</w:t>
      </w:r>
    </w:p>
    <w:bookmarkEnd w:id="35"/>
    <w:bookmarkEnd w:id="36"/>
    <w:bookmarkStart w:id="42" w:name="传统供需基准模型"/>
    <w:p>
      <w:pPr>
        <w:pStyle w:val="Heading1"/>
      </w:pPr>
      <w:r>
        <w:rPr>
          <w:rFonts w:hint="eastAsia"/>
        </w:rPr>
        <w:t xml:space="preserve">传统供需基准模型</w:t>
      </w:r>
    </w:p>
    <w:bookmarkStart w:id="37"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标定斜率。当供应中断量为</w:t>
      </w:r>
      <w:r>
        <w:t xml:space="preserve"> </w:t>
      </w:r>
      <m:oMath>
        <m:r>
          <m:t>I</m:t>
        </m:r>
      </m:oMath>
      <w:r>
        <w:t xml:space="preserve"> </w:t>
      </w:r>
      <w:r>
        <w:rPr>
          <w:rFonts w:hint="eastAsia"/>
        </w:rPr>
        <w:t xml:space="preserve">时，线性需求反事实价格为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7"/>
    <w:bookmarkStart w:id="41"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9" name="Picture"/>
            <a:graphic>
              <a:graphicData uri="http://schemas.openxmlformats.org/drawingml/2006/picture">
                <pic:pic>
                  <pic:nvPicPr>
                    <pic:cNvPr descr="传统供需基准与真实价格对比.png" id="40" name="Picture"/>
                    <pic:cNvPicPr>
                      <a:picLocks noChangeArrowheads="1" noChangeAspect="1"/>
                    </pic:cNvPicPr>
                  </pic:nvPicPr>
                  <pic:blipFill>
                    <a:blip r:embed="rId38"/>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传统供需基准模型与附件真实价格对比。低弹性静态模型明显高估现实价格，因此后续必须引入</w:t>
      </w:r>
      <w:r>
        <w:t xml:space="preserve"> </w:t>
      </w:r>
      <w:r>
        <w:rPr>
          <w:rFonts w:hint="eastAsia"/>
        </w:rPr>
        <w:t xml:space="preserve">SPR、库存、绕道、需求收缩和市场预期修复等动态缓冲机制。</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综合机制递推模型正是在这一边界上引入动态缓冲与价格形成机制。</w:t>
      </w:r>
    </w:p>
    <w:bookmarkEnd w:id="41"/>
    <w:bookmarkEnd w:id="42"/>
    <w:bookmarkStart w:id="49" w:name="综合机制递推模型"/>
    <w:p>
      <w:pPr>
        <w:pStyle w:val="Heading1"/>
      </w:pPr>
      <w:r>
        <w:rPr>
          <w:rFonts w:hint="eastAsia"/>
        </w:rPr>
        <w:t xml:space="preserve">综合机制递推模型</w:t>
      </w:r>
    </w:p>
    <w:p>
      <w:pPr>
        <w:pStyle w:val="FirstParagraph"/>
      </w:pPr>
      <w:r>
        <w:rPr>
          <w:rFonts w:hint="eastAsia"/>
        </w:rPr>
        <w:t xml:space="preserve">综合机制递推模型是本文最终主模型。模型以赛题给定的供应中断、SPR、商业库存、绕道运输和恐慌情绪为基础，并纳入能够通过消融实验和敏感性分析检验的价格形成因素。其目标是在附件冲突窗口内解释真实价格路径，并为后续</w:t>
      </w:r>
      <w:r>
        <w:t xml:space="preserve"> 60–180 </w:t>
      </w:r>
      <w:r>
        <w:rPr>
          <w:rFonts w:hint="eastAsia"/>
        </w:rPr>
        <w:t xml:space="preserve">天情景外推提供统一机制基础。</w:t>
      </w:r>
    </w:p>
    <w:p>
      <w:pPr>
        <w:pStyle w:val="CaptionedFigure"/>
      </w:pPr>
      <w:r>
        <w:drawing>
          <wp:inline>
            <wp:extent cx="5120640" cy="5212079"/>
            <wp:effectExtent b="0" l="0" r="0" t="0"/>
            <wp:docPr descr="" title="" id="44" name="Picture"/>
            <a:graphic>
              <a:graphicData uri="http://schemas.openxmlformats.org/drawingml/2006/picture">
                <pic:pic>
                  <pic:nvPicPr>
                    <pic:cNvPr descr="综合机制递推模型结构图.png" id="45" name="Picture"/>
                    <pic:cNvPicPr>
                      <a:picLocks noChangeArrowheads="1" noChangeAspect="1"/>
                    </pic:cNvPicPr>
                  </pic:nvPicPr>
                  <pic:blipFill>
                    <a:blip r:embed="rId43"/>
                    <a:stretch>
                      <a:fillRect/>
                    </a:stretch>
                  </pic:blipFill>
                  <pic:spPr bwMode="auto">
                    <a:xfrm>
                      <a:off x="0" y="0"/>
                      <a:ext cx="5120640" cy="5212079"/>
                    </a:xfrm>
                    <a:prstGeom prst="rect">
                      <a:avLst/>
                    </a:prstGeom>
                    <a:noFill/>
                    <a:ln w="9525">
                      <a:noFill/>
                      <a:headEnd/>
                      <a:tailEnd/>
                    </a:ln>
                  </pic:spPr>
                </pic:pic>
              </a:graphicData>
            </a:graphic>
          </wp:inline>
        </w:drawing>
      </w:r>
    </w:p>
    <w:p>
      <w:pPr>
        <w:pStyle w:val="ImageCaption"/>
      </w:pPr>
      <w:r>
        <w:rPr>
          <w:rFonts w:hint="eastAsia"/>
        </w:rPr>
        <w:t xml:space="preserve">综合机制递推模型结构。物理供需层决定剩余缺口，市场价格形成层完成风险再定价，长期情景层刻画条件区间和尾部风险。</w:t>
      </w:r>
    </w:p>
    <w:p>
      <w:pPr>
        <w:pStyle w:val="BodyText"/>
      </w:pPr>
      <w:r>
        <w:rPr>
          <w:rFonts w:hint="eastAsia"/>
          <w:b/>
          <w:bCs/>
        </w:rPr>
        <w:t xml:space="preserve">关键结论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46"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短期价格形成反馈回路。红色方向表示冲击和风险溢价推高价格，绿色方向表示政策缓冲、绕道运输、需求收缩和预期修复压低价格。该图强调</w:t>
      </w:r>
      <w:r>
        <w:t xml:space="preserve"> 110–120 </w:t>
      </w:r>
      <w:r>
        <w:rPr>
          <w:rFonts w:hint="eastAsia"/>
        </w:rPr>
        <w:t xml:space="preserve">美元/桶平台是多重反馈共同作用的结果，而不是外生价格上限。</w:t>
      </w:r>
    </w:p>
    <w:bookmarkEnd w:id="46"/>
    <w:bookmarkStart w:id="47"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bookmarkEnd w:id="47"/>
    <w:bookmarkStart w:id="48"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oMath>
      <w:r>
        <w:t xml:space="preserve"> </w:t>
      </w:r>
      <w:r>
        <w:rPr>
          <w:rFonts w:hint="eastAsia"/>
        </w:rPr>
        <w:t xml:space="preserve">为缓冲确认折价，</w:t>
      </w:r>
      <m:oMath>
        <m:sSub>
          <m:e>
            <m:r>
              <m:t>L</m:t>
            </m:r>
          </m:e>
          <m:sub>
            <m:r>
              <m:t>t</m:t>
            </m:r>
          </m:sub>
        </m:sSub>
      </m:oMath>
      <w:r>
        <w:t xml:space="preserve"> </w:t>
      </w:r>
      <w:r>
        <w:rPr>
          <w:rFonts w:hint="eastAsia"/>
        </w:rPr>
        <w:t xml:space="preserve">为预期修复折价。这里的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1综合机制递推模型的日度更新流程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48"/>
    <w:bookmarkEnd w:id="49"/>
    <w:bookmarkStart w:id="113" w:name="参数校准与模型检验"/>
    <w:p>
      <w:pPr>
        <w:pStyle w:val="Heading1"/>
      </w:pPr>
      <w:r>
        <w:rPr>
          <w:rFonts w:hint="eastAsia"/>
        </w:rPr>
        <w:t xml:space="preserve">参数校准与模型检验</w:t>
      </w:r>
    </w:p>
    <w:bookmarkStart w:id="63" w:name="模型校准与拟合表现"/>
    <w:p>
      <w:pPr>
        <w:pStyle w:val="Heading2"/>
      </w:pPr>
      <w:r>
        <w:rPr>
          <w:rFonts w:hint="eastAsia"/>
        </w:rPr>
        <w:t xml:space="preserve">模型校准与拟合表现</w:t>
      </w:r>
    </w:p>
    <w:bookmarkStart w:id="54" w:name="多目标校准"/>
    <w:p>
      <w:pPr>
        <w:pStyle w:val="Heading3"/>
      </w:pPr>
      <w:r>
        <w:rPr>
          <w:rFonts w:hint="eastAsia"/>
        </w:rPr>
        <w:t xml:space="preserve">多目标校准</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w:t>
      </w:r>
    </w:p>
    <w:p>
      <w:pPr>
        <w:pStyle w:val="BodyText"/>
      </w:pPr>
      <m:oMathPara>
        <m:oMathParaPr>
          <m:jc m:val="center"/>
        </m:oMathParaPr>
        <m:oMath>
          <m:eqArr>
            <m:e>
              <m:r>
                <m:rPr>
                  <m:scr m:val="script"/>
                  <m:sty m:val="p"/>
                </m:rPr>
                <m:t>L</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校准过程包括</w:t>
      </w:r>
      <w:r>
        <w:t xml:space="preserve"> 36000 </w:t>
      </w:r>
      <w:r>
        <w:rPr>
          <w:rFonts w:hint="eastAsia"/>
        </w:rPr>
        <w:t xml:space="preserve">组固定种子随机搜索、差分进化连续精修、800</w:t>
      </w:r>
      <w:r>
        <w:t xml:space="preserve"> </w:t>
      </w:r>
      <w:r>
        <w:rPr>
          <w:rFonts w:hint="eastAsia"/>
        </w:rPr>
        <w:t xml:space="preserve">组局部稳健性复核以及</w:t>
      </w:r>
      <w:r>
        <w:t xml:space="preserve"> 60000 </w:t>
      </w:r>
      <w:r>
        <w:rPr>
          <w:rFonts w:hint="eastAsia"/>
        </w:rPr>
        <w:t xml:space="preserve">组拟合质量精修。所有精修均在既有模型结构内完成，不新增额外机制项。</w:t>
      </w:r>
    </w:p>
    <w:bookmarkStart w:id="53" w:name="fig:candidate-tradeoff-bubble"/>
    <w:p>
      <w:pPr>
        <w:pStyle w:val="CaptionedFigure"/>
      </w:pPr>
      <w:r>
        <w:drawing>
          <wp:inline>
            <wp:extent cx="4587240" cy="3077972"/>
            <wp:effectExtent b="0" l="0" r="0" t="0"/>
            <wp:docPr descr="" title="" id="51" name="Picture"/>
            <a:graphic>
              <a:graphicData uri="http://schemas.openxmlformats.org/drawingml/2006/picture">
                <pic:pic>
                  <pic:nvPicPr>
                    <pic:cNvPr descr="候选模型权衡气泡图.png" id="52" name="Picture"/>
                    <pic:cNvPicPr>
                      <a:picLocks noChangeArrowheads="1" noChangeAspect="1"/>
                    </pic:cNvPicPr>
                  </pic:nvPicPr>
                  <pic:blipFill>
                    <a:blip r:embed="rId50"/>
                    <a:stretch>
                      <a:fillRect/>
                    </a:stretch>
                  </pic:blipFill>
                  <pic:spPr bwMode="auto">
                    <a:xfrm>
                      <a:off x="0" y="0"/>
                      <a:ext cx="4587240" cy="3077972"/>
                    </a:xfrm>
                    <a:prstGeom prst="rect">
                      <a:avLst/>
                    </a:prstGeom>
                    <a:noFill/>
                    <a:ln w="9525">
                      <a:noFill/>
                      <a:headEnd/>
                      <a:tailEnd/>
                    </a:ln>
                  </pic:spPr>
                </pic:pic>
              </a:graphicData>
            </a:graphic>
          </wp:inline>
        </w:drawing>
      </w:r>
    </w:p>
    <w:p>
      <w:pPr>
        <w:pStyle w:val="ImageCaption"/>
      </w:pPr>
      <w:r>
        <w:rPr>
          <w:rFonts w:hint="eastAsia"/>
        </w:rPr>
        <w:t xml:space="preserve">短期候选模型的精度与平台解释权衡。横轴为整体</w:t>
      </w:r>
      <w:r>
        <w:t xml:space="preserve"> </w:t>
      </w:r>
      <w:r>
        <w:rPr>
          <w:rFonts w:hint="eastAsia"/>
        </w:rPr>
        <w:t xml:space="preserve">RMSE，纵轴为高价平台</w:t>
      </w:r>
      <w:r>
        <w:t xml:space="preserve"> </w:t>
      </w:r>
      <w:r>
        <w:rPr>
          <w:rFonts w:hint="eastAsia"/>
        </w:rPr>
        <w:t xml:space="preserve">RMSE，气泡大小表示低价回落段误差；理想候选位于左下角且气泡较小。该图说明本文选择的综合最优模型不是单纯追求某一项误差最低，而是在整体拟合、高价平台解释和低价回落刻画之间取得平衡。</w:t>
      </w:r>
    </w:p>
    <w:bookmarkEnd w:id="53"/>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表中参数可分为两类理解：供应中断量、SPR</w:t>
      </w:r>
      <w:r>
        <w:t xml:space="preserve"> </w:t>
      </w:r>
      <w:r>
        <w:rPr>
          <w:rFonts w:hint="eastAsia"/>
        </w:rPr>
        <w:t xml:space="preserve">上限、绕道能力、库存缓冲和需求弹性受题面范围约束；风险权重、价格调整速度、缓冲确认和预期修复强度属于行为价格形成参数，必须依赖数据校准和鲁棒性检验。本文后续所有模型评价均围绕这一区分展开，校准参数只在相应机制语境下解释。</w:t>
      </w:r>
    </w:p>
    <w:p>
      <w:pPr>
        <w:pStyle w:val="BodyText"/>
      </w:pPr>
      <w:r>
        <w:rPr>
          <w:rFonts w:hint="eastAsia"/>
        </w:rPr>
        <w:t xml:space="preserve">其中，供应中断量</w:t>
      </w:r>
      <w:r>
        <w:t xml:space="preserve"> 1493 </w:t>
      </w:r>
      <w:r>
        <w:rPr>
          <w:rFonts w:hint="eastAsia"/>
        </w:rPr>
        <w:t xml:space="preserve">万桶/日是在赛题给定中断范围内由短期冲突窗口校准得到的中心情景值，不等同于官方观测到的实际中断量。本文将其作为模型参数使用，并在长期乐观、中性、悲观情景以及蒙特卡洛抽样中覆盖</w:t>
      </w:r>
      <w:r>
        <w:t xml:space="preserve"> 1400–1800 </w:t>
      </w:r>
      <w:r>
        <w:rPr>
          <w:rFonts w:hint="eastAsia"/>
        </w:rPr>
        <w:t xml:space="preserve">万桶/日的扰动区间。</w:t>
      </w:r>
    </w:p>
    <w:bookmarkEnd w:id="54"/>
    <w:bookmarkStart w:id="62" w:name="拟合结果"/>
    <w:p>
      <w:pPr>
        <w:pStyle w:val="Heading3"/>
      </w:pPr>
      <w:r>
        <w:rPr>
          <w:rFonts w:hint="eastAsia"/>
        </w:rPr>
        <w:t xml:space="preserve">拟合结果</w:t>
      </w:r>
    </w:p>
    <w:p>
      <w:pPr>
        <w:pStyle w:val="FirstParagraph"/>
      </w:pPr>
      <w:r>
        <w:rPr>
          <w:rFonts w:hint="eastAsia"/>
        </w:rPr>
        <w:t xml:space="preserve">综合最优模型在冲突窗口内取得</w:t>
      </w:r>
      <w:r>
        <w:t xml:space="preserve"> RMSE </w:t>
      </w:r>
      <w:r>
        <w:rPr>
          <w:rFonts w:hint="eastAsia"/>
        </w:rPr>
        <w:t xml:space="preserve">为</w:t>
      </w:r>
      <w:r>
        <w:t xml:space="preserve"> 3.44 </w:t>
      </w:r>
      <w:r>
        <w:rPr>
          <w:rFonts w:hint="eastAsia"/>
        </w:rPr>
        <w:t xml:space="preserve">美元/桶、MAE</w:t>
      </w:r>
      <w:r>
        <w:t xml:space="preserve"> </w:t>
      </w:r>
      <w:r>
        <w:rPr>
          <w:rFonts w:hint="eastAsia"/>
        </w:rPr>
        <w:t xml:space="preserve">为</w:t>
      </w:r>
      <w:r>
        <w:t xml:space="preserve"> 2.85 </w:t>
      </w:r>
      <w:r>
        <w:rPr>
          <w:rFonts w:hint="eastAsia"/>
        </w:rPr>
        <w:t xml:space="preserve">美元/桶。模拟峰值为</w:t>
      </w:r>
      <w:r>
        <w:t xml:space="preserve"> 110.42 </w:t>
      </w:r>
      <w:r>
        <w:rPr>
          <w:rFonts w:hint="eastAsia"/>
        </w:rPr>
        <w:t xml:space="preserve">美元/桶，实际最高收盘价为</w:t>
      </w:r>
      <w:r>
        <w:t xml:space="preserve"> 114.06 </w:t>
      </w:r>
      <w:r>
        <w:rPr>
          <w:rFonts w:hint="eastAsia"/>
        </w:rPr>
        <w:t xml:space="preserve">美元/桶，峰值低估</w:t>
      </w:r>
      <w:r>
        <w:t xml:space="preserve"> 3.64 </w:t>
      </w:r>
      <w:r>
        <w:rPr>
          <w:rFonts w:hint="eastAsia"/>
        </w:rPr>
        <w:t xml:space="preserve">美元/桶；末日模拟价格为</w:t>
      </w:r>
      <w:r>
        <w:t xml:space="preserve"> 110.42 </w:t>
      </w:r>
      <w:r>
        <w:rPr>
          <w:rFonts w:hint="eastAsia"/>
        </w:rPr>
        <w:t xml:space="preserve">美元/桶，实际末日价格为</w:t>
      </w:r>
      <w:r>
        <w:t xml:space="preserve"> 110.31 </w:t>
      </w:r>
      <w:r>
        <w:rPr>
          <w:rFonts w:hint="eastAsia"/>
        </w:rPr>
        <w:t xml:space="preserve">美元/桶，末日误差仅为</w:t>
      </w:r>
      <w:r>
        <w:t xml:space="preserve"> 0.11 </w:t>
      </w:r>
      <w:r>
        <w:rPr>
          <w:rFonts w:hint="eastAsia"/>
        </w:rPr>
        <w:t xml:space="preserve">美元/桶。</w:t>
      </w:r>
    </w:p>
    <w:p>
      <w:pPr>
        <w:pStyle w:val="BodyText"/>
      </w:pPr>
      <w:r>
        <w:rPr>
          <w:rFonts w:hint="eastAsia"/>
          <w:b/>
          <w:bCs/>
        </w:rPr>
        <w:t xml:space="preserve">关键结论</w:t>
      </w:r>
      <w:r>
        <w:rPr>
          <w:rFonts w:hint="eastAsia"/>
        </w:rPr>
        <w:t xml:space="preserve">短期模型的核心价值不是声称逐日交易预测，而是在极端冲突窗口内同时解释前期冲击、中期平台和后期再定价，并且优于朴素上一日基准。</w:t>
      </w:r>
    </w:p>
    <w:bookmarkStart w:id="58" w:name="fig:short-term-fit"/>
    <w:p>
      <w:pPr>
        <w:pStyle w:val="CaptionedFigure"/>
      </w:pPr>
      <w:r>
        <w:drawing>
          <wp:inline>
            <wp:extent cx="4907280" cy="2587474"/>
            <wp:effectExtent b="0" l="0" r="0" t="0"/>
            <wp:docPr descr="" title="" id="56" name="Picture"/>
            <a:graphic>
              <a:graphicData uri="http://schemas.openxmlformats.org/drawingml/2006/picture">
                <pic:pic>
                  <pic:nvPicPr>
                    <pic:cNvPr descr="短期模型拟合效果.png" id="57" name="Picture"/>
                    <pic:cNvPicPr>
                      <a:picLocks noChangeArrowheads="1" noChangeAspect="1"/>
                    </pic:cNvPicPr>
                  </pic:nvPicPr>
                  <pic:blipFill>
                    <a:blip r:embed="rId55"/>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短期动态模型拟合效果。模型较好刻画了前期冲击、中期平台和后期再定价，是本文解释</w:t>
      </w:r>
      <w:r>
        <w:t xml:space="preserve"> 110–120 </w:t>
      </w:r>
      <w:r>
        <w:rPr>
          <w:rFonts w:hint="eastAsia"/>
        </w:rPr>
        <w:t xml:space="preserve">美元/桶价格平台的核心证据图。</w:t>
      </w:r>
    </w:p>
    <w:bookmarkEnd w:id="58"/>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3.44 &amp; 2.85 &amp; 7.43</w:t>
      </w:r>
      <w:r>
        <w:br/>
      </w:r>
      <w:r>
        <w:rPr>
          <w:rFonts w:hint="eastAsia"/>
        </w:rPr>
        <w:t xml:space="preserve">前期冲击</w:t>
      </w:r>
      <w:r>
        <w:t xml:space="preserve"> &amp; 11 &amp; 3.14 &amp; 2.72 &amp; 5.91</w:t>
      </w:r>
      <w:r>
        <w:br/>
      </w:r>
      <w:r>
        <w:rPr>
          <w:rFonts w:hint="eastAsia"/>
        </w:rPr>
        <w:t xml:space="preserve">中期平台</w:t>
      </w:r>
      <w:r>
        <w:t xml:space="preserve"> &amp; 14 &amp; 4.39 &amp; 3.72 &amp; 7.43</w:t>
      </w:r>
      <w:r>
        <w:br/>
      </w:r>
      <w:r>
        <w:rPr>
          <w:rFonts w:hint="eastAsia"/>
        </w:rPr>
        <w:t xml:space="preserve">后期再定价</w:t>
      </w:r>
      <w:r>
        <w:t xml:space="preserve"> &amp; 21 &amp; 2.81 &amp; 2.35 &amp; 5.24</w:t>
      </w:r>
      <w:r>
        <w:br/>
      </w:r>
      <w:r>
        <w:rPr>
          <w:rFonts w:hint="eastAsia"/>
        </w:rPr>
        <w:t xml:space="preserve">高价平台</w:t>
      </w:r>
      <w:r>
        <w:t xml:space="preserve"> &amp; 4 &amp; 2.83 &amp; 2.34 &amp; 3.91</w:t>
      </w:r>
      <w:r>
        <w:br/>
      </w:r>
      <w:r>
        <w:rPr>
          <w:rFonts w:hint="eastAsia"/>
        </w:rPr>
        <w:t xml:space="preserve">低价回落</w:t>
      </w:r>
      <w:r>
        <w:t xml:space="preserve"> &amp; 21 &amp; 3.38 &amp; 2.94 &amp; 5.91</w:t>
      </w:r>
      <w:r>
        <w:br/>
      </w:r>
    </w:p>
    <w:p>
      <w:pPr>
        <w:pStyle w:val="CaptionedFigure"/>
      </w:pPr>
      <w:r>
        <w:drawing>
          <wp:inline>
            <wp:extent cx="4907280" cy="2765921"/>
            <wp:effectExtent b="0" l="0" r="0" t="0"/>
            <wp:docPr descr="" title="" id="60" name="Picture"/>
            <a:graphic>
              <a:graphicData uri="http://schemas.openxmlformats.org/drawingml/2006/picture">
                <pic:pic>
                  <pic:nvPicPr>
                    <pic:cNvPr descr="短期模型机制贡献.png" id="61" name="Picture"/>
                    <pic:cNvPicPr>
                      <a:picLocks noChangeArrowheads="1" noChangeAspect="1"/>
                    </pic:cNvPicPr>
                  </pic:nvPicPr>
                  <pic:blipFill>
                    <a:blip r:embed="rId59"/>
                    <a:stretch>
                      <a:fillRect/>
                    </a:stretch>
                  </pic:blipFill>
                  <pic:spPr bwMode="auto">
                    <a:xfrm>
                      <a:off x="0" y="0"/>
                      <a:ext cx="4907280" cy="2765921"/>
                    </a:xfrm>
                    <a:prstGeom prst="rect">
                      <a:avLst/>
                    </a:prstGeom>
                    <a:noFill/>
                    <a:ln w="9525">
                      <a:noFill/>
                      <a:headEnd/>
                      <a:tailEnd/>
                    </a:ln>
                  </pic:spPr>
                </pic:pic>
              </a:graphicData>
            </a:graphic>
          </wp:inline>
        </w:drawing>
      </w:r>
    </w:p>
    <w:p>
      <w:pPr>
        <w:pStyle w:val="ImageCaption"/>
      </w:pPr>
      <w:r>
        <w:rPr>
          <w:rFonts w:hint="eastAsia"/>
        </w:rPr>
        <w:t xml:space="preserve">短期模型机制贡献分解。风险溢价解释价格快速进入高位平台，缓冲确认和预期修复解释后期回落，展示不同机制对价格路径的边际作用。</w:t>
      </w:r>
    </w:p>
    <w:bookmarkEnd w:id="62"/>
    <w:bookmarkEnd w:id="63"/>
    <w:bookmarkStart w:id="74" w:name="基准对比与统计检验"/>
    <w:p>
      <w:pPr>
        <w:pStyle w:val="Heading2"/>
      </w:pPr>
      <w:r>
        <w:rPr>
          <w:rFonts w:hint="eastAsia"/>
        </w:rPr>
        <w:t xml:space="preserve">基准对比与统计检验</w:t>
      </w:r>
    </w:p>
    <w:bookmarkStart w:id="73" w:name="基准对比与滞后检验"/>
    <w:p>
      <w:pPr>
        <w:pStyle w:val="Heading3"/>
      </w:pPr>
      <w:r>
        <w:rPr>
          <w:rFonts w:hint="eastAsia"/>
        </w:rPr>
        <w:t xml:space="preserve">基准对比与滞后检验</w:t>
      </w:r>
    </w:p>
    <w:p>
      <w:pPr>
        <w:pStyle w:val="FirstParagraph"/>
      </w:pPr>
      <w:r>
        <w:rPr>
          <w:rFonts w:hint="eastAsia"/>
        </w:rPr>
        <w:t xml:space="preserve">金融时间序列中，上一日价格朴素基准是强基准。如果模型不能优于</w:t>
      </w:r>
      <w:r>
        <w:rPr>
          <w:rFonts w:hint="eastAsia"/>
        </w:rPr>
        <w:t xml:space="preserve">“今天等于昨天”</w:t>
      </w:r>
      <w:r>
        <w:rPr>
          <w:rFonts w:hint="eastAsia"/>
        </w:rPr>
        <w:t xml:space="preserve">，则复杂机制缺乏价值。本文设置朴素上一日基准、三日均值基准、漂移随机游走基准和滚动</w:t>
      </w:r>
      <w:r>
        <w:t xml:space="preserve"> ARIMA(1,1,0) </w:t>
      </w:r>
      <w:r>
        <w:rPr>
          <w:rFonts w:hint="eastAsia"/>
        </w:rPr>
        <w:t xml:space="preserve">基准，所有基准在预测第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w:t>
      </w:r>
    </w:p>
    <w:p>
      <w:pPr>
        <w:pStyle w:val="CaptionedFigure"/>
      </w:pPr>
      <w:r>
        <w:drawing>
          <wp:inline>
            <wp:extent cx="4907280" cy="4218758"/>
            <wp:effectExtent b="0" l="0" r="0" t="0"/>
            <wp:docPr descr="" title="" id="65" name="Picture"/>
            <a:graphic>
              <a:graphicData uri="http://schemas.openxmlformats.org/drawingml/2006/picture">
                <pic:pic>
                  <pic:nvPicPr>
                    <pic:cNvPr descr="评审质疑防御框架图.png" id="66" name="Picture"/>
                    <pic:cNvPicPr>
                      <a:picLocks noChangeArrowheads="1" noChangeAspect="1"/>
                    </pic:cNvPicPr>
                  </pic:nvPicPr>
                  <pic:blipFill>
                    <a:blip r:embed="rId64"/>
                    <a:stretch>
                      <a:fillRect/>
                    </a:stretch>
                  </pic:blipFill>
                  <pic:spPr bwMode="auto">
                    <a:xfrm>
                      <a:off x="0" y="0"/>
                      <a:ext cx="4907280" cy="4218758"/>
                    </a:xfrm>
                    <a:prstGeom prst="rect">
                      <a:avLst/>
                    </a:prstGeom>
                    <a:noFill/>
                    <a:ln w="9525">
                      <a:noFill/>
                      <a:headEnd/>
                      <a:tailEnd/>
                    </a:ln>
                  </pic:spPr>
                </pic:pic>
              </a:graphicData>
            </a:graphic>
          </wp:inline>
        </w:drawing>
      </w:r>
    </w:p>
    <w:p>
      <w:pPr>
        <w:pStyle w:val="ImageCaption"/>
      </w:pPr>
      <w:r>
        <w:rPr>
          <w:rFonts w:hint="eastAsia"/>
        </w:rPr>
        <w:t xml:space="preserve">模型鲁棒性检验框架。每类潜在风险都对应可复现的检验、图表或校验输出。</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本文短期动态模型</w:t>
      </w:r>
      <w:r>
        <w:t xml:space="preserve"> &amp; 3.44 &amp; 2.85 &amp; 2.86 &amp; 64.4</w:t>
      </w:r>
      <w:r>
        <w:br/>
      </w:r>
      <w:r>
        <w:rPr>
          <w:rFonts w:hint="eastAsia"/>
        </w:rPr>
        <w:t xml:space="preserve">朴素上一日基准</w:t>
      </w:r>
      <w:r>
        <w:t xml:space="preserve"> &amp; 4.47 &amp; 3.57 &amp; 3.54 &amp; 46.7</w:t>
      </w:r>
      <w:r>
        <w:br/>
      </w:r>
      <w:r>
        <w:rPr>
          <w:rFonts w:hint="eastAsia"/>
        </w:rPr>
        <w:t xml:space="preserve">三日均值基准</w:t>
      </w:r>
      <w:r>
        <w:t xml:space="preserve"> &amp; 5.18 &amp; 4.16 &amp; 4.15 &amp; 44.4</w:t>
      </w:r>
      <w:r>
        <w:br/>
      </w:r>
      <w:r>
        <w:rPr>
          <w:rFonts w:hint="eastAsia"/>
        </w:rPr>
        <w:t xml:space="preserve">漂移随机游走基准</w:t>
      </w:r>
      <w:r>
        <w:t xml:space="preserve"> &amp; 4.84 &amp; 3.94 &amp; 3.91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与方向命中率以百分比计。数字列采用小数点对齐，便于横向比较。</w:t>
      </w:r>
    </w:p>
    <w:p>
      <w:pPr>
        <w:pStyle w:val="CaptionedFigure"/>
      </w:pPr>
      <w:r>
        <w:drawing>
          <wp:inline>
            <wp:extent cx="4587240" cy="2533904"/>
            <wp:effectExtent b="0" l="0" r="0" t="0"/>
            <wp:docPr descr="" title="" id="68" name="Picture"/>
            <a:graphic>
              <a:graphicData uri="http://schemas.openxmlformats.org/drawingml/2006/picture">
                <pic:pic>
                  <pic:nvPicPr>
                    <pic:cNvPr descr="短期模型基准对比.png" id="69" name="Picture"/>
                    <pic:cNvPicPr>
                      <a:picLocks noChangeArrowheads="1" noChangeAspect="1"/>
                    </pic:cNvPicPr>
                  </pic:nvPicPr>
                  <pic:blipFill>
                    <a:blip r:embed="rId67"/>
                    <a:stretch>
                      <a:fillRect/>
                    </a:stretch>
                  </pic:blipFill>
                  <pic:spPr bwMode="auto">
                    <a:xfrm>
                      <a:off x="0" y="0"/>
                      <a:ext cx="4587240" cy="2533904"/>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w:t>
      </w:r>
      <w:r>
        <w:t xml:space="preserve"> RMSE </w:t>
      </w:r>
      <w:r>
        <w:rPr>
          <w:rFonts w:hint="eastAsia"/>
        </w:rPr>
        <w:t xml:space="preserve">对比。本文模型相对朴素基准改善约</w:t>
      </w:r>
      <w:r>
        <w:t xml:space="preserve"> 23.0%。</w:t>
      </w:r>
    </w:p>
    <w:p>
      <w:pPr>
        <w:pStyle w:val="BodyText"/>
      </w:pPr>
      <w:r>
        <w:rPr>
          <w:rFonts w:hint="eastAsia"/>
        </w:rPr>
        <w:t xml:space="preserve">图</w:t>
      </w:r>
      <w:r>
        <w:t xml:space="preserve"> </w:t>
      </w:r>
      <w:hyperlink w:anchor="fig:short-term-fit">
        <w:r>
          <w:rPr>
            <w:rStyle w:val="Hyperlink"/>
          </w:rPr>
          <w:t xml:space="preserve">4</w:t>
        </w:r>
      </w:hyperlink>
      <w:r>
        <w:t xml:space="preserve"> </w:t>
      </w:r>
      <w:r>
        <w:rPr>
          <w:rFonts w:hint="eastAsia"/>
        </w:rPr>
        <w:t xml:space="preserve">展示了短期主模型的路径拟合结果。为排除</w:t>
      </w:r>
      <w:r>
        <w:rPr>
          <w:rFonts w:hint="eastAsia"/>
        </w:rPr>
        <w:t xml:space="preserve">“模型只是滞后复制真实曲线”</w:t>
      </w:r>
      <w:r>
        <w:rPr>
          <w:rFonts w:hint="eastAsia"/>
        </w:rPr>
        <w:t xml:space="preserve">的风险，本文将模型曲线整体向左、向右平移</w:t>
      </w:r>
      <w:r>
        <w:t xml:space="preserve"> 1–5 </w:t>
      </w:r>
      <w:r>
        <w:rPr>
          <w:rFonts w:hint="eastAsia"/>
        </w:rPr>
        <w:t xml:space="preserve">天后重新计算</w:t>
      </w:r>
      <w:r>
        <w:t xml:space="preserve"> </w:t>
      </w:r>
      <w:r>
        <w:rPr>
          <w:rFonts w:hint="eastAsia"/>
        </w:rPr>
        <w:t xml:space="preserve">RMSE。结果显示，原始位置</w:t>
      </w:r>
      <w:r>
        <w:t xml:space="preserve"> RMSE </w:t>
      </w:r>
      <w:r>
        <w:rPr>
          <w:rFonts w:hint="eastAsia"/>
        </w:rPr>
        <w:t xml:space="preserve">最低，为</w:t>
      </w:r>
      <w:r>
        <w:t xml:space="preserve"> </w:t>
      </w:r>
      <w:r>
        <w:rPr>
          <w:rFonts w:hint="eastAsia"/>
        </w:rPr>
        <w:t xml:space="preserve">3.44；向左平移</w:t>
      </w:r>
      <w:r>
        <w:t xml:space="preserve"> 1 </w:t>
      </w:r>
      <w:r>
        <w:rPr>
          <w:rFonts w:hint="eastAsia"/>
        </w:rPr>
        <w:t xml:space="preserve">天后</w:t>
      </w:r>
      <w:r>
        <w:t xml:space="preserve"> RMSE </w:t>
      </w:r>
      <w:r>
        <w:rPr>
          <w:rFonts w:hint="eastAsia"/>
        </w:rPr>
        <w:t xml:space="preserve">升至</w:t>
      </w:r>
      <w:r>
        <w:t xml:space="preserve"> </w:t>
      </w:r>
      <w:r>
        <w:rPr>
          <w:rFonts w:hint="eastAsia"/>
        </w:rPr>
        <w:t xml:space="preserve">3.87，向左平移</w:t>
      </w:r>
      <w:r>
        <w:t xml:space="preserve"> 2 </w:t>
      </w:r>
      <w:r>
        <w:rPr>
          <w:rFonts w:hint="eastAsia"/>
        </w:rPr>
        <w:t xml:space="preserve">天后升至</w:t>
      </w:r>
      <w:r>
        <w:t xml:space="preserve"> </w:t>
      </w:r>
      <w:r>
        <w:rPr>
          <w:rFonts w:hint="eastAsia"/>
        </w:rPr>
        <w:t xml:space="preserve">4.64，说明模型不存在明显滞后复制。</w:t>
      </w:r>
    </w:p>
    <w:p>
      <w:pPr>
        <w:pStyle w:val="CaptionedFigure"/>
      </w:pPr>
      <w:r>
        <w:drawing>
          <wp:inline>
            <wp:extent cx="4480560" cy="2594008"/>
            <wp:effectExtent b="0" l="0" r="0" t="0"/>
            <wp:docPr descr="" title="" id="71" name="Picture"/>
            <a:graphic>
              <a:graphicData uri="http://schemas.openxmlformats.org/drawingml/2006/picture">
                <pic:pic>
                  <pic:nvPicPr>
                    <pic:cNvPr descr="短期模型滞后平移检验.png" id="72" name="Picture"/>
                    <pic:cNvPicPr>
                      <a:picLocks noChangeArrowheads="1" noChangeAspect="1"/>
                    </pic:cNvPicPr>
                  </pic:nvPicPr>
                  <pic:blipFill>
                    <a:blip r:embed="rId70"/>
                    <a:stretch>
                      <a:fillRect/>
                    </a:stretch>
                  </pic:blipFill>
                  <pic:spPr bwMode="auto">
                    <a:xfrm>
                      <a:off x="0" y="0"/>
                      <a:ext cx="4480560" cy="2594008"/>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检验。原始位置误差最低，说明拟合曲线不是简单把昨日真实价格滞后搬到今日。</w:t>
      </w:r>
    </w:p>
    <w:bookmarkEnd w:id="73"/>
    <w:bookmarkEnd w:id="74"/>
    <w:bookmarkStart w:id="94" w:name="模型鲁棒性与稳定性评估"/>
    <w:p>
      <w:pPr>
        <w:pStyle w:val="Heading2"/>
      </w:pPr>
      <w:r>
        <w:rPr>
          <w:rFonts w:hint="eastAsia"/>
        </w:rPr>
        <w:t xml:space="preserve">模型鲁棒性与稳定性评估</w:t>
      </w:r>
    </w:p>
    <w:bookmarkStart w:id="78" w:name="结构稳定性检验"/>
    <w:p>
      <w:pPr>
        <w:pStyle w:val="Heading3"/>
      </w:pPr>
      <w:r>
        <w:rPr>
          <w:rFonts w:hint="eastAsia"/>
        </w:rPr>
        <w:t xml:space="preserve">结构稳定性检验</w:t>
      </w:r>
    </w:p>
    <w:p>
      <w:pPr>
        <w:pStyle w:val="FirstParagraph"/>
      </w:pPr>
      <w:r>
        <w:rPr>
          <w:rFonts w:hint="eastAsia"/>
        </w:rPr>
        <w:t xml:space="preserve">由于冲突窗口只有</w:t>
      </w:r>
      <w:r>
        <w:t xml:space="preserve"> 46 </w:t>
      </w:r>
      <w:r>
        <w:rPr>
          <w:rFonts w:hint="eastAsia"/>
        </w:rPr>
        <w:t xml:space="preserve">个交易日，而校准参数较多，本文进一步进行参数扰动与结构边界检验。结果显示，在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参数扰动中，96.6%</w:t>
      </w:r>
      <w:r>
        <w:t xml:space="preserve"> </w:t>
      </w:r>
      <w:r>
        <w:rPr>
          <w:rFonts w:hint="eastAsia"/>
        </w:rPr>
        <w:t xml:space="preserve">的样本模拟峰值仍落在</w:t>
      </w:r>
      <w:r>
        <w:t xml:space="preserve"> 105–125 </w:t>
      </w:r>
      <w:r>
        <w:rPr>
          <w:rFonts w:hint="eastAsia"/>
        </w:rPr>
        <w:t xml:space="preserve">美元/桶区间；递推结构检查也确认模型未将</w:t>
      </w:r>
      <w:r>
        <w:t xml:space="preserve"> 120 </w:t>
      </w:r>
      <w:r>
        <w:rPr>
          <w:rFonts w:hint="eastAsia"/>
        </w:rPr>
        <w:t xml:space="preserve">美元作为外生价格上限。本文因此将模型定位为</w:t>
      </w:r>
      <w:r>
        <w:rPr>
          <w:rFonts w:hint="eastAsia"/>
        </w:rPr>
        <w:t xml:space="preserve">“事件机制递推模型”</w:t>
      </w:r>
      <w:r>
        <w:rPr>
          <w:rFonts w:hint="eastAsia"/>
        </w:rPr>
        <w:t xml:space="preserve">，而非通用日度交易预测器。</w:t>
      </w:r>
    </w:p>
    <w:p>
      <w:pPr>
        <w:pStyle w:val="CaptionedFigure"/>
      </w:pPr>
      <w:r>
        <w:drawing>
          <wp:inline>
            <wp:extent cx="4693920" cy="2048256"/>
            <wp:effectExtent b="0" l="0" r="0" t="0"/>
            <wp:docPr descr="" title="" id="76" name="Picture"/>
            <a:graphic>
              <a:graphicData uri="http://schemas.openxmlformats.org/drawingml/2006/picture">
                <pic:pic>
                  <pic:nvPicPr>
                    <pic:cNvPr descr="短期模型过拟合压力测试.png" id="77" name="Picture"/>
                    <pic:cNvPicPr>
                      <a:picLocks noChangeArrowheads="1" noChangeAspect="1"/>
                    </pic:cNvPicPr>
                  </pic:nvPicPr>
                  <pic:blipFill>
                    <a:blip r:embed="rId75"/>
                    <a:stretch>
                      <a:fillRect/>
                    </a:stretch>
                  </pic:blipFill>
                  <pic:spPr bwMode="auto">
                    <a:xfrm>
                      <a:off x="0" y="0"/>
                      <a:ext cx="4693920" cy="2048256"/>
                    </a:xfrm>
                    <a:prstGeom prst="rect">
                      <a:avLst/>
                    </a:prstGeom>
                    <a:noFill/>
                    <a:ln w="9525">
                      <a:noFill/>
                      <a:headEnd/>
                      <a:tailEnd/>
                    </a:ln>
                  </pic:spPr>
                </pic:pic>
              </a:graphicData>
            </a:graphic>
          </wp:inline>
        </w:drawing>
      </w:r>
    </w:p>
    <w:p>
      <w:pPr>
        <w:pStyle w:val="ImageCaption"/>
      </w:pPr>
      <w:r>
        <w:rPr>
          <w:rFonts w:hint="eastAsia"/>
        </w:rPr>
        <w:t xml:space="preserve">短期模型参数扰动检验。多数扰动样本仍保持在合理价格平台附近，说明</w:t>
      </w:r>
      <w:r>
        <w:t xml:space="preserve"> 110–120 </w:t>
      </w:r>
      <w:r>
        <w:rPr>
          <w:rFonts w:hint="eastAsia"/>
        </w:rPr>
        <w:t xml:space="preserve">美元/桶平台不依赖唯一参数点。</w:t>
      </w:r>
    </w:p>
    <w:bookmarkEnd w:id="78"/>
    <w:bookmarkStart w:id="82" w:name="分段误差与残差诊断"/>
    <w:p>
      <w:pPr>
        <w:pStyle w:val="Heading3"/>
      </w:pPr>
      <w:r>
        <w:rPr>
          <w:rFonts w:hint="eastAsia"/>
        </w:rPr>
        <w:t xml:space="preserve">分段误差与残差诊断</w:t>
      </w:r>
    </w:p>
    <w:p>
      <w:pPr>
        <w:pStyle w:val="FirstParagraph"/>
      </w:pPr>
      <w:r>
        <w:rPr>
          <w:rFonts w:hint="eastAsia"/>
        </w:rPr>
        <w:t xml:space="preserve">仅报告全窗口</w:t>
      </w:r>
      <w:r>
        <w:t xml:space="preserve"> RMSE </w:t>
      </w:r>
      <w:r>
        <w:rPr>
          <w:rFonts w:hint="eastAsia"/>
        </w:rPr>
        <w:t xml:space="preserve">容易掩盖局部失败。本文进一步检查逐日残差、滚动误差、实际值与模拟值一致性以及残差自相关。分段误差显示，中期平台是最难解释的部分，RMSE</w:t>
      </w:r>
      <w:r>
        <w:t xml:space="preserve"> </w:t>
      </w:r>
      <w:r>
        <w:rPr>
          <w:rFonts w:hint="eastAsia"/>
        </w:rPr>
        <w:t xml:space="preserve">为</w:t>
      </w:r>
      <w:r>
        <w:t xml:space="preserve"> 4.39 </w:t>
      </w:r>
      <w:r>
        <w:rPr>
          <w:rFonts w:hint="eastAsia"/>
        </w:rPr>
        <w:t xml:space="preserve">美元/桶；后期再定价阶段</w:t>
      </w:r>
      <w:r>
        <w:t xml:space="preserve"> RMSE </w:t>
      </w:r>
      <w:r>
        <w:rPr>
          <w:rFonts w:hint="eastAsia"/>
        </w:rPr>
        <w:t xml:space="preserve">降至</w:t>
      </w:r>
      <w:r>
        <w:t xml:space="preserve"> 2.81 </w:t>
      </w:r>
      <w:r>
        <w:rPr>
          <w:rFonts w:hint="eastAsia"/>
        </w:rPr>
        <w:t xml:space="preserve">美元/桶，说明缓冲确认折价和预期修复折价对解释后期回落有实际作用。</w:t>
      </w:r>
    </w:p>
    <w:p>
      <w:pPr>
        <w:pStyle w:val="CaptionedFigure"/>
      </w:pPr>
      <w:r>
        <w:drawing>
          <wp:inline>
            <wp:extent cx="4907280" cy="3655675"/>
            <wp:effectExtent b="0" l="0" r="0" t="0"/>
            <wp:docPr descr="" title="" id="80" name="Picture"/>
            <a:graphic>
              <a:graphicData uri="http://schemas.openxmlformats.org/drawingml/2006/picture">
                <pic:pic>
                  <pic:nvPicPr>
                    <pic:cNvPr descr="短期模型残差诊断增强.png" id="81" name="Picture"/>
                    <pic:cNvPicPr>
                      <a:picLocks noChangeArrowheads="1" noChangeAspect="1"/>
                    </pic:cNvPicPr>
                  </pic:nvPicPr>
                  <pic:blipFill>
                    <a:blip r:embed="rId79"/>
                    <a:stretch>
                      <a:fillRect/>
                    </a:stretch>
                  </pic:blipFill>
                  <pic:spPr bwMode="auto">
                    <a:xfrm>
                      <a:off x="0" y="0"/>
                      <a:ext cx="4907280" cy="3655675"/>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短期模型增强残差诊断。图中展示一致性、残差分布、滚动误差和残差自相关。</w:t>
      </w:r>
    </w:p>
    <w:p>
      <w:pPr>
        <w:pStyle w:val="BodyText"/>
      </w:pPr>
      <w:r>
        <w:rPr>
          <w:rFonts w:hint="eastAsia"/>
        </w:rPr>
        <w:t xml:space="preserve">增强诊断表明，模型没有通过牺牲某一局部阶段来换取总体</w:t>
      </w:r>
      <w:r>
        <w:t xml:space="preserve"> </w:t>
      </w:r>
      <w:r>
        <w:rPr>
          <w:rFonts w:hint="eastAsia"/>
        </w:rPr>
        <w:t xml:space="preserve">RMSE。实际值与模拟值的一致性图说明模型能够跟随冲突窗口的主要价格平台；残差分布没有出现单侧系统性偏移；滚动误差在中期平台阶段略高，符合市场对封锁持续时间和缓冲机制可持续性反复定价的事实。残差一阶自相关约为</w:t>
      </w:r>
      <w:r>
        <w:t xml:space="preserve"> </w:t>
      </w:r>
      <w:r>
        <w:rPr>
          <w:rFonts w:hint="eastAsia"/>
        </w:rPr>
        <w:t xml:space="preserve">0.254，说明仍存在一定连续偏差，但未形成明显强自相关。</w:t>
      </w:r>
    </w:p>
    <w:bookmarkEnd w:id="82"/>
    <w:bookmarkStart w:id="86" w:name="时间轴语义与删块稳健性复核"/>
    <w:p>
      <w:pPr>
        <w:pStyle w:val="Heading3"/>
      </w:pPr>
      <w:r>
        <w:rPr>
          <w:rFonts w:hint="eastAsia"/>
        </w:rPr>
        <w:t xml:space="preserve">时间轴语义与删块稳健性复核</w:t>
      </w:r>
    </w:p>
    <w:p>
      <w:pPr>
        <w:pStyle w:val="FirstParagraph"/>
      </w:pPr>
      <w:r>
        <w:rPr>
          <w:rFonts w:hint="eastAsia"/>
        </w:rPr>
        <w:t xml:space="preserve">短期递推中的</w:t>
      </w:r>
      <w:r>
        <w:t xml:space="preserve"> SPR </w:t>
      </w:r>
      <w:r>
        <w:rPr>
          <w:rFonts w:hint="eastAsia"/>
        </w:rPr>
        <w:t xml:space="preserve">释放、绕道恢复、需求收缩和恐慌衰减都依赖时间变量。若将每一行交易日都视为等间隔一步，可能低估周末和节假日期间政策与运输机制的实际推进；若采用日历日差，则相邻交易行在周末后会出现</w:t>
      </w:r>
      <w:r>
        <w:t xml:space="preserve"> 3 </w:t>
      </w:r>
      <w:r>
        <w:rPr>
          <w:rFonts w:hint="eastAsia"/>
        </w:rPr>
        <w:t xml:space="preserve">天跳变。为避免时间轴选择成为隐藏建模假设，本文在不重新调参的条件下，对同一组最优参数分别采用日历日口径和交易日序号口径进行复算。</w:t>
      </w:r>
    </w:p>
    <w:p>
      <w:pPr>
        <w:pStyle w:val="TableCaption"/>
      </w:pPr>
      <w:r>
        <w:rPr>
          <w:rFonts w:hint="eastAsia"/>
        </w:rPr>
        <w:t xml:space="preserve">短期模型时间轴口径对比</w:t>
      </w:r>
    </w:p>
    <w:tbl>
      <w:tblPr>
        <w:tblStyle w:val="Table"/>
        <w:tblW w:type="auto" w:w="0"/>
        <w:tblLook w:firstRow="1" w:lastRow="0" w:firstColumn="0" w:lastColumn="0" w:noHBand="0" w:noVBand="0" w:val="0020"/>
        <w:tblCaption w:val="短期模型时间轴口径对比"/>
      </w:tblPr>
      <w:tblGrid>
        <w:gridCol w:w="1584"/>
        <w:gridCol w:w="1584"/>
        <w:gridCol w:w="1584"/>
        <w:gridCol w:w="1584"/>
        <w:gridCol w:w="1584"/>
      </w:tblGrid>
      <w:tr>
        <w:trPr>
          <w:tblHeader w:val="on"/>
        </w:trPr>
        <w:tc>
          <w:tcPr/>
          <w:p>
            <w:pPr>
              <w:pStyle w:val="Compact"/>
              <w:jc w:val="left"/>
            </w:pPr>
            <w:r>
              <w:rPr>
                <w:rFonts w:hint="eastAsia"/>
              </w:rPr>
              <w:t xml:space="preserve">时间轴口径</w:t>
            </w:r>
          </w:p>
        </w:tc>
        <w:tc>
          <w:tcPr/>
          <w:p>
            <w:pPr>
              <w:pStyle w:val="Compact"/>
              <w:jc w:val="right"/>
            </w:pPr>
            <w:r>
              <w:rPr>
                <w:rFonts w:hint="eastAsia"/>
              </w:rPr>
              <w:t xml:space="preserve">最大时间索引</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综合得分</w:t>
            </w:r>
          </w:p>
        </w:tc>
      </w:tr>
      <w:tr>
        <w:tc>
          <w:tcPr/>
          <w:p>
            <w:pPr>
              <w:pStyle w:val="Compact"/>
              <w:jc w:val="left"/>
            </w:pPr>
            <w:r>
              <w:rPr>
                <w:rFonts w:hint="eastAsia"/>
              </w:rPr>
              <w:t xml:space="preserve">日历日口径</w:t>
            </w:r>
          </w:p>
        </w:tc>
        <w:tc>
          <w:tcPr/>
          <w:p>
            <w:pPr>
              <w:pStyle w:val="Compact"/>
              <w:jc w:val="right"/>
            </w:pPr>
            <w:r>
              <w:t xml:space="preserve">64</w:t>
            </w:r>
          </w:p>
        </w:tc>
        <w:tc>
          <w:tcPr/>
          <w:p>
            <w:pPr>
              <w:pStyle w:val="Compact"/>
              <w:jc w:val="right"/>
            </w:pPr>
            <w:r>
              <w:t xml:space="preserve">3.440</w:t>
            </w:r>
          </w:p>
        </w:tc>
        <w:tc>
          <w:tcPr/>
          <w:p>
            <w:pPr>
              <w:pStyle w:val="Compact"/>
              <w:jc w:val="right"/>
            </w:pPr>
            <w:r>
              <w:t xml:space="preserve">2.855</w:t>
            </w:r>
          </w:p>
        </w:tc>
        <w:tc>
          <w:tcPr/>
          <w:p>
            <w:pPr>
              <w:pStyle w:val="Compact"/>
              <w:jc w:val="right"/>
            </w:pPr>
            <w:r>
              <w:t xml:space="preserve">6.638</w:t>
            </w:r>
          </w:p>
        </w:tc>
      </w:tr>
      <w:tr>
        <w:tc>
          <w:tcPr/>
          <w:p>
            <w:pPr>
              <w:pStyle w:val="Compact"/>
              <w:jc w:val="left"/>
            </w:pPr>
            <w:r>
              <w:rPr>
                <w:rFonts w:hint="eastAsia"/>
              </w:rPr>
              <w:t xml:space="preserve">交易日序号口径</w:t>
            </w:r>
          </w:p>
        </w:tc>
        <w:tc>
          <w:tcPr/>
          <w:p>
            <w:pPr>
              <w:pStyle w:val="Compact"/>
              <w:jc w:val="right"/>
            </w:pPr>
            <w:r>
              <w:t xml:space="preserve">45</w:t>
            </w:r>
          </w:p>
        </w:tc>
        <w:tc>
          <w:tcPr/>
          <w:p>
            <w:pPr>
              <w:pStyle w:val="Compact"/>
              <w:jc w:val="right"/>
            </w:pPr>
            <w:r>
              <w:t xml:space="preserve">7.075</w:t>
            </w:r>
          </w:p>
        </w:tc>
        <w:tc>
          <w:tcPr/>
          <w:p>
            <w:pPr>
              <w:pStyle w:val="Compact"/>
              <w:jc w:val="right"/>
            </w:pPr>
            <w:r>
              <w:t xml:space="preserve">5.631</w:t>
            </w:r>
          </w:p>
        </w:tc>
        <w:tc>
          <w:tcPr/>
          <w:p>
            <w:pPr>
              <w:pStyle w:val="Compact"/>
              <w:jc w:val="right"/>
            </w:pPr>
            <w:r>
              <w:t xml:space="preserve">19.365</w:t>
            </w:r>
          </w:p>
        </w:tc>
      </w:tr>
    </w:tbl>
    <w:p>
      <w:pPr>
        <w:pStyle w:val="BodyText"/>
      </w:pPr>
      <w:r>
        <w:rPr>
          <w:rFonts w:hint="eastAsia"/>
        </w:rPr>
        <w:t xml:space="preserve">结果显示，交易日序号口径在同参条件下明显恶化，尤其高价平台</w:t>
      </w:r>
      <w:r>
        <w:t xml:space="preserve"> RMSE </w:t>
      </w:r>
      <w:r>
        <w:rPr>
          <w:rFonts w:hint="eastAsia"/>
        </w:rPr>
        <w:t xml:space="preserve">升至</w:t>
      </w:r>
      <w:r>
        <w:t xml:space="preserve"> 15.22 </w:t>
      </w:r>
      <w:r>
        <w:rPr>
          <w:rFonts w:hint="eastAsia"/>
        </w:rPr>
        <w:t xml:space="preserve">美元/桶。因此，当前主模型保留日历日口径是合理的：封锁冲击、政策释放和运输恢复并不会在周末停止，按真实经过时间推进更符合机制解释题的语义。</w:t>
      </w:r>
    </w:p>
    <w:p>
      <w:pPr>
        <w:pStyle w:val="BodyText"/>
      </w:pPr>
      <w:r>
        <w:rPr>
          <w:rFonts w:hint="eastAsia"/>
        </w:rPr>
        <w:t xml:space="preserve">进一步地，本文将</w:t>
      </w:r>
      <w:r>
        <w:t xml:space="preserve"> 46 </w:t>
      </w:r>
      <w:r>
        <w:rPr>
          <w:rFonts w:hint="eastAsia"/>
        </w:rPr>
        <w:t xml:space="preserve">个交易日按时间顺序切分为</w:t>
      </w:r>
      <w:r>
        <w:t xml:space="preserve"> 5 </w:t>
      </w:r>
      <w:r>
        <w:rPr>
          <w:rFonts w:hint="eastAsia"/>
        </w:rPr>
        <w:t xml:space="preserve">个连续块，使用同一组参数检查各块误差。被删除块</w:t>
      </w:r>
      <w:r>
        <w:t xml:space="preserve"> RMSE </w:t>
      </w:r>
      <w:r>
        <w:rPr>
          <w:rFonts w:hint="eastAsia"/>
        </w:rPr>
        <w:t xml:space="preserve">分别为</w:t>
      </w:r>
      <w:r>
        <w:t xml:space="preserve"> 3.27、3.58、4.60、2.55 </w:t>
      </w:r>
      <w:r>
        <w:rPr>
          <w:rFonts w:hint="eastAsia"/>
        </w:rPr>
        <w:t xml:space="preserve">和</w:t>
      </w:r>
      <w:r>
        <w:t xml:space="preserve"> 2.84 </w:t>
      </w:r>
      <w:r>
        <w:rPr>
          <w:rFonts w:hint="eastAsia"/>
        </w:rPr>
        <w:t xml:space="preserve">美元/桶，标准差为</w:t>
      </w:r>
      <w:r>
        <w:t xml:space="preserve"> </w:t>
      </w:r>
      <w:r>
        <w:rPr>
          <w:rFonts w:hint="eastAsia"/>
        </w:rPr>
        <w:t xml:space="preserve">0.71。最难片段为</w:t>
      </w:r>
      <w:r>
        <w:t xml:space="preserve"> 2026 </w:t>
      </w:r>
      <w:r>
        <w:rPr>
          <w:rFonts w:hint="eastAsia"/>
        </w:rPr>
        <w:t xml:space="preserve">年</w:t>
      </w:r>
      <w:r>
        <w:t xml:space="preserve"> 3 </w:t>
      </w:r>
      <w:r>
        <w:rPr>
          <w:rFonts w:hint="eastAsia"/>
        </w:rPr>
        <w:t xml:space="preserve">月</w:t>
      </w:r>
      <w:r>
        <w:t xml:space="preserve"> 27 </w:t>
      </w:r>
      <w:r>
        <w:rPr>
          <w:rFonts w:hint="eastAsia"/>
        </w:rPr>
        <w:t xml:space="preserve">日至</w:t>
      </w:r>
      <w:r>
        <w:t xml:space="preserve"> 4 </w:t>
      </w:r>
      <w:r>
        <w:rPr>
          <w:rFonts w:hint="eastAsia"/>
        </w:rPr>
        <w:t xml:space="preserve">月</w:t>
      </w:r>
      <w:r>
        <w:t xml:space="preserve"> 9 </w:t>
      </w:r>
      <w:r>
        <w:rPr>
          <w:rFonts w:hint="eastAsia"/>
        </w:rPr>
        <w:t xml:space="preserve">日，RMSE</w:t>
      </w:r>
      <w:r>
        <w:t xml:space="preserve"> </w:t>
      </w:r>
      <w:r>
        <w:rPr>
          <w:rFonts w:hint="eastAsia"/>
        </w:rPr>
        <w:t xml:space="preserve">为</w:t>
      </w:r>
      <w:r>
        <w:t xml:space="preserve"> 4.60 </w:t>
      </w:r>
      <w:r>
        <w:rPr>
          <w:rFonts w:hint="eastAsia"/>
        </w:rPr>
        <w:t xml:space="preserve">美元/桶，说明模型的主要残余误差集中在中期平台再定价阶段，而不是平均分布在所有时期。</w:t>
      </w:r>
    </w:p>
    <w:p>
      <w:pPr>
        <w:pStyle w:val="CaptionedFigure"/>
      </w:pPr>
      <w:r>
        <w:drawing>
          <wp:inline>
            <wp:extent cx="4907280" cy="1890211"/>
            <wp:effectExtent b="0" l="0" r="0" t="0"/>
            <wp:docPr descr="" title="" id="84" name="Picture"/>
            <a:graphic>
              <a:graphicData uri="http://schemas.openxmlformats.org/drawingml/2006/picture">
                <pic:pic>
                  <pic:nvPicPr>
                    <pic:cNvPr descr="短期模型时间轴与删块稳健性.png" id="85" name="Picture"/>
                    <pic:cNvPicPr>
                      <a:picLocks noChangeArrowheads="1" noChangeAspect="1"/>
                    </pic:cNvPicPr>
                  </pic:nvPicPr>
                  <pic:blipFill>
                    <a:blip r:embed="rId83"/>
                    <a:stretch>
                      <a:fillRect/>
                    </a:stretch>
                  </pic:blipFill>
                  <pic:spPr bwMode="auto">
                    <a:xfrm>
                      <a:off x="0" y="0"/>
                      <a:ext cx="4907280" cy="1890211"/>
                    </a:xfrm>
                    <a:prstGeom prst="rect">
                      <a:avLst/>
                    </a:prstGeom>
                    <a:noFill/>
                    <a:ln w="9525">
                      <a:noFill/>
                      <a:headEnd/>
                      <a:tailEnd/>
                    </a:ln>
                  </pic:spPr>
                </pic:pic>
              </a:graphicData>
            </a:graphic>
          </wp:inline>
        </w:drawing>
      </w:r>
    </w:p>
    <w:p>
      <w:pPr>
        <w:pStyle w:val="ImageCaption"/>
      </w:pPr>
      <w:r>
        <w:rPr>
          <w:rFonts w:hint="eastAsia"/>
        </w:rPr>
        <w:t xml:space="preserve">短期模型时间轴与删块稳健性复核。左图比较日历日和交易日序号两种时间轴口径；右图展示同参删块后各片段误差。</w:t>
      </w:r>
    </w:p>
    <w:bookmarkEnd w:id="86"/>
    <w:bookmarkStart w:id="93" w:name="统计检验与-r-语言辅助定位"/>
    <w:p>
      <w:pPr>
        <w:pStyle w:val="Heading3"/>
      </w:pPr>
      <w:r>
        <w:rPr>
          <w:rFonts w:hint="eastAsia"/>
        </w:rPr>
        <w:t xml:space="preserve">统计检验与</w:t>
      </w:r>
      <w:r>
        <w:t xml:space="preserve"> R </w:t>
      </w:r>
      <w:r>
        <w:rPr>
          <w:rFonts w:hint="eastAsia"/>
        </w:rPr>
        <w:t xml:space="preserve">语言辅助定位</w:t>
      </w:r>
    </w:p>
    <w:p>
      <w:pPr>
        <w:pStyle w:val="FirstParagraph"/>
      </w:pPr>
      <w:r>
        <w:rPr>
          <w:rFonts w:hint="eastAsia"/>
        </w:rPr>
        <w:t xml:space="preserve">为进一步提高模型检验的严谨性，本文新增统计检验。该检验不改变短期主模型，只在剔除首日后构造可比较样本，将综合机制递推模型与朴素上一日基准进行误差和统计比较。之所以剔除首日，是因为朴素上一日基准需要上一交易日真实价格作为输入，首日没有可比预测值。因此，本节统计检验中的</w:t>
      </w:r>
      <w:r>
        <w:t xml:space="preserve"> RMSE </w:t>
      </w:r>
      <w:r>
        <w:rPr>
          <w:rFonts w:hint="eastAsia"/>
        </w:rPr>
        <w:t xml:space="preserve">与前文全窗口</w:t>
      </w:r>
      <w:r>
        <w:t xml:space="preserve"> RMSE </w:t>
      </w:r>
      <w:r>
        <w:rPr>
          <w:rFonts w:hint="eastAsia"/>
        </w:rPr>
        <w:t xml:space="preserve">略有差异。</w:t>
      </w:r>
    </w:p>
    <w:p>
      <w:pPr>
        <w:pStyle w:val="TableCaption"/>
      </w:pPr>
      <w:r>
        <w:rPr>
          <w:rFonts w:hint="eastAsia"/>
        </w:rPr>
        <w:t xml:space="preserve">短期模型统计检验结果</w:t>
      </w:r>
    </w:p>
    <w:tbl>
      <w:tblPr>
        <w:tblStyle w:val="Table"/>
        <w:tblW w:type="auto" w:w="0"/>
        <w:tblLook w:firstRow="1" w:lastRow="0" w:firstColumn="0" w:lastColumn="0" w:noHBand="0" w:noVBand="0" w:val="0020"/>
        <w:tblCaption w:val="短期模型统计检验结果"/>
      </w:tblPr>
      <w:tblGrid>
        <w:gridCol w:w="1980"/>
        <w:gridCol w:w="1980"/>
        <w:gridCol w:w="1980"/>
        <w:gridCol w:w="1980"/>
      </w:tblGrid>
      <w:tr>
        <w:trPr>
          <w:tblHeader w:val="on"/>
        </w:trPr>
        <w:tc>
          <w:tcPr/>
          <w:p>
            <w:pPr>
              <w:pStyle w:val="Compact"/>
              <w:jc w:val="left"/>
            </w:pPr>
            <w:r>
              <w:rPr>
                <w:rFonts w:hint="eastAsia"/>
              </w:rPr>
              <w:t xml:space="preserve">检验项</w:t>
            </w:r>
          </w:p>
        </w:tc>
        <w:tc>
          <w:tcPr/>
          <w:p>
            <w:pPr>
              <w:pStyle w:val="Compact"/>
              <w:jc w:val="right"/>
            </w:pPr>
            <w:r>
              <w:rPr>
                <w:rFonts w:hint="eastAsia"/>
              </w:rPr>
              <w:t xml:space="preserve">本文模型</w:t>
            </w:r>
          </w:p>
        </w:tc>
        <w:tc>
          <w:tcPr/>
          <w:p>
            <w:pPr>
              <w:pStyle w:val="Compact"/>
              <w:jc w:val="right"/>
            </w:pPr>
            <w:r>
              <w:rPr>
                <w:rFonts w:hint="eastAsia"/>
              </w:rPr>
              <w:t xml:space="preserve">对照或</w:t>
            </w:r>
            <w:r>
              <w:t xml:space="preserve"> p </w:t>
            </w:r>
            <w:r>
              <w:rPr>
                <w:rFonts w:hint="eastAsia"/>
              </w:rPr>
              <w:t xml:space="preserve">值</w:t>
            </w:r>
          </w:p>
        </w:tc>
        <w:tc>
          <w:tcPr/>
          <w:p>
            <w:pPr>
              <w:pStyle w:val="Compact"/>
              <w:jc w:val="left"/>
            </w:pPr>
            <w:r>
              <w:rPr>
                <w:rFonts w:hint="eastAsia"/>
              </w:rPr>
              <w:t xml:space="preserve">解释</w:t>
            </w:r>
          </w:p>
        </w:tc>
      </w:tr>
      <w:tr>
        <w:tc>
          <w:tcPr/>
          <w:p>
            <w:pPr>
              <w:pStyle w:val="Compact"/>
              <w:jc w:val="left"/>
            </w:pPr>
            <w:r>
              <w:t xml:space="preserve">RMSE</w:t>
            </w:r>
          </w:p>
        </w:tc>
        <w:tc>
          <w:tcPr/>
          <w:p>
            <w:pPr>
              <w:pStyle w:val="Compact"/>
              <w:jc w:val="right"/>
            </w:pPr>
            <w:r>
              <w:t xml:space="preserve">3.47</w:t>
            </w:r>
          </w:p>
        </w:tc>
        <w:tc>
          <w:tcPr/>
          <w:p>
            <w:pPr>
              <w:pStyle w:val="Compact"/>
              <w:jc w:val="right"/>
            </w:pPr>
            <w:r>
              <w:t xml:space="preserve">4.52</w:t>
            </w:r>
          </w:p>
        </w:tc>
        <w:tc>
          <w:tcPr/>
          <w:p>
            <w:pPr>
              <w:pStyle w:val="Compact"/>
              <w:jc w:val="left"/>
            </w:pPr>
            <w:r>
              <w:rPr>
                <w:rFonts w:hint="eastAsia"/>
              </w:rPr>
              <w:t xml:space="preserve">对照为朴素上一日基准，改善约</w:t>
            </w:r>
            <w:r>
              <w:t xml:space="preserve"> 23.2%</w:t>
            </w:r>
          </w:p>
        </w:tc>
      </w:tr>
      <w:tr>
        <w:tc>
          <w:tcPr/>
          <w:p>
            <w:pPr>
              <w:pStyle w:val="Compact"/>
              <w:jc w:val="left"/>
            </w:pPr>
            <w:r>
              <w:t xml:space="preserve">MAE</w:t>
            </w:r>
          </w:p>
        </w:tc>
        <w:tc>
          <w:tcPr/>
          <w:p>
            <w:pPr>
              <w:pStyle w:val="Compact"/>
              <w:jc w:val="right"/>
            </w:pPr>
            <w:r>
              <w:t xml:space="preserve">2.88</w:t>
            </w:r>
          </w:p>
        </w:tc>
        <w:tc>
          <w:tcPr/>
          <w:p>
            <w:pPr>
              <w:pStyle w:val="Compact"/>
              <w:jc w:val="right"/>
            </w:pPr>
            <w:r>
              <w:t xml:space="preserve">3.65</w:t>
            </w:r>
          </w:p>
        </w:tc>
        <w:tc>
          <w:tcPr/>
          <w:p>
            <w:pPr>
              <w:pStyle w:val="Compact"/>
              <w:jc w:val="left"/>
            </w:pPr>
            <w:r>
              <w:rPr>
                <w:rFonts w:hint="eastAsia"/>
              </w:rPr>
              <w:t xml:space="preserve">平均绝对误差低于朴素基准</w:t>
            </w:r>
          </w:p>
        </w:tc>
      </w:tr>
      <w:tr>
        <w:tc>
          <w:tcPr/>
          <w:p>
            <w:pPr>
              <w:pStyle w:val="Compact"/>
              <w:jc w:val="left"/>
            </w:pPr>
            <w:r>
              <w:t xml:space="preserve">MAPE</w:t>
            </w:r>
          </w:p>
        </w:tc>
        <w:tc>
          <w:tcPr/>
          <w:p>
            <w:pPr>
              <w:pStyle w:val="Compact"/>
              <w:jc w:val="right"/>
            </w:pPr>
            <w:r>
              <w:t xml:space="preserve">2.87%</w:t>
            </w:r>
          </w:p>
        </w:tc>
        <w:tc>
          <w:tcPr/>
          <w:p>
            <w:pPr>
              <w:pStyle w:val="Compact"/>
              <w:jc w:val="right"/>
            </w:pPr>
            <w:r>
              <w:t xml:space="preserve">3.62%</w:t>
            </w:r>
          </w:p>
        </w:tc>
        <w:tc>
          <w:tcPr/>
          <w:p>
            <w:pPr>
              <w:pStyle w:val="Compact"/>
              <w:jc w:val="left"/>
            </w:pPr>
            <w:r>
              <w:rPr>
                <w:rFonts w:hint="eastAsia"/>
              </w:rPr>
              <w:t xml:space="preserve">相对误差低于朴素基准</w:t>
            </w:r>
          </w:p>
        </w:tc>
      </w:tr>
      <w:tr>
        <w:tc>
          <w:tcPr/>
          <w:p>
            <w:pPr>
              <w:pStyle w:val="Compact"/>
              <w:jc w:val="left"/>
            </w:pPr>
            <w:r>
              <w:t xml:space="preserve">DM </w:t>
            </w:r>
            <w:r>
              <w:rPr>
                <w:rFonts w:hint="eastAsia"/>
              </w:rPr>
              <w:t xml:space="preserve">平方损失检验</w:t>
            </w:r>
          </w:p>
        </w:tc>
        <w:tc>
          <w:tcPr/>
          <w:p>
            <w:pPr>
              <w:pStyle w:val="Compact"/>
              <w:jc w:val="right"/>
            </w:pPr>
            <w:r>
              <w:t xml:space="preserve">-2.06</w:t>
            </w:r>
          </w:p>
        </w:tc>
        <w:tc>
          <w:tcPr/>
          <w:p>
            <w:pPr>
              <w:pStyle w:val="Compact"/>
              <w:jc w:val="right"/>
            </w:pPr>
            <w:r>
              <w:t xml:space="preserve">0.023</w:t>
            </w:r>
          </w:p>
        </w:tc>
        <w:tc>
          <w:tcPr/>
          <w:p>
            <w:pPr>
              <w:pStyle w:val="Compact"/>
              <w:jc w:val="left"/>
            </w:pPr>
            <w:r>
              <w:t xml:space="preserve">R </w:t>
            </w:r>
            <w:r>
              <w:rPr>
                <w:rFonts w:hint="eastAsia"/>
              </w:rPr>
              <w:t xml:space="preserve">独立复核下，单侧检验支持模型优于朴素基准</w:t>
            </w:r>
          </w:p>
        </w:tc>
      </w:tr>
      <w:tr>
        <w:tc>
          <w:tcPr/>
          <w:p>
            <w:pPr>
              <w:pStyle w:val="Compact"/>
              <w:jc w:val="left"/>
            </w:pPr>
            <w:r>
              <w:t xml:space="preserve">DM </w:t>
            </w:r>
            <w:r>
              <w:rPr>
                <w:rFonts w:hint="eastAsia"/>
              </w:rPr>
              <w:t xml:space="preserve">绝对损失检验</w:t>
            </w:r>
          </w:p>
        </w:tc>
        <w:tc>
          <w:tcPr/>
          <w:p>
            <w:pPr>
              <w:pStyle w:val="Compact"/>
              <w:jc w:val="right"/>
            </w:pPr>
            <w:r>
              <w:t xml:space="preserve">-1.68</w:t>
            </w:r>
          </w:p>
        </w:tc>
        <w:tc>
          <w:tcPr/>
          <w:p>
            <w:pPr>
              <w:pStyle w:val="Compact"/>
              <w:jc w:val="right"/>
            </w:pPr>
            <w:r>
              <w:t xml:space="preserve">0.050</w:t>
            </w:r>
          </w:p>
        </w:tc>
        <w:tc>
          <w:tcPr/>
          <w:p>
            <w:pPr>
              <w:pStyle w:val="Compact"/>
              <w:jc w:val="left"/>
            </w:pPr>
            <w:r>
              <w:rPr>
                <w:rFonts w:hint="eastAsia"/>
              </w:rPr>
              <w:t xml:space="preserve">绝对损失优势接近</w:t>
            </w:r>
            <w:r>
              <w:t xml:space="preserve"> 5% </w:t>
            </w:r>
            <w:r>
              <w:rPr>
                <w:rFonts w:hint="eastAsia"/>
              </w:rPr>
              <w:t xml:space="preserve">显著性边界，不作强显著性夸大</w:t>
            </w:r>
          </w:p>
        </w:tc>
      </w:tr>
      <w:tr>
        <w:tc>
          <w:tcPr/>
          <w:p>
            <w:pPr>
              <w:pStyle w:val="Compact"/>
              <w:jc w:val="left"/>
            </w:pPr>
            <w:r>
              <w:rPr>
                <w:rFonts w:hint="eastAsia"/>
              </w:rPr>
              <w:t xml:space="preserve">方向命中率</w:t>
            </w:r>
          </w:p>
        </w:tc>
        <w:tc>
          <w:tcPr/>
          <w:p>
            <w:pPr>
              <w:pStyle w:val="Compact"/>
              <w:jc w:val="right"/>
            </w:pPr>
            <w:r>
              <w:t xml:space="preserve">63.6%</w:t>
            </w:r>
          </w:p>
        </w:tc>
        <w:tc>
          <w:tcPr/>
          <w:p>
            <w:pPr>
              <w:pStyle w:val="Compact"/>
              <w:jc w:val="right"/>
            </w:pPr>
            <w:r>
              <w:t xml:space="preserve">0.048</w:t>
            </w:r>
          </w:p>
        </w:tc>
        <w:tc>
          <w:tcPr/>
          <w:p>
            <w:pPr>
              <w:pStyle w:val="Compact"/>
              <w:jc w:val="left"/>
            </w:pPr>
            <w:r>
              <w:rPr>
                <w:rFonts w:hint="eastAsia"/>
              </w:rPr>
              <w:t xml:space="preserve">相对随机</w:t>
            </w:r>
            <w:r>
              <w:t xml:space="preserve"> 50% </w:t>
            </w:r>
            <w:r>
              <w:rPr>
                <w:rFonts w:hint="eastAsia"/>
              </w:rPr>
              <w:t xml:space="preserve">的单侧二项检验</w:t>
            </w:r>
          </w:p>
        </w:tc>
      </w:tr>
      <w:tr>
        <w:tc>
          <w:tcPr/>
          <w:p>
            <w:pPr>
              <w:pStyle w:val="Compact"/>
              <w:jc w:val="left"/>
            </w:pPr>
            <w:r>
              <w:t xml:space="preserve">Ljung–Box lag10</w:t>
            </w:r>
          </w:p>
        </w:tc>
        <w:tc>
          <w:tcPr/>
          <w:p>
            <w:pPr>
              <w:pStyle w:val="Compact"/>
              <w:jc w:val="right"/>
            </w:pPr>
            <w:r>
              <w:t xml:space="preserve">10.92</w:t>
            </w:r>
          </w:p>
        </w:tc>
        <w:tc>
          <w:tcPr/>
          <w:p>
            <w:pPr>
              <w:pStyle w:val="Compact"/>
              <w:jc w:val="right"/>
            </w:pPr>
            <w:r>
              <w:t xml:space="preserve">0.364</w:t>
            </w:r>
          </w:p>
        </w:tc>
        <w:tc>
          <w:tcPr/>
          <w:p>
            <w:pPr>
              <w:pStyle w:val="Compact"/>
              <w:jc w:val="left"/>
            </w:pPr>
            <w:r>
              <w:rPr>
                <w:rFonts w:hint="eastAsia"/>
              </w:rPr>
              <w:t xml:space="preserve">未发现显著线性残差自相关</w:t>
            </w:r>
          </w:p>
        </w:tc>
      </w:tr>
      <w:tr>
        <w:tc>
          <w:tcPr/>
          <w:p>
            <w:pPr>
              <w:pStyle w:val="Compact"/>
              <w:jc w:val="left"/>
            </w:pPr>
            <w:r>
              <w:t xml:space="preserve">ARCH–LM lag5</w:t>
            </w:r>
          </w:p>
        </w:tc>
        <w:tc>
          <w:tcPr/>
          <w:p>
            <w:pPr>
              <w:pStyle w:val="Compact"/>
              <w:jc w:val="right"/>
            </w:pPr>
            <w:r>
              <w:t xml:space="preserve">5.22</w:t>
            </w:r>
          </w:p>
        </w:tc>
        <w:tc>
          <w:tcPr/>
          <w:p>
            <w:pPr>
              <w:pStyle w:val="Compact"/>
              <w:jc w:val="right"/>
            </w:pPr>
            <w:r>
              <w:t xml:space="preserve">0.389</w:t>
            </w:r>
          </w:p>
        </w:tc>
        <w:tc>
          <w:tcPr/>
          <w:p>
            <w:pPr>
              <w:pStyle w:val="Compact"/>
              <w:jc w:val="left"/>
            </w:pPr>
            <w:r>
              <w:rPr>
                <w:rFonts w:hint="eastAsia"/>
              </w:rPr>
              <w:t xml:space="preserve">未发现强条件异方差证据</w:t>
            </w:r>
          </w:p>
        </w:tc>
      </w:tr>
      <w:tr>
        <w:tc>
          <w:tcPr/>
          <w:p>
            <w:pPr>
              <w:pStyle w:val="Compact"/>
              <w:jc w:val="left"/>
            </w:pPr>
            <w:r>
              <w:t xml:space="preserve">Newey–West </w:t>
            </w:r>
            <w:r>
              <w:rPr>
                <w:rFonts w:hint="eastAsia"/>
              </w:rPr>
              <w:t xml:space="preserve">校准诊断</w:t>
            </w:r>
          </w:p>
        </w:tc>
        <w:tc>
          <w:tcPr/>
          <w:p>
            <w:pPr>
              <w:pStyle w:val="Compact"/>
              <w:jc w:val="right"/>
            </w:pPr>
            <w:r>
              <w:t xml:space="preserve">1.046</w:t>
            </w:r>
          </w:p>
        </w:tc>
        <w:tc>
          <w:tcPr/>
          <w:p>
            <w:pPr>
              <w:pStyle w:val="Compact"/>
              <w:jc w:val="right"/>
            </w:pPr>
            <m:oMath>
              <m:r>
                <m:rPr>
                  <m:sty m:val="p"/>
                </m:rPr>
                <m:t>&lt;</m:t>
              </m:r>
              <m:r>
                <m:t>0.001</m:t>
              </m:r>
            </m:oMath>
          </w:p>
        </w:tc>
        <w:tc>
          <w:tcPr/>
          <w:p>
            <w:pPr>
              <w:pStyle w:val="Compact"/>
              <w:jc w:val="left"/>
            </w:pPr>
            <w:r>
              <w:rPr>
                <w:rFonts w:hint="eastAsia"/>
              </w:rPr>
              <w:t xml:space="preserve">仅作拟合值与真实价格的刻画性校准诊断，不作为独立因果或样本外证明</w:t>
            </w:r>
          </w:p>
        </w:tc>
      </w:tr>
    </w:tbl>
    <w:p>
      <w:pPr>
        <w:pStyle w:val="CaptionedFigure"/>
      </w:pPr>
      <w:r>
        <w:drawing>
          <wp:inline>
            <wp:extent cx="4907280" cy="2826593"/>
            <wp:effectExtent b="0" l="0" r="0" t="0"/>
            <wp:docPr descr="" title="" id="88" name="Picture"/>
            <a:graphic>
              <a:graphicData uri="http://schemas.openxmlformats.org/drawingml/2006/picture">
                <pic:pic>
                  <pic:nvPicPr>
                    <pic:cNvPr descr="短期模型统计审计.png" id="89" name="Picture"/>
                    <pic:cNvPicPr>
                      <a:picLocks noChangeArrowheads="1" noChangeAspect="1"/>
                    </pic:cNvPicPr>
                  </pic:nvPicPr>
                  <pic:blipFill>
                    <a:blip r:embed="rId87"/>
                    <a:stretch>
                      <a:fillRect/>
                    </a:stretch>
                  </pic:blipFill>
                  <pic:spPr bwMode="auto">
                    <a:xfrm>
                      <a:off x="0" y="0"/>
                      <a:ext cx="4907280" cy="2826593"/>
                    </a:xfrm>
                    <a:prstGeom prst="rect">
                      <a:avLst/>
                    </a:prstGeom>
                    <a:noFill/>
                    <a:ln w="9525">
                      <a:noFill/>
                      <a:headEnd/>
                      <a:tailEnd/>
                    </a:ln>
                  </pic:spPr>
                </pic:pic>
              </a:graphicData>
            </a:graphic>
          </wp:inline>
        </w:drawing>
      </w:r>
    </w:p>
    <w:p>
      <w:pPr>
        <w:pStyle w:val="ImageCaption"/>
      </w:pPr>
      <w:r>
        <w:rPr>
          <w:rFonts w:hint="eastAsia"/>
        </w:rPr>
        <w:t xml:space="preserve">短期模型统计检验。图中展示残差序列、残差自相关、残差分布和相对朴素基准的平方损失差。</w:t>
      </w:r>
    </w:p>
    <w:p>
      <w:pPr>
        <w:pStyle w:val="BodyText"/>
      </w:pPr>
      <w:r>
        <w:rPr>
          <w:rFonts w:hint="eastAsia"/>
        </w:rPr>
        <w:t xml:space="preserve">分段统计也给出一个更细的判断：前段冲击吸收和后段预期修复阶段，本文模型相对朴素基准的</w:t>
      </w:r>
      <w:r>
        <w:t xml:space="preserve"> RMSE </w:t>
      </w:r>
      <w:r>
        <w:rPr>
          <w:rFonts w:hint="eastAsia"/>
        </w:rPr>
        <w:t xml:space="preserve">改善率分别约为</w:t>
      </w:r>
      <w:r>
        <w:t xml:space="preserve"> 33.4% </w:t>
      </w:r>
      <w:r>
        <w:rPr>
          <w:rFonts w:hint="eastAsia"/>
        </w:rPr>
        <w:t xml:space="preserve">和</w:t>
      </w:r>
      <w:r>
        <w:t xml:space="preserve"> </w:t>
      </w:r>
      <w:r>
        <w:rPr>
          <w:rFonts w:hint="eastAsia"/>
        </w:rPr>
        <w:t xml:space="preserve">34.1%；中段平台维持阶段改善率约为</w:t>
      </w:r>
      <w:r>
        <w:t xml:space="preserve"> </w:t>
      </w:r>
      <w:r>
        <w:rPr>
          <w:rFonts w:hint="eastAsia"/>
        </w:rPr>
        <w:t xml:space="preserve">3.9%，说明平台震荡期仍是后续优化重点。总体看，DM</w:t>
      </w:r>
      <w:r>
        <w:t xml:space="preserve"> </w:t>
      </w:r>
      <w:r>
        <w:rPr>
          <w:rFonts w:hint="eastAsia"/>
        </w:rPr>
        <w:t xml:space="preserve">检验和方向命中检验提供了支持性统计证据，但样本只有</w:t>
      </w:r>
      <w:r>
        <w:t xml:space="preserve"> 45 </w:t>
      </w:r>
      <w:r>
        <w:rPr>
          <w:rFonts w:hint="eastAsia"/>
        </w:rPr>
        <w:t xml:space="preserve">个可比较交易日，绝对损失</w:t>
      </w:r>
      <w:r>
        <w:t xml:space="preserve"> DM </w:t>
      </w:r>
      <w:r>
        <w:rPr>
          <w:rFonts w:hint="eastAsia"/>
        </w:rPr>
        <w:t xml:space="preserve">检验也接近显著性边界，因此本文不把它写成压倒性证明，而是作为基准对比、滞后检验和机制消融之外的补充验证。Newey–West</w:t>
      </w:r>
      <w:r>
        <w:t xml:space="preserve"> </w:t>
      </w:r>
      <w:r>
        <w:rPr>
          <w:rFonts w:hint="eastAsia"/>
        </w:rPr>
        <w:t xml:space="preserve">回归仅用于刻画拟合路径与真实价格的线性一致性，不被用作独立样本外预测能力或因果识别证明。</w:t>
      </w:r>
    </w:p>
    <w:p>
      <w:pPr>
        <w:pStyle w:val="BodyText"/>
      </w:pPr>
      <w:r>
        <w:t xml:space="preserve">R </w:t>
      </w:r>
      <w:r>
        <w:rPr>
          <w:rFonts w:hint="eastAsia"/>
        </w:rPr>
        <w:t xml:space="preserve">语言用于独立复核</w:t>
      </w:r>
      <w:r>
        <w:t xml:space="preserve"> </w:t>
      </w:r>
      <w:r>
        <w:rPr>
          <w:rFonts w:hint="eastAsia"/>
        </w:rPr>
        <w:t xml:space="preserve">DM、方向命中、Ljung–Box、ADF、ARCH/GARCH</w:t>
      </w:r>
      <w:r>
        <w:t xml:space="preserve"> </w:t>
      </w:r>
      <w:r>
        <w:rPr>
          <w:rFonts w:hint="eastAsia"/>
        </w:rPr>
        <w:t xml:space="preserve">和</w:t>
      </w:r>
      <w:r>
        <w:t xml:space="preserve"> Newey–West </w:t>
      </w:r>
      <w:r>
        <w:rPr>
          <w:rFonts w:hint="eastAsia"/>
        </w:rPr>
        <w:t xml:space="preserve">稳健校准回归等计量检验。R</w:t>
      </w:r>
      <w:r>
        <w:t xml:space="preserve"> </w:t>
      </w:r>
      <w:r>
        <w:rPr>
          <w:rFonts w:hint="eastAsia"/>
        </w:rPr>
        <w:t xml:space="preserve">复核显示，价格水平和对数价格不能拒绝单位根假设，而对数收益率可拒绝单位根假设；GARCH(1,1)</w:t>
      </w:r>
      <w:r>
        <w:t xml:space="preserve"> </w:t>
      </w:r>
      <w:r>
        <w:rPr>
          <w:rFonts w:hint="eastAsia"/>
        </w:rPr>
        <w:t xml:space="preserve">在短样本下提示波动持续性，但不替代机制递推主模型。除计量检验外，本文还使用</w:t>
      </w:r>
      <w:r>
        <w:t xml:space="preserve"> R </w:t>
      </w:r>
      <w:r>
        <w:rPr>
          <w:rFonts w:hint="eastAsia"/>
        </w:rPr>
        <w:t xml:space="preserve">的</w:t>
      </w:r>
      <w:r>
        <w:t xml:space="preserve"> ggplot2 </w:t>
      </w:r>
      <w:r>
        <w:rPr>
          <w:rFonts w:hint="eastAsia"/>
        </w:rPr>
        <w:t xml:space="preserve">对关键证据图进行学术化重绘。</w:t>
      </w:r>
    </w:p>
    <w:p>
      <w:pPr>
        <w:pStyle w:val="CaptionedFigure"/>
      </w:pPr>
      <w:r>
        <w:drawing>
          <wp:inline>
            <wp:extent cx="4907280" cy="2892712"/>
            <wp:effectExtent b="0" l="0" r="0" t="0"/>
            <wp:docPr descr="" title="" id="91" name="Picture"/>
            <a:graphic>
              <a:graphicData uri="http://schemas.openxmlformats.org/drawingml/2006/picture">
                <pic:pic>
                  <pic:nvPicPr>
                    <pic:cNvPr descr="R短期误差学术诊断.png" id="92" name="Picture"/>
                    <pic:cNvPicPr>
                      <a:picLocks noChangeArrowheads="1" noChangeAspect="1"/>
                    </pic:cNvPicPr>
                  </pic:nvPicPr>
                  <pic:blipFill>
                    <a:blip r:embed="rId90"/>
                    <a:stretch>
                      <a:fillRect/>
                    </a:stretch>
                  </pic:blipFill>
                  <pic:spPr bwMode="auto">
                    <a:xfrm>
                      <a:off x="0" y="0"/>
                      <a:ext cx="4907280" cy="289271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短期误差学术诊断。柱形表示每日残差，黑线为</w:t>
      </w:r>
      <w:r>
        <w:t xml:space="preserve"> LOESS </w:t>
      </w:r>
      <w:r>
        <w:rPr>
          <w:rFonts w:hint="eastAsia"/>
        </w:rPr>
        <w:t xml:space="preserve">平滑趋势，用于观察模型是否存在持续系统偏差。</w:t>
      </w:r>
    </w:p>
    <w:bookmarkEnd w:id="93"/>
    <w:bookmarkEnd w:id="94"/>
    <w:bookmarkStart w:id="112" w:name="机制消融事件边界与机器学习辅助"/>
    <w:p>
      <w:pPr>
        <w:pStyle w:val="Heading2"/>
      </w:pPr>
      <w:r>
        <w:rPr>
          <w:rFonts w:hint="eastAsia"/>
        </w:rPr>
        <w:t xml:space="preserve">机制消融、事件边界与机器学习辅助</w:t>
      </w:r>
    </w:p>
    <w:bookmarkStart w:id="95" w:name="机制消融的定量证据"/>
    <w:p>
      <w:pPr>
        <w:pStyle w:val="Heading3"/>
      </w:pPr>
      <w:r>
        <w:rPr>
          <w:rFonts w:hint="eastAsia"/>
        </w:rPr>
        <w:t xml:space="preserve">机制消融的定量证据</w:t>
      </w:r>
    </w:p>
    <w:p>
      <w:pPr>
        <w:pStyle w:val="FirstParagraph"/>
      </w:pPr>
      <w:r>
        <w:rPr>
          <w:rFonts w:hint="eastAsia"/>
        </w:rPr>
        <w:t xml:space="preserve">为了进一步回答</w:t>
      </w:r>
      <w:r>
        <w:rPr>
          <w:rFonts w:hint="eastAsia"/>
        </w:rPr>
        <w:t xml:space="preserve">“扩展机制是不是为了拟合曲线而硬加的补丁”</w:t>
      </w:r>
      <w:r>
        <w:rPr>
          <w:rFonts w:hint="eastAsia"/>
        </w:rPr>
        <w:t xml:space="preserve">，本文对完整模型进行逐项消融：关闭某一机制时，其他参数保持不变，不重新校准。这样做的含义是检验单个机制在同一参数体系下的边际贡献，而不是重新给每个缺失机制模型寻找最优参数。</w:t>
      </w:r>
    </w:p>
    <w:p>
      <w:pPr>
        <w:pStyle w:val="TableCaption"/>
      </w:pPr>
      <w:r>
        <w:rPr>
          <w:rFonts w:hint="eastAsia"/>
        </w:rPr>
        <w:t xml:space="preserve">短期模型机制消融实验</w:t>
      </w:r>
    </w:p>
    <w:tbl>
      <w:tblPr>
        <w:tblStyle w:val="Table"/>
        <w:tblW w:type="auto" w:w="0"/>
        <w:tblLook w:firstRow="1" w:lastRow="0" w:firstColumn="0" w:lastColumn="0" w:noHBand="0" w:noVBand="0" w:val="0020"/>
        <w:tblCaption w:val="短期模型机制消融实验"/>
      </w:tblPr>
      <w:tblGrid>
        <w:gridCol w:w="1584"/>
        <w:gridCol w:w="1584"/>
        <w:gridCol w:w="1584"/>
        <w:gridCol w:w="1584"/>
        <w:gridCol w:w="1584"/>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right"/>
            </w:pPr>
            <w:r>
              <w:rPr>
                <w:rFonts w:hint="eastAsia"/>
              </w:rPr>
              <w:t xml:space="preserve">后期RMSE</w:t>
            </w:r>
          </w:p>
        </w:tc>
        <w:tc>
          <w:tcPr/>
          <w:p>
            <w:pPr>
              <w:pStyle w:val="Compact"/>
              <w:jc w:val="right"/>
            </w:pPr>
            <w:r>
              <w:rPr>
                <w:rFonts w:hint="eastAsia"/>
              </w:rPr>
              <w:t xml:space="preserve">低价回落RMSE</w:t>
            </w:r>
          </w:p>
        </w:tc>
      </w:tr>
      <w:tr>
        <w:tc>
          <w:tcPr/>
          <w:p>
            <w:pPr>
              <w:pStyle w:val="Compact"/>
              <w:jc w:val="left"/>
            </w:pPr>
            <w:r>
              <w:rPr>
                <w:rFonts w:hint="eastAsia"/>
              </w:rPr>
              <w:t xml:space="preserve">完整模型</w:t>
            </w:r>
          </w:p>
        </w:tc>
        <w:tc>
          <w:tcPr/>
          <w:p>
            <w:pPr>
              <w:pStyle w:val="Compact"/>
              <w:jc w:val="right"/>
            </w:pPr>
            <w:r>
              <w:t xml:space="preserve">3.44</w:t>
            </w:r>
          </w:p>
        </w:tc>
        <w:tc>
          <w:tcPr/>
          <w:p>
            <w:pPr>
              <w:pStyle w:val="Compact"/>
              <w:jc w:val="right"/>
            </w:pPr>
            <w:r>
              <w:t xml:space="preserve">0.00</w:t>
            </w:r>
          </w:p>
        </w:tc>
        <w:tc>
          <w:tcPr/>
          <w:p>
            <w:pPr>
              <w:pStyle w:val="Compact"/>
              <w:jc w:val="right"/>
            </w:pPr>
            <w:r>
              <w:t xml:space="preserve">2.81</w:t>
            </w:r>
          </w:p>
        </w:tc>
        <w:tc>
          <w:tcPr/>
          <w:p>
            <w:pPr>
              <w:pStyle w:val="Compact"/>
              <w:jc w:val="right"/>
            </w:pPr>
            <w:r>
              <w:t xml:space="preserve">3.38</w:t>
            </w:r>
          </w:p>
        </w:tc>
      </w:tr>
      <w:tr>
        <w:tc>
          <w:tcPr/>
          <w:p>
            <w:pPr>
              <w:pStyle w:val="Compact"/>
              <w:jc w:val="left"/>
            </w:pPr>
            <w:r>
              <w:rPr>
                <w:rFonts w:hint="eastAsia"/>
              </w:rPr>
              <w:t xml:space="preserve">无</w:t>
            </w:r>
            <w:r>
              <w:t xml:space="preserve"> SPR</w:t>
            </w:r>
          </w:p>
        </w:tc>
        <w:tc>
          <w:tcPr/>
          <w:p>
            <w:pPr>
              <w:pStyle w:val="Compact"/>
              <w:jc w:val="right"/>
            </w:pPr>
            <w:r>
              <w:t xml:space="preserve">5.86</w:t>
            </w:r>
          </w:p>
        </w:tc>
        <w:tc>
          <w:tcPr/>
          <w:p>
            <w:pPr>
              <w:pStyle w:val="Compact"/>
              <w:jc w:val="right"/>
            </w:pPr>
            <w:r>
              <w:t xml:space="preserve">+2.42</w:t>
            </w:r>
          </w:p>
        </w:tc>
        <w:tc>
          <w:tcPr/>
          <w:p>
            <w:pPr>
              <w:pStyle w:val="Compact"/>
              <w:jc w:val="right"/>
            </w:pPr>
            <w:r>
              <w:t xml:space="preserve">5.84</w:t>
            </w:r>
          </w:p>
        </w:tc>
        <w:tc>
          <w:tcPr/>
          <w:p>
            <w:pPr>
              <w:pStyle w:val="Compact"/>
              <w:jc w:val="right"/>
            </w:pPr>
            <w:r>
              <w:t xml:space="preserve">6.46</w:t>
            </w:r>
          </w:p>
        </w:tc>
      </w:tr>
      <w:tr>
        <w:tc>
          <w:tcPr/>
          <w:p>
            <w:pPr>
              <w:pStyle w:val="Compact"/>
              <w:jc w:val="left"/>
            </w:pPr>
            <w:r>
              <w:rPr>
                <w:rFonts w:hint="eastAsia"/>
              </w:rPr>
              <w:t xml:space="preserve">无库存</w:t>
            </w:r>
          </w:p>
        </w:tc>
        <w:tc>
          <w:tcPr/>
          <w:p>
            <w:pPr>
              <w:pStyle w:val="Compact"/>
              <w:jc w:val="right"/>
            </w:pPr>
            <w:r>
              <w:t xml:space="preserve">3.47</w:t>
            </w:r>
          </w:p>
        </w:tc>
        <w:tc>
          <w:tcPr/>
          <w:p>
            <w:pPr>
              <w:pStyle w:val="Compact"/>
              <w:jc w:val="right"/>
            </w:pPr>
            <w:r>
              <w:t xml:space="preserve">+0.03</w:t>
            </w:r>
          </w:p>
        </w:tc>
        <w:tc>
          <w:tcPr/>
          <w:p>
            <w:pPr>
              <w:pStyle w:val="Compact"/>
              <w:jc w:val="right"/>
            </w:pPr>
            <w:r>
              <w:t xml:space="preserve">2.75</w:t>
            </w:r>
          </w:p>
        </w:tc>
        <w:tc>
          <w:tcPr/>
          <w:p>
            <w:pPr>
              <w:pStyle w:val="Compact"/>
              <w:jc w:val="right"/>
            </w:pPr>
            <w:r>
              <w:t xml:space="preserve">3.55</w:t>
            </w:r>
          </w:p>
        </w:tc>
      </w:tr>
      <w:tr>
        <w:tc>
          <w:tcPr/>
          <w:p>
            <w:pPr>
              <w:pStyle w:val="Compact"/>
              <w:jc w:val="left"/>
            </w:pPr>
            <w:r>
              <w:rPr>
                <w:rFonts w:hint="eastAsia"/>
              </w:rPr>
              <w:t xml:space="preserve">无绕道</w:t>
            </w:r>
          </w:p>
        </w:tc>
        <w:tc>
          <w:tcPr/>
          <w:p>
            <w:pPr>
              <w:pStyle w:val="Compact"/>
              <w:jc w:val="right"/>
            </w:pPr>
            <w:r>
              <w:t xml:space="preserve">3.46</w:t>
            </w:r>
          </w:p>
        </w:tc>
        <w:tc>
          <w:tcPr/>
          <w:p>
            <w:pPr>
              <w:pStyle w:val="Compact"/>
              <w:jc w:val="right"/>
            </w:pPr>
            <w:r>
              <w:t xml:space="preserve">+0.02</w:t>
            </w:r>
          </w:p>
        </w:tc>
        <w:tc>
          <w:tcPr/>
          <w:p>
            <w:pPr>
              <w:pStyle w:val="Compact"/>
              <w:jc w:val="right"/>
            </w:pPr>
            <w:r>
              <w:t xml:space="preserve">2.75</w:t>
            </w:r>
          </w:p>
        </w:tc>
        <w:tc>
          <w:tcPr/>
          <w:p>
            <w:pPr>
              <w:pStyle w:val="Compact"/>
              <w:jc w:val="right"/>
            </w:pPr>
            <w:r>
              <w:t xml:space="preserve">3.47</w:t>
            </w:r>
          </w:p>
        </w:tc>
      </w:tr>
      <w:tr>
        <w:tc>
          <w:tcPr/>
          <w:p>
            <w:pPr>
              <w:pStyle w:val="Compact"/>
              <w:jc w:val="left"/>
            </w:pPr>
            <w:r>
              <w:rPr>
                <w:rFonts w:hint="eastAsia"/>
              </w:rPr>
              <w:t xml:space="preserve">无需求收缩</w:t>
            </w:r>
          </w:p>
        </w:tc>
        <w:tc>
          <w:tcPr/>
          <w:p>
            <w:pPr>
              <w:pStyle w:val="Compact"/>
              <w:jc w:val="right"/>
            </w:pPr>
            <w:r>
              <w:t xml:space="preserve">4.64</w:t>
            </w:r>
          </w:p>
        </w:tc>
        <w:tc>
          <w:tcPr/>
          <w:p>
            <w:pPr>
              <w:pStyle w:val="Compact"/>
              <w:jc w:val="right"/>
            </w:pPr>
            <w:r>
              <w:t xml:space="preserve">+1.20</w:t>
            </w:r>
          </w:p>
        </w:tc>
        <w:tc>
          <w:tcPr/>
          <w:p>
            <w:pPr>
              <w:pStyle w:val="Compact"/>
              <w:jc w:val="right"/>
            </w:pPr>
            <w:r>
              <w:t xml:space="preserve">2.69</w:t>
            </w:r>
          </w:p>
        </w:tc>
        <w:tc>
          <w:tcPr/>
          <w:p>
            <w:pPr>
              <w:pStyle w:val="Compact"/>
              <w:jc w:val="right"/>
            </w:pPr>
            <w:r>
              <w:t xml:space="preserve">5.16</w:t>
            </w:r>
          </w:p>
        </w:tc>
      </w:tr>
      <w:tr>
        <w:tc>
          <w:tcPr/>
          <w:p>
            <w:pPr>
              <w:pStyle w:val="Compact"/>
              <w:jc w:val="left"/>
            </w:pPr>
            <w:r>
              <w:rPr>
                <w:rFonts w:hint="eastAsia"/>
              </w:rPr>
              <w:t xml:space="preserve">无恐慌溢价</w:t>
            </w:r>
          </w:p>
        </w:tc>
        <w:tc>
          <w:tcPr/>
          <w:p>
            <w:pPr>
              <w:pStyle w:val="Compact"/>
              <w:jc w:val="right"/>
            </w:pPr>
            <w:r>
              <w:t xml:space="preserve">3.62</w:t>
            </w:r>
          </w:p>
        </w:tc>
        <w:tc>
          <w:tcPr/>
          <w:p>
            <w:pPr>
              <w:pStyle w:val="Compact"/>
              <w:jc w:val="right"/>
            </w:pPr>
            <w:r>
              <w:t xml:space="preserve">+0.18</w:t>
            </w:r>
          </w:p>
        </w:tc>
        <w:tc>
          <w:tcPr/>
          <w:p>
            <w:pPr>
              <w:pStyle w:val="Compact"/>
              <w:jc w:val="right"/>
            </w:pPr>
            <w:r>
              <w:t xml:space="preserve">2.79</w:t>
            </w:r>
          </w:p>
        </w:tc>
        <w:tc>
          <w:tcPr/>
          <w:p>
            <w:pPr>
              <w:pStyle w:val="Compact"/>
              <w:jc w:val="right"/>
            </w:pPr>
            <w:r>
              <w:t xml:space="preserve">3.43</w:t>
            </w:r>
          </w:p>
        </w:tc>
      </w:tr>
      <w:tr>
        <w:tc>
          <w:tcPr/>
          <w:p>
            <w:pPr>
              <w:pStyle w:val="Compact"/>
              <w:jc w:val="left"/>
            </w:pPr>
            <w:r>
              <w:rPr>
                <w:rFonts w:hint="eastAsia"/>
              </w:rPr>
              <w:t xml:space="preserve">无风险溢价</w:t>
            </w:r>
          </w:p>
        </w:tc>
        <w:tc>
          <w:tcPr/>
          <w:p>
            <w:pPr>
              <w:pStyle w:val="Compact"/>
              <w:jc w:val="right"/>
            </w:pPr>
            <w:r>
              <w:t xml:space="preserve">30.69</w:t>
            </w:r>
          </w:p>
        </w:tc>
        <w:tc>
          <w:tcPr/>
          <w:p>
            <w:pPr>
              <w:pStyle w:val="Compact"/>
              <w:jc w:val="right"/>
            </w:pPr>
            <w:r>
              <w:t xml:space="preserve">+27.25</w:t>
            </w:r>
          </w:p>
        </w:tc>
        <w:tc>
          <w:tcPr/>
          <w:p>
            <w:pPr>
              <w:pStyle w:val="Compact"/>
              <w:jc w:val="right"/>
            </w:pPr>
            <w:r>
              <w:t xml:space="preserve">36.02</w:t>
            </w:r>
          </w:p>
        </w:tc>
        <w:tc>
          <w:tcPr/>
          <w:p>
            <w:pPr>
              <w:pStyle w:val="Compact"/>
              <w:jc w:val="right"/>
            </w:pPr>
            <w:r>
              <w:t xml:space="preserve">25.71</w:t>
            </w:r>
          </w:p>
        </w:tc>
      </w:tr>
      <w:tr>
        <w:tc>
          <w:tcPr/>
          <w:p>
            <w:pPr>
              <w:pStyle w:val="Compact"/>
              <w:jc w:val="left"/>
            </w:pPr>
            <w:r>
              <w:rPr>
                <w:rFonts w:hint="eastAsia"/>
              </w:rPr>
              <w:t xml:space="preserve">无缓冲折价</w:t>
            </w:r>
          </w:p>
        </w:tc>
        <w:tc>
          <w:tcPr/>
          <w:p>
            <w:pPr>
              <w:pStyle w:val="Compact"/>
              <w:jc w:val="right"/>
            </w:pPr>
            <w:r>
              <w:t xml:space="preserve">5.07</w:t>
            </w:r>
          </w:p>
        </w:tc>
        <w:tc>
          <w:tcPr/>
          <w:p>
            <w:pPr>
              <w:pStyle w:val="Compact"/>
              <w:jc w:val="right"/>
            </w:pPr>
            <w:r>
              <w:t xml:space="preserve">+1.63</w:t>
            </w:r>
          </w:p>
        </w:tc>
        <w:tc>
          <w:tcPr/>
          <w:p>
            <w:pPr>
              <w:pStyle w:val="Compact"/>
              <w:jc w:val="right"/>
            </w:pPr>
            <w:r>
              <w:t xml:space="preserve">4.33</w:t>
            </w:r>
          </w:p>
        </w:tc>
        <w:tc>
          <w:tcPr/>
          <w:p>
            <w:pPr>
              <w:pStyle w:val="Compact"/>
              <w:jc w:val="right"/>
            </w:pPr>
            <w:r>
              <w:t xml:space="preserve">6.18</w:t>
            </w:r>
          </w:p>
        </w:tc>
      </w:tr>
      <w:tr>
        <w:tc>
          <w:tcPr/>
          <w:p>
            <w:pPr>
              <w:pStyle w:val="Compact"/>
              <w:jc w:val="left"/>
            </w:pPr>
            <w:r>
              <w:rPr>
                <w:rFonts w:hint="eastAsia"/>
              </w:rPr>
              <w:t xml:space="preserve">无修复折价</w:t>
            </w:r>
          </w:p>
        </w:tc>
        <w:tc>
          <w:tcPr/>
          <w:p>
            <w:pPr>
              <w:pStyle w:val="Compact"/>
              <w:jc w:val="right"/>
            </w:pPr>
            <w:r>
              <w:t xml:space="preserve">7.31</w:t>
            </w:r>
          </w:p>
        </w:tc>
        <w:tc>
          <w:tcPr/>
          <w:p>
            <w:pPr>
              <w:pStyle w:val="Compact"/>
              <w:jc w:val="right"/>
            </w:pPr>
            <w:r>
              <w:t xml:space="preserve">+3.87</w:t>
            </w:r>
          </w:p>
        </w:tc>
        <w:tc>
          <w:tcPr/>
          <w:p>
            <w:pPr>
              <w:pStyle w:val="Compact"/>
              <w:jc w:val="right"/>
            </w:pPr>
            <w:r>
              <w:t xml:space="preserve">10.09</w:t>
            </w:r>
          </w:p>
        </w:tc>
        <w:tc>
          <w:tcPr/>
          <w:p>
            <w:pPr>
              <w:pStyle w:val="Compact"/>
              <w:jc w:val="right"/>
            </w:pPr>
            <w:r>
              <w:t xml:space="preserve">9.77</w:t>
            </w:r>
          </w:p>
        </w:tc>
      </w:tr>
      <w:tr>
        <w:tc>
          <w:tcPr/>
          <w:p>
            <w:pPr>
              <w:pStyle w:val="Compact"/>
              <w:jc w:val="left"/>
            </w:pPr>
            <w:r>
              <w:rPr>
                <w:rFonts w:hint="eastAsia"/>
              </w:rPr>
              <w:t xml:space="preserve">无市场修正</w:t>
            </w:r>
          </w:p>
        </w:tc>
        <w:tc>
          <w:tcPr/>
          <w:p>
            <w:pPr>
              <w:pStyle w:val="Compact"/>
              <w:jc w:val="right"/>
            </w:pPr>
            <w:r>
              <w:t xml:space="preserve">26.99</w:t>
            </w:r>
          </w:p>
        </w:tc>
        <w:tc>
          <w:tcPr/>
          <w:p>
            <w:pPr>
              <w:pStyle w:val="Compact"/>
              <w:jc w:val="right"/>
            </w:pPr>
            <w:r>
              <w:t xml:space="preserve">+23.55</w:t>
            </w:r>
          </w:p>
        </w:tc>
        <w:tc>
          <w:tcPr/>
          <w:p>
            <w:pPr>
              <w:pStyle w:val="Compact"/>
              <w:jc w:val="right"/>
            </w:pPr>
            <w:r>
              <w:t xml:space="preserve">29.33</w:t>
            </w:r>
          </w:p>
        </w:tc>
        <w:tc>
          <w:tcPr/>
          <w:p>
            <w:pPr>
              <w:pStyle w:val="Compact"/>
              <w:jc w:val="right"/>
            </w:pPr>
            <w:r>
              <w:t xml:space="preserve">18.90</w:t>
            </w:r>
          </w:p>
        </w:tc>
      </w:tr>
    </w:tbl>
    <w:p>
      <w:pPr>
        <w:pStyle w:val="BodyText"/>
      </w:pPr>
      <w:r>
        <w:rPr>
          <w:rFonts w:hint="eastAsia"/>
        </w:rPr>
        <w:t xml:space="preserve">消融结果可以分成两层理解。第一层是题面物理层：SPR</w:t>
      </w:r>
      <w:r>
        <w:t xml:space="preserve"> </w:t>
      </w:r>
      <w:r>
        <w:rPr>
          <w:rFonts w:hint="eastAsia"/>
        </w:rPr>
        <w:t xml:space="preserve">释放和需求收缩的影响最清楚，去除</w:t>
      </w:r>
      <w:r>
        <w:t xml:space="preserve"> SPR </w:t>
      </w:r>
      <w:r>
        <w:rPr>
          <w:rFonts w:hint="eastAsia"/>
        </w:rPr>
        <w:t xml:space="preserve">后</w:t>
      </w:r>
      <w:r>
        <w:t xml:space="preserve"> RMSE </w:t>
      </w:r>
      <w:r>
        <w:rPr>
          <w:rFonts w:hint="eastAsia"/>
        </w:rPr>
        <w:t xml:space="preserve">从</w:t>
      </w:r>
      <w:r>
        <w:t xml:space="preserve"> 3.44 </w:t>
      </w:r>
      <w:r>
        <w:rPr>
          <w:rFonts w:hint="eastAsia"/>
        </w:rPr>
        <w:t xml:space="preserve">升至</w:t>
      </w:r>
      <w:r>
        <w:t xml:space="preserve"> </w:t>
      </w:r>
      <w:r>
        <w:rPr>
          <w:rFonts w:hint="eastAsia"/>
        </w:rPr>
        <w:t xml:space="preserve">5.86，去除需求收缩后低价回落</w:t>
      </w:r>
      <w:r>
        <w:t xml:space="preserve"> RMSE </w:t>
      </w:r>
      <w:r>
        <w:rPr>
          <w:rFonts w:hint="eastAsia"/>
        </w:rPr>
        <w:t xml:space="preserve">升至</w:t>
      </w:r>
      <w:r>
        <w:t xml:space="preserve"> </w:t>
      </w:r>
      <w:r>
        <w:rPr>
          <w:rFonts w:hint="eastAsia"/>
        </w:rPr>
        <w:t xml:space="preserve">5.16，说明政策缓冲和需求侧调整不是装饰项。商业库存与绕道运输在</w:t>
      </w:r>
      <w:r>
        <w:t xml:space="preserve"> 46 </w:t>
      </w:r>
      <w:r>
        <w:rPr>
          <w:rFonts w:hint="eastAsia"/>
        </w:rPr>
        <w:t xml:space="preserve">个交易日短窗口内边际影响较小，但它们在</w:t>
      </w:r>
      <w:r>
        <w:t xml:space="preserve"> 60–180 </w:t>
      </w:r>
      <w:r>
        <w:rPr>
          <w:rFonts w:hint="eastAsia"/>
        </w:rPr>
        <w:t xml:space="preserve">天预测中会影响库存压力、剩余缺口和二次跳涨风险，因此不应因为短窗口贡献小就从长期模型中删除。</w:t>
      </w:r>
    </w:p>
    <w:p>
      <w:pPr>
        <w:pStyle w:val="BodyText"/>
      </w:pPr>
      <w:r>
        <w:rPr>
          <w:rFonts w:hint="eastAsia"/>
        </w:rPr>
        <w:t xml:space="preserve">第二层是市场价格形成层：风险与不确定性溢价负责解释价格快速进入高位平台，缓冲确认折价和预期修复折价负责解释后期再定价。若去除预期修复折价，后期</w:t>
      </w:r>
      <w:r>
        <w:t xml:space="preserve"> RMSE </w:t>
      </w:r>
      <w:r>
        <w:rPr>
          <w:rFonts w:hint="eastAsia"/>
        </w:rPr>
        <w:t xml:space="preserve">从</w:t>
      </w:r>
      <w:r>
        <w:t xml:space="preserve"> 2.81 </w:t>
      </w:r>
      <w:r>
        <w:rPr>
          <w:rFonts w:hint="eastAsia"/>
        </w:rPr>
        <w:t xml:space="preserve">升至</w:t>
      </w:r>
      <w:r>
        <w:t xml:space="preserve"> </w:t>
      </w:r>
      <w:r>
        <w:rPr>
          <w:rFonts w:hint="eastAsia"/>
        </w:rPr>
        <w:t xml:space="preserve">10.09，说明市场对政策缓冲和运输恢复的预期并不是可有可无的修饰，而是解释后期回落的关键机制。</w:t>
      </w:r>
    </w:p>
    <w:bookmarkEnd w:id="95"/>
    <w:bookmarkStart w:id="96" w:name="机器学习辅助边界"/>
    <w:p>
      <w:pPr>
        <w:pStyle w:val="Heading3"/>
      </w:pPr>
      <w:r>
        <w:rPr>
          <w:rFonts w:hint="eastAsia"/>
        </w:rPr>
        <w:t xml:space="preserve">机器学习辅助边界</w:t>
      </w:r>
    </w:p>
    <w:p>
      <w:pPr>
        <w:pStyle w:val="FirstParagraph"/>
      </w:pPr>
      <w:r>
        <w:rPr>
          <w:rFonts w:hint="eastAsia"/>
        </w:rPr>
        <w:t xml:space="preserve">为检验历史价格特征是否还能进一步修正短期误差，本文使用冲突前历史滞后价格特征训练低自由度</w:t>
      </w:r>
      <w:r>
        <w:t xml:space="preserve"> Ridge </w:t>
      </w:r>
      <w:r>
        <w:rPr>
          <w:rFonts w:hint="eastAsia"/>
        </w:rPr>
        <w:t xml:space="preserve">收益率模型，并只将其作为机制路径的一日收益率辅助修正。结果显示，机制主模型</w:t>
      </w:r>
      <w:r>
        <w:t xml:space="preserve"> RMSE </w:t>
      </w:r>
      <w:r>
        <w:rPr>
          <w:rFonts w:hint="eastAsia"/>
        </w:rPr>
        <w:t xml:space="preserve">为</w:t>
      </w:r>
      <w:r>
        <w:t xml:space="preserve"> </w:t>
      </w:r>
      <w:r>
        <w:rPr>
          <w:rFonts w:hint="eastAsia"/>
        </w:rPr>
        <w:t xml:space="preserve">3.440，机制+Ridge</w:t>
      </w:r>
      <w:r>
        <w:t xml:space="preserve"> </w:t>
      </w:r>
      <w:r>
        <w:rPr>
          <w:rFonts w:hint="eastAsia"/>
        </w:rPr>
        <w:t xml:space="preserve">收益率修正后</w:t>
      </w:r>
      <w:r>
        <w:t xml:space="preserve"> RMSE </w:t>
      </w:r>
      <w:r>
        <w:rPr>
          <w:rFonts w:hint="eastAsia"/>
        </w:rPr>
        <w:t xml:space="preserve">降至</w:t>
      </w:r>
      <w:r>
        <w:t xml:space="preserve"> </w:t>
      </w:r>
      <w:r>
        <w:rPr>
          <w:rFonts w:hint="eastAsia"/>
        </w:rPr>
        <w:t xml:space="preserve">3.355，方向命中率升至</w:t>
      </w:r>
      <w:r>
        <w:t xml:space="preserve"> </w:t>
      </w:r>
      <w:r>
        <w:rPr>
          <w:rFonts w:hint="eastAsia"/>
        </w:rPr>
        <w:t xml:space="preserve">68.9%；但纯历史</w:t>
      </w:r>
      <w:r>
        <w:t xml:space="preserve"> Ridge </w:t>
      </w:r>
      <w:r>
        <w:rPr>
          <w:rFonts w:hint="eastAsia"/>
        </w:rPr>
        <w:t xml:space="preserve">模型</w:t>
      </w:r>
      <w:r>
        <w:t xml:space="preserve"> RMSE </w:t>
      </w:r>
      <w:r>
        <w:rPr>
          <w:rFonts w:hint="eastAsia"/>
        </w:rPr>
        <w:t xml:space="preserve">为</w:t>
      </w:r>
      <w:r>
        <w:t xml:space="preserve"> </w:t>
      </w:r>
      <w:r>
        <w:rPr>
          <w:rFonts w:hint="eastAsia"/>
        </w:rPr>
        <w:t xml:space="preserve">4.557，且历史</w:t>
      </w:r>
      <w:r>
        <w:t xml:space="preserve"> 46 </w:t>
      </w:r>
      <w:r>
        <w:rPr>
          <w:rFonts w:hint="eastAsia"/>
        </w:rPr>
        <w:t xml:space="preserve">日滚动验证中只有</w:t>
      </w:r>
      <w:r>
        <w:t xml:space="preserve"> 44.0% </w:t>
      </w:r>
      <w:r>
        <w:rPr>
          <w:rFonts w:hint="eastAsia"/>
        </w:rPr>
        <w:t xml:space="preserve">的窗口稳定优于朴素基准。因此，机器学习层的正确角色是修正短期收益惯性，而不是替代霍尔木兹封锁机制本身。完整在线残差校正表和辅助图随项目输出保留，正文仅保留这一结论。</w:t>
      </w:r>
    </w:p>
    <w:bookmarkEnd w:id="96"/>
    <w:bookmarkStart w:id="100" w:name="拐点预测步长与事件边界"/>
    <w:p>
      <w:pPr>
        <w:pStyle w:val="Heading3"/>
      </w:pPr>
      <w:r>
        <w:rPr>
          <w:rFonts w:hint="eastAsia"/>
        </w:rPr>
        <w:t xml:space="preserve">拐点、预测步长与事件边界</w:t>
      </w:r>
    </w:p>
    <w:p>
      <w:pPr>
        <w:pStyle w:val="FirstParagraph"/>
      </w:pPr>
      <w:r>
        <w:rPr>
          <w:rFonts w:hint="eastAsia"/>
        </w:rPr>
        <w:t xml:space="preserve">本文模型不是普通日度交易意义上的</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预测器，而是条件机制递推模型。模型给定冲突开始、题面参数和校准参数后，从初始价格开始逐日递推；真实价格只用于参数校准和事后评价，不在每日递推时作为当日输入。因此，RMSE</w:t>
      </w:r>
      <w:r>
        <w:t xml:space="preserve"> </w:t>
      </w:r>
      <w:r>
        <w:rPr>
          <w:rFonts w:hint="eastAsia"/>
        </w:rPr>
        <w:t xml:space="preserve">为</w:t>
      </w:r>
      <w:r>
        <w:t xml:space="preserve"> 3.44 </w:t>
      </w:r>
      <w:r>
        <w:rPr>
          <w:rFonts w:hint="eastAsia"/>
        </w:rPr>
        <w:t xml:space="preserve">的含义是模型对整段冲突路径的条件解释误差，而不是在普通市场环境下每天预测明天价格的交易误差。</w:t>
      </w:r>
    </w:p>
    <w:p>
      <w:pPr>
        <w:pStyle w:val="BodyText"/>
      </w:pPr>
      <w:r>
        <w:rPr>
          <w:rFonts w:hint="eastAsia"/>
        </w:rPr>
        <w:t xml:space="preserve">为了检查模型在突变日是否只是慢半拍跟随真实价格，本文选取实际价格绝对变动最大的</w:t>
      </w:r>
      <w:r>
        <w:t xml:space="preserve"> 10 </w:t>
      </w:r>
      <w:r>
        <w:rPr>
          <w:rFonts w:hint="eastAsia"/>
        </w:rPr>
        <w:t xml:space="preserve">个交易日进行方向检查。结果显示，模型在</w:t>
      </w:r>
      <w:r>
        <w:t xml:space="preserve"> 8 </w:t>
      </w:r>
      <w:r>
        <w:rPr>
          <w:rFonts w:hint="eastAsia"/>
        </w:rPr>
        <w:t xml:space="preserve">个交易日与真实价格同向同步变化，2</w:t>
      </w:r>
      <w:r>
        <w:t xml:space="preserve"> </w:t>
      </w:r>
      <w:r>
        <w:rPr>
          <w:rFonts w:hint="eastAsia"/>
        </w:rPr>
        <w:t xml:space="preserve">个交易日体现为提前</w:t>
      </w:r>
      <w:r>
        <w:t xml:space="preserve"> 1 </w:t>
      </w:r>
      <w:r>
        <w:rPr>
          <w:rFonts w:hint="eastAsia"/>
        </w:rPr>
        <w:t xml:space="preserve">日变化。这说明模型对主要冲击方向具有同步解释力，但个别日度噪声仍不能完全捕捉。</w:t>
      </w:r>
    </w:p>
    <w:p>
      <w:pPr>
        <w:pStyle w:val="CaptionedFigure"/>
      </w:pPr>
      <w:r>
        <w:drawing>
          <wp:inline>
            <wp:extent cx="4907280" cy="3568930"/>
            <wp:effectExtent b="0" l="0" r="0" t="0"/>
            <wp:docPr descr="" title="" id="98" name="Picture"/>
            <a:graphic>
              <a:graphicData uri="http://schemas.openxmlformats.org/drawingml/2006/picture">
                <pic:pic>
                  <pic:nvPicPr>
                    <pic:cNvPr descr="短期模型拐点局部检验.png" id="99" name="Picture"/>
                    <pic:cNvPicPr>
                      <a:picLocks noChangeArrowheads="1" noChangeAspect="1"/>
                    </pic:cNvPicPr>
                  </pic:nvPicPr>
                  <pic:blipFill>
                    <a:blip r:embed="rId97"/>
                    <a:stretch>
                      <a:fillRect/>
                    </a:stretch>
                  </pic:blipFill>
                  <pic:spPr bwMode="auto">
                    <a:xfrm>
                      <a:off x="0" y="0"/>
                      <a:ext cx="4907280" cy="3568930"/>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短期模型拐点局部检验。图中放大前期暴涨窗口和后期反转窗口，用于检查模型是否慢半拍跟随真实价格。</w:t>
      </w:r>
    </w:p>
    <w:p>
      <w:pPr>
        <w:pStyle w:val="BodyText"/>
      </w:pPr>
      <w:r>
        <w:rPr>
          <w:rFonts w:hint="eastAsia"/>
        </w:rPr>
        <w:t xml:space="preserve">本文还进行了历史高波动窗口边界检验：固定霍尔木兹机制参数，直接套用到</w:t>
      </w:r>
      <w:r>
        <w:t xml:space="preserve"> 2020 </w:t>
      </w:r>
      <w:r>
        <w:rPr>
          <w:rFonts w:hint="eastAsia"/>
        </w:rPr>
        <w:t xml:space="preserve">年、2022</w:t>
      </w:r>
      <w:r>
        <w:t xml:space="preserve"> </w:t>
      </w:r>
      <w:r>
        <w:rPr>
          <w:rFonts w:hint="eastAsia"/>
        </w:rPr>
        <w:t xml:space="preserve">年等非霍尔木兹事件窗口。结果显示，该模型在这些窗口通常显著弱于朴素上一日基准。这从侧面印证了本模型高度特化于霍尔木兹封锁事件下的系统机制解释，具有清晰的场景适用边界。论文结论应限定在极端地缘冲突下的条件路径解释与情景预测，不能外推为普通时期的通用短线预测模型。</w:t>
      </w:r>
    </w:p>
    <w:bookmarkEnd w:id="100"/>
    <w:bookmarkStart w:id="108" w:name="参数自由度与稳健性区间"/>
    <w:p>
      <w:pPr>
        <w:pStyle w:val="Heading3"/>
      </w:pPr>
      <w:r>
        <w:rPr>
          <w:rFonts w:hint="eastAsia"/>
        </w:rPr>
        <w:t xml:space="preserve">参数自由度与稳健性区间</w:t>
      </w:r>
    </w:p>
    <w:p>
      <w:pPr>
        <w:pStyle w:val="FirstParagraph"/>
      </w:pPr>
      <w:r>
        <w:rPr>
          <w:rFonts w:hint="eastAsia"/>
        </w:rPr>
        <w:t xml:space="preserve">短期冲突窗口只有</w:t>
      </w:r>
      <w:r>
        <w:t xml:space="preserve"> 46 </w:t>
      </w:r>
      <w:r>
        <w:rPr>
          <w:rFonts w:hint="eastAsia"/>
        </w:rPr>
        <w:t xml:space="preserve">个交易日，而连续校准参数共有</w:t>
      </w:r>
      <w:r>
        <w:t xml:space="preserve"> 21 </w:t>
      </w:r>
      <w:r>
        <w:rPr>
          <w:rFonts w:hint="eastAsia"/>
        </w:rPr>
        <w:t xml:space="preserve">个，其中</w:t>
      </w:r>
      <w:r>
        <w:t xml:space="preserve"> 10 </w:t>
      </w:r>
      <w:r>
        <w:rPr>
          <w:rFonts w:hint="eastAsia"/>
        </w:rPr>
        <w:t xml:space="preserve">个属于题面或机制范围内的物理/半物理参数，另外</w:t>
      </w:r>
      <w:r>
        <w:t xml:space="preserve"> 11 </w:t>
      </w:r>
      <w:r>
        <w:rPr>
          <w:rFonts w:hint="eastAsia"/>
        </w:rPr>
        <w:t xml:space="preserve">个属于行为与价格调整参数。这个自由度并不低，因此本文不能只依赖最优曲线，而必须证明价格平台不是某一个偶然参数点调出来的结果。</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参数扰动中，61.0%</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5，96.6%</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美元/桶区间。这个结果意味着，价格平台并不依赖唯一一组精确参数点；但较大扰动会削弱</w:t>
      </w:r>
      <w:r>
        <w:t xml:space="preserve"> RMSE </w:t>
      </w:r>
      <w:r>
        <w:rPr>
          <w:rFonts w:hint="eastAsia"/>
        </w:rPr>
        <w:t xml:space="preserve">表现，因此本文只主张模型具有结构性稳健性，不主张任意参数下都能保持高精度。</w:t>
      </w:r>
    </w:p>
    <w:p>
      <w:pPr>
        <w:pStyle w:val="CaptionedFigure"/>
      </w:pPr>
      <w:r>
        <w:drawing>
          <wp:inline>
            <wp:extent cx="4907280" cy="2587474"/>
            <wp:effectExtent b="0" l="0" r="0" t="0"/>
            <wp:docPr descr="" title="" id="102" name="Picture"/>
            <a:graphic>
              <a:graphicData uri="http://schemas.openxmlformats.org/drawingml/2006/picture">
                <pic:pic>
                  <pic:nvPicPr>
                    <pic:cNvPr descr="短期模型稳健性带.png" id="103" name="Picture"/>
                    <pic:cNvPicPr>
                      <a:picLocks noChangeArrowheads="1" noChangeAspect="1"/>
                    </pic:cNvPicPr>
                  </pic:nvPicPr>
                  <pic:blipFill>
                    <a:blip r:embed="rId10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围绕综合最优参数进行的</w:t>
      </w:r>
      <w:r>
        <w:t xml:space="preserve"> 800 </w:t>
      </w:r>
      <w:r>
        <w:rPr>
          <w:rFonts w:hint="eastAsia"/>
        </w:rPr>
        <w:t xml:space="preserve">组局部扰动进一步显示，在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美元/桶，说明最优参数附近存在稳定的优秀参数邻域。</w:t>
      </w:r>
    </w:p>
    <w:p>
      <w:pPr>
        <w:pStyle w:val="BodyText"/>
      </w:pPr>
      <w:r>
        <w:rPr>
          <w:rFonts w:hint="eastAsia"/>
        </w:rPr>
        <w:t xml:space="preserve">针对多目标校准权重可能成为隐藏超参数的问题，本文进一步对已保存的前</w:t>
      </w:r>
      <w:r>
        <w:t xml:space="preserve"> 10 </w:t>
      </w:r>
      <w:r>
        <w:rPr>
          <w:rFonts w:hint="eastAsia"/>
        </w:rPr>
        <w:t xml:space="preserve">个候选参数进行权重敏感性重排。将峰值误差、末日误差、分段</w:t>
      </w:r>
      <w:r>
        <w:t xml:space="preserve"> RMSE </w:t>
      </w:r>
      <w:r>
        <w:rPr>
          <w:rFonts w:hint="eastAsia"/>
        </w:rPr>
        <w:t xml:space="preserve">等权重整体上调或下调</w:t>
      </w:r>
      <w:r>
        <w:t xml:space="preserve"> </w:t>
      </w:r>
      <w:r>
        <w:rPr>
          <w:rFonts w:hint="eastAsia"/>
        </w:rPr>
        <w:t xml:space="preserve">20%，并分别强化峰值末日、分段误差和平台误差后，当前综合最优候选在</w:t>
      </w:r>
      <w:r>
        <w:t xml:space="preserve"> 6/6 </w:t>
      </w:r>
      <w:r>
        <w:rPr>
          <w:rFonts w:hint="eastAsia"/>
        </w:rPr>
        <w:t xml:space="preserve">个权重情景下仍保持第一。该检验不等同于重新全局校准，但说明当前候选并非只依赖某一组精确权重偶然胜出。</w:t>
      </w:r>
    </w:p>
    <w:p>
      <w:pPr>
        <w:pStyle w:val="BodyText"/>
      </w:pPr>
      <w:r>
        <w:rPr>
          <w:rFonts w:hint="eastAsia"/>
        </w:rPr>
        <w:t xml:space="preserve">最后，本文将短期模型质量拆成拟合精度、基准优势、机器学习辅助、历史滚动验证、滞后复制风险、拐点解释、分段稳定性、参数稳健性和残差结构九个维度，形成最终质量闸门，汇总结果见图</w:t>
      </w:r>
      <w:r>
        <w:t xml:space="preserve"> </w:t>
      </w:r>
      <w:hyperlink w:anchor="fig:short-quality-gate">
        <w:r>
          <w:rPr>
            <w:rStyle w:val="Hyperlink"/>
          </w:rPr>
          <w:t xml:space="preserve">5</w:t>
        </w:r>
      </w:hyperlink>
      <w:r>
        <w:rPr>
          <w:rFonts w:hint="eastAsia"/>
        </w:rPr>
        <w:t xml:space="preserve">。当前平均评分为</w:t>
      </w:r>
      <w:r>
        <w:t xml:space="preserve"> </w:t>
      </w:r>
      <w:r>
        <w:rPr>
          <w:rFonts w:hint="eastAsia"/>
        </w:rPr>
        <w:t xml:space="preserve">4.54/5，其中</w:t>
      </w:r>
      <w:r>
        <w:t xml:space="preserve"> 5 </w:t>
      </w:r>
      <w:r>
        <w:rPr>
          <w:rFonts w:hint="eastAsia"/>
        </w:rPr>
        <w:t xml:space="preserve">个维度直接通过、4</w:t>
      </w:r>
      <w:r>
        <w:t xml:space="preserve"> </w:t>
      </w:r>
      <w:r>
        <w:rPr>
          <w:rFonts w:hint="eastAsia"/>
        </w:rPr>
        <w:t xml:space="preserve">个维度谨慎通过。谨慎通过项主要对应机器学习辅助的边界、拐点幅度不能完全捕捉以及金融残差的波动聚集迹象；这些并不推翻主模型，而是限定了论文表述边界。</w:t>
      </w:r>
    </w:p>
    <w:bookmarkStart w:id="107" w:name="fig:short-quality-gate"/>
    <w:p>
      <w:pPr>
        <w:pStyle w:val="CaptionedFigure"/>
      </w:pPr>
      <w:r>
        <w:drawing>
          <wp:inline>
            <wp:extent cx="4160520" cy="3874484"/>
            <wp:effectExtent b="0" l="0" r="0" t="0"/>
            <wp:docPr descr="" title="" id="105" name="Picture"/>
            <a:graphic>
              <a:graphicData uri="http://schemas.openxmlformats.org/drawingml/2006/picture">
                <pic:pic>
                  <pic:nvPicPr>
                    <pic:cNvPr descr="短期模型最终质量雷达图.png" id="106" name="Picture"/>
                    <pic:cNvPicPr>
                      <a:picLocks noChangeArrowheads="1" noChangeAspect="1"/>
                    </pic:cNvPicPr>
                  </pic:nvPicPr>
                  <pic:blipFill>
                    <a:blip r:embed="rId104"/>
                    <a:stretch>
                      <a:fillRect/>
                    </a:stretch>
                  </pic:blipFill>
                  <pic:spPr bwMode="auto">
                    <a:xfrm>
                      <a:off x="0" y="0"/>
                      <a:ext cx="4160520" cy="3874484"/>
                    </a:xfrm>
                    <a:prstGeom prst="rect">
                      <a:avLst/>
                    </a:prstGeom>
                    <a:noFill/>
                    <a:ln w="9525">
                      <a:noFill/>
                      <a:headEnd/>
                      <a:tailEnd/>
                    </a:ln>
                  </pic:spPr>
                </pic:pic>
              </a:graphicData>
            </a:graphic>
          </wp:inline>
        </w:drawing>
      </w:r>
    </w:p>
    <w:p>
      <w:pPr>
        <w:pStyle w:val="ImageCaption"/>
      </w:pPr>
      <w:r>
        <w:rPr>
          <w:rFonts w:hint="eastAsia"/>
        </w:rPr>
        <w:t xml:space="preserve">短期模型最终质量闸门评分。该图用于汇总短期模型在拟合、基准、稳健性和边界检验上的综合表现。</w:t>
      </w:r>
    </w:p>
    <w:bookmarkEnd w:id="107"/>
    <w:bookmarkEnd w:id="108"/>
    <w:bookmarkStart w:id="109" w:name="内生性反事实基准与结构边界"/>
    <w:p>
      <w:pPr>
        <w:pStyle w:val="Heading3"/>
      </w:pPr>
      <w:r>
        <w:rPr>
          <w:rFonts w:hint="eastAsia"/>
        </w:rPr>
        <w:t xml:space="preserve">内生性、反事实基准与结构边界</w:t>
      </w:r>
    </w:p>
    <w:p>
      <w:pPr>
        <w:pStyle w:val="FirstParagraph"/>
      </w:pPr>
      <w:r>
        <w:rPr>
          <w:rFonts w:hint="eastAsia"/>
        </w:rPr>
        <w:t xml:space="preserve">关于恐慌变量的内生性问题，本文当前未使用</w:t>
      </w:r>
      <w:r>
        <w:t xml:space="preserve"> AI Agent </w:t>
      </w:r>
      <w:r>
        <w:rPr>
          <w:rFonts w:hint="eastAsia"/>
        </w:rPr>
        <w:t xml:space="preserve">新闻爬虫数据，也未把新闻情绪序列作为模型输入。模型中的恐慌初始强度和恐慌衰减速度用于刻画冲突初期风险溢价衰减，而不是由新闻文本统计得到的外生恐慌指数。若后续加入新闻情绪模块，应使用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w:t>
      </w:r>
    </w:p>
    <w:p>
      <w:pPr>
        <w:pStyle w:val="BodyText"/>
      </w:pPr>
      <w:r>
        <w:rPr>
          <w:rFonts w:hint="eastAsia"/>
        </w:rPr>
        <w:t xml:space="preserve">关于</w:t>
      </w:r>
      <w:r>
        <w:t xml:space="preserve"> 200 </w:t>
      </w:r>
      <w:r>
        <w:rPr>
          <w:rFonts w:hint="eastAsia"/>
        </w:rPr>
        <w:t xml:space="preserve">美元以上反事实基准，传统供需模型的高价结果来自低短期弹性条件下的线性需求反事实基准，而不是现实预测；常弹性需求口径只作为机械上界参照。弹性敏感性检验显示，当需求价格弹性由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时，线性需求反事实价格会明显下降，部分情景已经接近或低于</w:t>
      </w:r>
      <w:r>
        <w:t xml:space="preserve"> 120 </w:t>
      </w:r>
      <w:r>
        <w:rPr>
          <w:rFonts w:hint="eastAsia"/>
        </w:rPr>
        <w:t xml:space="preserve">美元/桶。因此，本文要论证的是：低短期弹性静态供需模型会显著高估现实价格，需要引入库存、SPR、绕道、需求收缩、价格传导折价和预期修复等动态机制解释现实平台。</w:t>
      </w:r>
    </w:p>
    <w:p>
      <w:pPr>
        <w:pStyle w:val="BodyText"/>
      </w:pPr>
      <w:r>
        <w:rPr>
          <w:rFonts w:hint="eastAsia"/>
        </w:rPr>
        <w:t xml:space="preserve">最后，本文检查递推结构的价格边界。短期动态递推函数没有设置</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美元只作为题面观测参考区间出现在图表阴影和展示配置中，不参与价格递推计算。当前模型更准确的表述是机制递推模型：它可以说明</w:t>
      </w:r>
      <w:r>
        <w:t xml:space="preserve"> 120 </w:t>
      </w:r>
      <w:r>
        <w:rPr>
          <w:rFonts w:hint="eastAsia"/>
        </w:rPr>
        <w:t xml:space="preserve">美元平台不是外生价格上限，但不声称已经实现了多智能体动态纳什均衡。</w:t>
      </w:r>
    </w:p>
    <w:bookmarkEnd w:id="109"/>
    <w:bookmarkStart w:id="111" w:name="鲁棒性与边界检验总览"/>
    <w:p>
      <w:pPr>
        <w:pStyle w:val="Heading3"/>
      </w:pPr>
      <w:r>
        <w:rPr>
          <w:rFonts w:hint="eastAsia"/>
        </w:rPr>
        <w:t xml:space="preserve">鲁棒性与边界检验总览</w:t>
      </w:r>
    </w:p>
    <w:p>
      <w:pPr>
        <w:pStyle w:val="FirstParagraph"/>
      </w:pPr>
      <w:r>
        <w:rPr>
          <w:rFonts w:hint="eastAsia"/>
        </w:rPr>
        <w:t xml:space="preserve">本文将关键不确定性来源转化为鲁棒性与边界检验。表</w:t>
      </w:r>
      <w:r>
        <w:t xml:space="preserve"> </w:t>
      </w:r>
      <w:hyperlink w:anchor="tab:adversarial-tests">
        <w:r>
          <w:rPr>
            <w:rStyle w:val="Hyperlink"/>
          </w:rPr>
          <w:t xml:space="preserve">4</w:t>
        </w:r>
      </w:hyperlink>
      <w:r>
        <w:t xml:space="preserve"> </w:t>
      </w:r>
      <w:r>
        <w:rPr>
          <w:rFonts w:hint="eastAsia"/>
        </w:rPr>
        <w:t xml:space="preserve">中的检验均不重新寻找最优参数，而是在同一模型框架下改变某个关键条件，观察主结论是否保持稳定。</w:t>
      </w:r>
    </w:p>
    <w:bookmarkStart w:id="110" w:name="tab:adversarial-tests"/>
    <w:p>
      <w:pPr>
        <w:pStyle w:val="TableCaption"/>
      </w:pPr>
      <w:r>
        <w:rPr>
          <w:rFonts w:hint="eastAsia"/>
        </w:rPr>
        <w:t xml:space="preserve">鲁棒性与边界检验总览</w:t>
      </w:r>
    </w:p>
    <w:tbl>
      <w:tblPr>
        <w:tblStyle w:val="Table"/>
        <w:tblW w:type="auto" w:w="0"/>
        <w:tblLook w:firstRow="1" w:lastRow="0" w:firstColumn="0" w:lastColumn="0" w:noHBand="0" w:noVBand="0" w:val="0020"/>
        <w:tblCaption w:val="鲁棒性与边界检验总览"/>
      </w:tblPr>
      <w:tblGrid>
        <w:gridCol w:w="1980"/>
        <w:gridCol w:w="1980"/>
        <w:gridCol w:w="1980"/>
        <w:gridCol w:w="1980"/>
      </w:tblGrid>
      <w:tr>
        <w:trPr>
          <w:tblHeader w:val="on"/>
        </w:trPr>
        <w:tc>
          <w:tcPr/>
          <w:p>
            <w:pPr>
              <w:pStyle w:val="Compact"/>
              <w:jc w:val="left"/>
            </w:pPr>
            <w:r>
              <w:rPr>
                <w:rFonts w:hint="eastAsia"/>
              </w:rPr>
              <w:t xml:space="preserve">检验假设</w:t>
            </w:r>
          </w:p>
        </w:tc>
        <w:tc>
          <w:tcPr/>
          <w:p>
            <w:pPr>
              <w:pStyle w:val="Compact"/>
              <w:jc w:val="left"/>
            </w:pPr>
            <w:r>
              <w:rPr>
                <w:rFonts w:hint="eastAsia"/>
              </w:rPr>
              <w:t xml:space="preserve">检验方式</w:t>
            </w:r>
          </w:p>
        </w:tc>
        <w:tc>
          <w:tcPr/>
          <w:p>
            <w:pPr>
              <w:pStyle w:val="Compact"/>
              <w:jc w:val="left"/>
            </w:pPr>
            <w:r>
              <w:rPr>
                <w:rFonts w:hint="eastAsia"/>
              </w:rPr>
              <w:t xml:space="preserve">关键结果</w:t>
            </w:r>
          </w:p>
        </w:tc>
        <w:tc>
          <w:tcPr/>
          <w:p>
            <w:pPr>
              <w:pStyle w:val="Compact"/>
              <w:jc w:val="left"/>
            </w:pPr>
            <w:r>
              <w:rPr>
                <w:rFonts w:hint="eastAsia"/>
              </w:rPr>
              <w:t xml:space="preserve">论文含义</w:t>
            </w:r>
          </w:p>
        </w:tc>
      </w:tr>
      <w:tr>
        <w:tc>
          <w:tcPr/>
          <w:p>
            <w:pPr>
              <w:pStyle w:val="Compact"/>
              <w:jc w:val="left"/>
            </w:pPr>
            <w:r>
              <w:rPr>
                <w:rFonts w:hint="eastAsia"/>
              </w:rPr>
              <w:t xml:space="preserve">相对朴素基准的有效性</w:t>
            </w:r>
          </w:p>
        </w:tc>
        <w:tc>
          <w:tcPr/>
          <w:p>
            <w:pPr>
              <w:pStyle w:val="Compact"/>
              <w:jc w:val="left"/>
            </w:pPr>
            <w:r>
              <w:rPr>
                <w:rFonts w:hint="eastAsia"/>
              </w:rPr>
              <w:t xml:space="preserve">与上一日价格、三日均值、漂移随机游走和滚动</w:t>
            </w:r>
            <w:r>
              <w:t xml:space="preserve"> ARIMA </w:t>
            </w:r>
            <w:r>
              <w:rPr>
                <w:rFonts w:hint="eastAsia"/>
              </w:rPr>
              <w:t xml:space="preserve">比较</w:t>
            </w:r>
          </w:p>
        </w:tc>
        <w:tc>
          <w:tcPr/>
          <w:p>
            <w:pPr>
              <w:pStyle w:val="Compact"/>
              <w:jc w:val="left"/>
            </w:pPr>
            <w:r>
              <w:rPr>
                <w:rFonts w:hint="eastAsia"/>
              </w:rPr>
              <w:t xml:space="preserve">可比样本</w:t>
            </w:r>
            <w:r>
              <w:t xml:space="preserve"> RMSE </w:t>
            </w:r>
            <w:r>
              <w:rPr>
                <w:rFonts w:hint="eastAsia"/>
              </w:rPr>
              <w:t xml:space="preserve">为</w:t>
            </w:r>
            <w:r>
              <w:t xml:space="preserve"> </w:t>
            </w:r>
            <w:r>
              <w:rPr>
                <w:rFonts w:hint="eastAsia"/>
              </w:rPr>
              <w:t xml:space="preserve">3.47，朴素基准为</w:t>
            </w:r>
            <w:r>
              <w:t xml:space="preserve"> </w:t>
            </w:r>
            <w:r>
              <w:rPr>
                <w:rFonts w:hint="eastAsia"/>
              </w:rPr>
              <w:t xml:space="preserve">4.52；DM</w:t>
            </w:r>
            <w:r>
              <w:t xml:space="preserve"> </w:t>
            </w:r>
            <w:r>
              <w:rPr>
                <w:rFonts w:hint="eastAsia"/>
              </w:rPr>
              <w:t xml:space="preserve">平方损失单侧</w:t>
            </w:r>
            <w:r>
              <w:t xml:space="preserve"> </w:t>
            </w:r>
            <m:oMath>
              <m:r>
                <m:t>p</m:t>
              </m:r>
              <m:r>
                <m:rPr>
                  <m:sty m:val="p"/>
                </m:rPr>
                <m:t>=</m:t>
              </m:r>
              <m:r>
                <m:t>0.023</m:t>
              </m:r>
            </m:oMath>
          </w:p>
        </w:tc>
        <w:tc>
          <w:tcPr/>
          <w:p>
            <w:pPr>
              <w:pStyle w:val="Compact"/>
              <w:jc w:val="left"/>
            </w:pPr>
            <w:r>
              <w:rPr>
                <w:rFonts w:hint="eastAsia"/>
              </w:rPr>
              <w:t xml:space="preserve">机制递推模型相对无变化预测具有误差优势</w:t>
            </w:r>
          </w:p>
        </w:tc>
      </w:tr>
      <w:tr>
        <w:tc>
          <w:tcPr/>
          <w:p>
            <w:pPr>
              <w:pStyle w:val="Compact"/>
              <w:jc w:val="left"/>
            </w:pPr>
            <w:r>
              <w:rPr>
                <w:rFonts w:hint="eastAsia"/>
              </w:rPr>
              <w:t xml:space="preserve">滞后复制风险</w:t>
            </w:r>
          </w:p>
        </w:tc>
        <w:tc>
          <w:tcPr/>
          <w:p>
            <w:pPr>
              <w:pStyle w:val="Compact"/>
              <w:jc w:val="left"/>
            </w:pPr>
            <w:r>
              <w:rPr>
                <w:rFonts w:hint="eastAsia"/>
              </w:rPr>
              <w:t xml:space="preserve">平移检验、拐点局部检验和残差自相关检验</w:t>
            </w:r>
          </w:p>
        </w:tc>
        <w:tc>
          <w:tcPr/>
          <w:p>
            <w:pPr>
              <w:pStyle w:val="Compact"/>
              <w:jc w:val="left"/>
            </w:pPr>
            <w:r>
              <w:t xml:space="preserve">Ljung–Box lag10</w:t>
            </w:r>
            <w:r>
              <w:t xml:space="preserve"> </w:t>
            </w:r>
            <m:oMath>
              <m:r>
                <m:t>p</m:t>
              </m:r>
              <m:r>
                <m:rPr>
                  <m:sty m:val="p"/>
                </m:rPr>
                <m:t>=</m:t>
              </m:r>
              <m:r>
                <m:t>0.364</m:t>
              </m:r>
            </m:oMath>
            <w:r>
              <w:rPr>
                <w:rFonts w:hint="eastAsia"/>
              </w:rPr>
              <w:t xml:space="preserve">，未发现显著线性残差自相关</w:t>
            </w:r>
          </w:p>
        </w:tc>
        <w:tc>
          <w:tcPr/>
          <w:p>
            <w:pPr>
              <w:pStyle w:val="Compact"/>
              <w:jc w:val="left"/>
            </w:pPr>
            <w:r>
              <w:rPr>
                <w:rFonts w:hint="eastAsia"/>
              </w:rPr>
              <w:t xml:space="preserve">拟合曲线没有明显依赖</w:t>
            </w:r>
            <w:r>
              <w:rPr>
                <w:rFonts w:hint="eastAsia"/>
              </w:rPr>
              <w:t xml:space="preserve">“昨天当今天”</w:t>
            </w:r>
            <w:r>
              <w:rPr>
                <w:rFonts w:hint="eastAsia"/>
              </w:rPr>
              <w:t xml:space="preserve">的滞后复制</w:t>
            </w:r>
          </w:p>
        </w:tc>
      </w:tr>
      <w:tr>
        <w:tc>
          <w:tcPr/>
          <w:p>
            <w:pPr>
              <w:pStyle w:val="Compact"/>
              <w:jc w:val="left"/>
            </w:pPr>
            <w:r>
              <w:rPr>
                <w:rFonts w:hint="eastAsia"/>
              </w:rPr>
              <w:t xml:space="preserve">题面弹性与价格传导的区分</w:t>
            </w:r>
          </w:p>
        </w:tc>
        <w:tc>
          <w:tcPr/>
          <w:p>
            <w:pPr>
              <w:pStyle w:val="Compact"/>
              <w:jc w:val="left"/>
            </w:pPr>
            <w:r>
              <w:rPr>
                <w:rFonts w:hint="eastAsia"/>
              </w:rPr>
              <w:t xml:space="preserve">将价格传导系数强制设为</w:t>
            </w:r>
            <w:r>
              <w:t xml:space="preserve"> </w:t>
            </w:r>
            <m:oMath>
              <m:r>
                <m:t>ϕ</m:t>
              </m:r>
              <m:r>
                <m:rPr>
                  <m:sty m:val="p"/>
                </m:rPr>
                <m:t>=</m:t>
              </m:r>
              <m:r>
                <m:t>1</m:t>
              </m:r>
            </m:oMath>
          </w:p>
        </w:tc>
        <w:tc>
          <w:tcPr/>
          <w:p>
            <w:pPr>
              <w:pStyle w:val="Compact"/>
              <w:jc w:val="left"/>
            </w:pPr>
            <w:r>
              <w:t xml:space="preserve">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w:t>
            </w:r>
          </w:p>
        </w:tc>
        <w:tc>
          <w:tcPr/>
          <w:p>
            <w:pPr>
              <w:pStyle w:val="Compact"/>
              <w:jc w:val="left"/>
            </w:pPr>
            <w:r>
              <w:rPr>
                <w:rFonts w:hint="eastAsia"/>
              </w:rPr>
              <w:t xml:space="preserve">题面低弹性用于反事实上界，</w:t>
            </w:r>
            <m:oMath>
              <m:r>
                <m:t>ϕ</m:t>
              </m:r>
            </m:oMath>
            <w:r>
              <w:t xml:space="preserve"> </w:t>
            </w:r>
            <w:r>
              <w:rPr>
                <w:rFonts w:hint="eastAsia"/>
              </w:rPr>
              <w:t xml:space="preserve">是期货市场折价传导参数</w:t>
            </w:r>
          </w:p>
        </w:tc>
      </w:tr>
      <w:tr>
        <w:tc>
          <w:tcPr/>
          <w:p>
            <w:pPr>
              <w:pStyle w:val="Compact"/>
              <w:jc w:val="left"/>
            </w:pPr>
            <w:r>
              <w:rPr>
                <w:rFonts w:hint="eastAsia"/>
              </w:rPr>
              <w:t xml:space="preserve">参数扰动稳定性</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扰动和</w:t>
            </w:r>
            <w:r>
              <w:t xml:space="preserve"> 800 </w:t>
            </w:r>
            <w:r>
              <w:rPr>
                <w:rFonts w:hint="eastAsia"/>
              </w:rPr>
              <w:t xml:space="preserve">组局部扰动</w:t>
            </w:r>
          </w:p>
        </w:tc>
        <w:tc>
          <w:tcPr/>
          <w:p>
            <w:pPr>
              <w:pStyle w:val="Compact"/>
              <w:jc w:val="left"/>
            </w:pPr>
            <w:r>
              <w:t xml:space="preserve">96.6% </w:t>
            </w:r>
            <w:r>
              <w:rPr>
                <w:rFonts w:hint="eastAsia"/>
              </w:rPr>
              <w:t xml:space="preserve">扰动样本峰值仍在</w:t>
            </w:r>
            <w:r>
              <w:t xml:space="preserve"> 105–125 </w:t>
            </w:r>
            <w:r>
              <w:rPr>
                <w:rFonts w:hint="eastAsia"/>
              </w:rPr>
              <w:t xml:space="preserve">美元/桶，局部优秀率</w:t>
            </w:r>
            <w:r>
              <w:t xml:space="preserve"> 99.4%</w:t>
            </w:r>
          </w:p>
        </w:tc>
        <w:tc>
          <w:tcPr/>
          <w:p>
            <w:pPr>
              <w:pStyle w:val="Compact"/>
              <w:jc w:val="left"/>
            </w:pPr>
            <w:r>
              <w:rPr>
                <w:rFonts w:hint="eastAsia"/>
              </w:rPr>
              <w:t xml:space="preserve">价格平台不依赖唯一一组参数点</w:t>
            </w:r>
          </w:p>
        </w:tc>
      </w:tr>
      <w:tr>
        <w:tc>
          <w:tcPr/>
          <w:p>
            <w:pPr>
              <w:pStyle w:val="Compact"/>
              <w:jc w:val="left"/>
            </w:pPr>
            <w:r>
              <w:rPr>
                <w:rFonts w:hint="eastAsia"/>
              </w:rPr>
              <w:t xml:space="preserve">长期点预测边界</w:t>
            </w:r>
          </w:p>
        </w:tc>
        <w:tc>
          <w:tcPr/>
          <w:p>
            <w:pPr>
              <w:pStyle w:val="Compact"/>
              <w:jc w:val="left"/>
            </w:pPr>
            <w:r>
              <w:rPr>
                <w:rFonts w:hint="eastAsia"/>
              </w:rPr>
              <w:t xml:space="preserve">蒙特卡洛</w:t>
            </w:r>
            <w:r>
              <w:t xml:space="preserve"> 2000 </w:t>
            </w:r>
            <w:r>
              <w:rPr>
                <w:rFonts w:hint="eastAsia"/>
              </w:rPr>
              <w:t xml:space="preserve">条条件路径与三情景中心线对比</w:t>
            </w:r>
          </w:p>
        </w:tc>
        <w:tc>
          <w:tcPr/>
          <w:p>
            <w:pPr>
              <w:pStyle w:val="Compact"/>
              <w:jc w:val="left"/>
            </w:pPr>
            <w:r>
              <w:rPr>
                <w:rFonts w:hint="eastAsia"/>
              </w:rPr>
              <w:t xml:space="preserve">第</w:t>
            </w:r>
            <w:r>
              <w:t xml:space="preserve"> 180 </w:t>
            </w:r>
            <w:r>
              <w:rPr>
                <w:rFonts w:hint="eastAsia"/>
              </w:rPr>
              <w:t xml:space="preserve">天</w:t>
            </w:r>
            <w:r>
              <w:t xml:space="preserve"> P05–P95 </w:t>
            </w:r>
            <w:r>
              <w:rPr>
                <w:rFonts w:hint="eastAsia"/>
              </w:rPr>
              <w:t xml:space="preserve">为</w:t>
            </w:r>
            <w:r>
              <w:t xml:space="preserve"> 89.58–106.44 </w:t>
            </w:r>
            <w:r>
              <w:rPr>
                <w:rFonts w:hint="eastAsia"/>
              </w:rPr>
              <w:t xml:space="preserve">美元/桶，突破</w:t>
            </w:r>
            <w:r>
              <w:t xml:space="preserve"> 120 </w:t>
            </w:r>
            <w:r>
              <w:rPr>
                <w:rFonts w:hint="eastAsia"/>
              </w:rPr>
              <w:t xml:space="preserve">概率约</w:t>
            </w:r>
            <w:r>
              <w:t xml:space="preserve"> 16.3%</w:t>
            </w:r>
          </w:p>
        </w:tc>
        <w:tc>
          <w:tcPr/>
          <w:p>
            <w:pPr>
              <w:pStyle w:val="Compact"/>
              <w:jc w:val="left"/>
            </w:pPr>
            <w:r>
              <w:rPr>
                <w:rFonts w:hint="eastAsia"/>
              </w:rPr>
              <w:t xml:space="preserve">长期结论应读作条件区间和尾部风险，而非精确日度预测</w:t>
            </w:r>
          </w:p>
        </w:tc>
      </w:tr>
      <w:tr>
        <w:tc>
          <w:tcPr/>
          <w:p>
            <w:pPr>
              <w:pStyle w:val="Compact"/>
              <w:jc w:val="left"/>
            </w:pPr>
            <w:r>
              <w:rPr>
                <w:rFonts w:hint="eastAsia"/>
              </w:rPr>
              <w:t xml:space="preserve">长期制度风险边界</w:t>
            </w:r>
          </w:p>
        </w:tc>
        <w:tc>
          <w:tcPr/>
          <w:p>
            <w:pPr>
              <w:pStyle w:val="Compact"/>
              <w:jc w:val="left"/>
            </w:pPr>
            <w:r>
              <w:rPr>
                <w:rFonts w:hint="eastAsia"/>
              </w:rPr>
              <w:t xml:space="preserve">将不确定性溢价减半或随时间强制衰减</w:t>
            </w:r>
          </w:p>
        </w:tc>
        <w:tc>
          <w:tcPr/>
          <w:p>
            <w:pPr>
              <w:pStyle w:val="Compact"/>
              <w:jc w:val="left"/>
            </w:pPr>
            <w:r>
              <w:rPr>
                <w:rFonts w:hint="eastAsia"/>
              </w:rPr>
              <w:t xml:space="preserve">中性第</w:t>
            </w:r>
            <w:r>
              <w:t xml:space="preserve"> 180 </w:t>
            </w:r>
            <w:r>
              <w:rPr>
                <w:rFonts w:hint="eastAsia"/>
              </w:rPr>
              <w:t xml:space="preserve">天降至</w:t>
            </w:r>
            <w:r>
              <w:t xml:space="preserve"> 89.15 </w:t>
            </w:r>
            <w:r>
              <w:rPr>
                <w:rFonts w:hint="eastAsia"/>
              </w:rPr>
              <w:t xml:space="preserve">或</w:t>
            </w:r>
            <w:r>
              <w:t xml:space="preserve"> 87.82 </w:t>
            </w:r>
            <w:r>
              <w:rPr>
                <w:rFonts w:hint="eastAsia"/>
              </w:rPr>
              <w:t xml:space="preserve">美元/桶，悲观仍保留</w:t>
            </w:r>
            <w:r>
              <w:t xml:space="preserve"> 99.80–101.27 </w:t>
            </w:r>
            <w:r>
              <w:rPr>
                <w:rFonts w:hint="eastAsia"/>
              </w:rPr>
              <w:t xml:space="preserve">美元/桶压力</w:t>
            </w:r>
          </w:p>
        </w:tc>
        <w:tc>
          <w:tcPr/>
          <w:p>
            <w:pPr>
              <w:pStyle w:val="Compact"/>
              <w:jc w:val="left"/>
            </w:pPr>
            <w:r>
              <w:rPr>
                <w:rFonts w:hint="eastAsia"/>
              </w:rPr>
              <w:t xml:space="preserve">制度风险影响长期平衡点，但悲观尾部仍来自多因素组合</w:t>
            </w:r>
          </w:p>
        </w:tc>
      </w:tr>
    </w:tbl>
    <w:bookmarkEnd w:id="110"/>
    <w:bookmarkEnd w:id="111"/>
    <w:bookmarkEnd w:id="112"/>
    <w:bookmarkEnd w:id="113"/>
    <w:bookmarkStart w:id="134" w:name="天三情景预测"/>
    <w:p>
      <w:pPr>
        <w:pStyle w:val="Heading1"/>
      </w:pPr>
      <w:r>
        <w:t xml:space="preserve">60–180 </w:t>
      </w:r>
      <w:r>
        <w:rPr>
          <w:rFonts w:hint="eastAsia"/>
        </w:rPr>
        <w:t xml:space="preserve">天三情景预测</w:t>
      </w:r>
    </w:p>
    <w:bookmarkStart w:id="114" w:name="情景设定"/>
    <w:p>
      <w:pPr>
        <w:pStyle w:val="Heading2"/>
      </w:pPr>
      <w:r>
        <w:rPr>
          <w:rFonts w:hint="eastAsia"/>
        </w:rPr>
        <w:t xml:space="preserve">情景设定</w:t>
      </w:r>
    </w:p>
    <w:p>
      <w:pPr>
        <w:pStyle w:val="FirstParagraph"/>
      </w:pPr>
      <w:r>
        <w:rPr>
          <w:rFonts w:hint="eastAsia"/>
        </w:rPr>
        <w:t xml:space="preserve">长期情景预测在综合最优参数基础上构建乐观、中性和悲观三种情景。附件真实价格只覆盖到</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日，之后全部为条件情景外推，不作为真实观测数据。</w:t>
      </w:r>
    </w:p>
    <w:p>
      <w:pPr>
        <w:pStyle w:val="BodyText"/>
      </w:pPr>
      <w:r>
        <w:rPr>
          <w:rFonts w:hint="eastAsia"/>
        </w:rPr>
        <w:t xml:space="preserve">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的表述。三情景曲线表示条件中心路径，而不是未来每日收盘价的精确点预测；其可信度由机制一致性、官方外生数据校验、敏感性分析、蒙特卡洛概率区间和状态转移扰动共同评价。</w:t>
      </w:r>
    </w:p>
    <w:p>
      <w:pPr>
        <w:pStyle w:val="BodyText"/>
      </w:pPr>
      <w:r>
        <w:rPr>
          <w:rFonts w:hint="eastAsia"/>
        </w:rPr>
        <w:t xml:space="preserve">长短期模型并非两套互不相干的模型。短期部分使用同一套物理缺口和市场价格形成递推式，回答封锁初期价格平台如何形成；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长期模型从短期动态递推模型延伸而来，但在四个方面做了时间尺度调整：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。在短期模型的基础上，长期供需缺口可写为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短期和长期风险项的方向不同，并不是前后矛盾。短期窗口内，市场需要完成突发封锁的信息吸收，风险溢价表现为建立和再定价；长期窗口内，市场已经观察到</w:t>
      </w:r>
      <w:r>
        <w:t xml:space="preserve"> </w:t>
      </w:r>
      <w:r>
        <w:rPr>
          <w:rFonts w:hint="eastAsia"/>
        </w:rPr>
        <w:t xml:space="preserve">SPR、库存、绕道和供需调整是否有效，因此风险项应随未解决缺口和信心恢复而逐步衰减。换言之，短期模型回答</w:t>
      </w:r>
      <w:r>
        <w:rPr>
          <w:rFonts w:hint="eastAsia"/>
        </w:rPr>
        <w:t xml:space="preserve">“冲击如何形成价格平台”</w:t>
      </w:r>
      <w:r>
        <w:rPr>
          <w:rFonts w:hint="eastAsia"/>
        </w:rPr>
        <w:t xml:space="preserve">，长期模型回答</w:t>
      </w:r>
      <w:r>
        <w:rPr>
          <w:rFonts w:hint="eastAsia"/>
        </w:rPr>
        <w:t xml:space="preserve">“平台在政策缓冲和需求调整后如何回归，尾部风险在哪里重新抬升”</w:t>
      </w:r>
      <w:r>
        <w:t xml:space="preserve">。</w:t>
      </w:r>
    </w:p>
    <w:p>
      <w:pPr>
        <w:pStyle w:val="TableCaption"/>
      </w:pPr>
      <w:r>
        <w:rPr>
          <w:rFonts w:hint="eastAsia"/>
        </w:rPr>
        <w:t xml:space="preserve">长期机制强度参数及检验边界</w:t>
      </w:r>
    </w:p>
    <w:tbl>
      <w:tblPr>
        <w:tblStyle w:val="Table"/>
        <w:tblW w:type="auto" w:w="0"/>
        <w:tblLook w:firstRow="1" w:lastRow="0" w:firstColumn="0" w:lastColumn="0" w:noHBand="0" w:noVBand="0" w:val="0020"/>
        <w:tblCaption w:val="长期机制强度参数及检验边界"/>
      </w:tblPr>
      <w:tblGrid>
        <w:gridCol w:w="1980"/>
        <w:gridCol w:w="1980"/>
        <w:gridCol w:w="1980"/>
        <w:gridCol w:w="1980"/>
      </w:tblGrid>
      <w:tr>
        <w:trPr>
          <w:tblHeader w:val="on"/>
        </w:trPr>
        <w:tc>
          <w:tcPr/>
          <w:p>
            <w:pPr>
              <w:pStyle w:val="Compact"/>
              <w:jc w:val="left"/>
            </w:pPr>
            <w:r>
              <w:rPr>
                <w:rFonts w:hint="eastAsia"/>
              </w:rPr>
              <w:t xml:space="preserve">机制参数</w:t>
            </w:r>
          </w:p>
        </w:tc>
        <w:tc>
          <w:tcPr/>
          <w:p>
            <w:pPr>
              <w:pStyle w:val="Compact"/>
              <w:jc w:val="right"/>
            </w:pPr>
            <w:r>
              <w:rPr>
                <w:rFonts w:hint="eastAsia"/>
              </w:rPr>
              <w:t xml:space="preserve">基准值</w:t>
            </w:r>
          </w:p>
        </w:tc>
        <w:tc>
          <w:tcPr/>
          <w:p>
            <w:pPr>
              <w:pStyle w:val="Compact"/>
              <w:jc w:val="right"/>
            </w:pPr>
            <w:r>
              <w:rPr>
                <w:rFonts w:hint="eastAsia"/>
              </w:rPr>
              <w:t xml:space="preserve">扰动范围</w:t>
            </w:r>
          </w:p>
        </w:tc>
        <w:tc>
          <w:tcPr/>
          <w:p>
            <w:pPr>
              <w:pStyle w:val="Compact"/>
              <w:jc w:val="left"/>
            </w:pPr>
            <w:r>
              <w:rPr>
                <w:rFonts w:hint="eastAsia"/>
              </w:rPr>
              <w:t xml:space="preserve">含义与边界</w:t>
            </w:r>
          </w:p>
        </w:tc>
      </w:tr>
      <w:tr>
        <w:tc>
          <w:tcPr/>
          <w:p>
            <w:pPr>
              <w:pStyle w:val="Compact"/>
              <w:jc w:val="left"/>
            </w:pPr>
            <w:r>
              <w:t xml:space="preserve">SPR </w:t>
            </w:r>
            <w:r>
              <w:rPr>
                <w:rFonts w:hint="eastAsia"/>
              </w:rPr>
              <w:t xml:space="preserve">收缩起点</w:t>
            </w:r>
          </w:p>
        </w:tc>
        <w:tc>
          <w:tcPr/>
          <w:p>
            <w:pPr>
              <w:pStyle w:val="Compact"/>
              <w:jc w:val="right"/>
            </w:pPr>
            <w:r>
              <w:t xml:space="preserve">75</w:t>
            </w:r>
          </w:p>
        </w:tc>
        <w:tc>
          <w:tcPr/>
          <w:p>
            <w:pPr>
              <w:pStyle w:val="Compact"/>
              <w:jc w:val="right"/>
            </w:pPr>
            <w:r>
              <w:t xml:space="preserve">60–105</w:t>
            </w:r>
          </w:p>
        </w:tc>
        <w:tc>
          <w:tcPr/>
          <w:p>
            <w:pPr>
              <w:pStyle w:val="Compact"/>
              <w:jc w:val="left"/>
            </w:pPr>
            <w:r>
              <w:t xml:space="preserve">SPR </w:t>
            </w:r>
            <w:r>
              <w:rPr>
                <w:rFonts w:hint="eastAsia"/>
              </w:rPr>
              <w:t xml:space="preserve">从应急计划释放转向缺口驱动收缩的开始时间</w:t>
            </w:r>
          </w:p>
        </w:tc>
      </w:tr>
      <w:tr>
        <w:tc>
          <w:tcPr/>
          <w:p>
            <w:pPr>
              <w:pStyle w:val="Compact"/>
              <w:jc w:val="left"/>
            </w:pPr>
            <w:r>
              <w:rPr>
                <w:rFonts w:hint="eastAsia"/>
              </w:rPr>
              <w:t xml:space="preserve">冲击不确定性占比</w:t>
            </w:r>
          </w:p>
        </w:tc>
        <w:tc>
          <w:tcPr/>
          <w:p>
            <w:pPr>
              <w:pStyle w:val="Compact"/>
              <w:jc w:val="right"/>
            </w:pPr>
            <w:r>
              <w:t xml:space="preserve">0.45</w:t>
            </w:r>
          </w:p>
        </w:tc>
        <w:tc>
          <w:tcPr/>
          <w:p>
            <w:pPr>
              <w:pStyle w:val="Compact"/>
              <w:jc w:val="right"/>
            </w:pPr>
            <w:r>
              <w:t xml:space="preserve">0.25–0.65</w:t>
            </w:r>
          </w:p>
        </w:tc>
        <w:tc>
          <w:tcPr/>
          <w:p>
            <w:pPr>
              <w:pStyle w:val="Compact"/>
              <w:jc w:val="left"/>
            </w:pPr>
            <w:r>
              <w:rPr>
                <w:rFonts w:hint="eastAsia"/>
              </w:rPr>
              <w:t xml:space="preserve">前期冲击再定价在长期不确定性中的贡献，不作为外部官方统计量</w:t>
            </w:r>
          </w:p>
        </w:tc>
      </w:tr>
      <w:tr>
        <w:tc>
          <w:tcPr/>
          <w:p>
            <w:pPr>
              <w:pStyle w:val="Compact"/>
              <w:jc w:val="left"/>
            </w:pPr>
            <w:r>
              <w:rPr>
                <w:rFonts w:hint="eastAsia"/>
              </w:rPr>
              <w:t xml:space="preserve">制度风险占比</w:t>
            </w:r>
          </w:p>
        </w:tc>
        <w:tc>
          <w:tcPr/>
          <w:p>
            <w:pPr>
              <w:pStyle w:val="Compact"/>
              <w:jc w:val="right"/>
            </w:pPr>
            <w:r>
              <w:t xml:space="preserve">0.90</w:t>
            </w:r>
          </w:p>
        </w:tc>
        <w:tc>
          <w:tcPr/>
          <w:p>
            <w:pPr>
              <w:pStyle w:val="Compact"/>
              <w:jc w:val="right"/>
            </w:pPr>
            <w:r>
              <w:t xml:space="preserve">0.50–1.30</w:t>
            </w:r>
          </w:p>
        </w:tc>
        <w:tc>
          <w:tcPr/>
          <w:p>
            <w:pPr>
              <w:pStyle w:val="Compact"/>
              <w:jc w:val="left"/>
            </w:pPr>
            <w:r>
              <w:rPr>
                <w:rFonts w:hint="eastAsia"/>
              </w:rPr>
              <w:t xml:space="preserve">持续封锁状态对长期风险溢价的贡献强度</w:t>
            </w:r>
          </w:p>
        </w:tc>
      </w:tr>
      <w:tr>
        <w:tc>
          <w:tcPr/>
          <w:p>
            <w:pPr>
              <w:pStyle w:val="Compact"/>
              <w:jc w:val="left"/>
            </w:pPr>
            <w:r>
              <w:rPr>
                <w:rFonts w:hint="eastAsia"/>
              </w:rPr>
              <w:t xml:space="preserve">信心恢复后风险底座</w:t>
            </w:r>
          </w:p>
        </w:tc>
        <w:tc>
          <w:tcPr/>
          <w:p>
            <w:pPr>
              <w:pStyle w:val="Compact"/>
              <w:jc w:val="right"/>
            </w:pPr>
            <w:r>
              <w:t xml:space="preserve">0.40</w:t>
            </w:r>
          </w:p>
        </w:tc>
        <w:tc>
          <w:tcPr/>
          <w:p>
            <w:pPr>
              <w:pStyle w:val="Compact"/>
              <w:jc w:val="right"/>
            </w:pPr>
            <w:r>
              <w:t xml:space="preserve">0.20–0.60</w:t>
            </w:r>
          </w:p>
        </w:tc>
        <w:tc>
          <w:tcPr/>
          <w:p>
            <w:pPr>
              <w:pStyle w:val="Compact"/>
              <w:jc w:val="left"/>
            </w:pPr>
            <w:r>
              <w:rPr>
                <w:rFonts w:hint="eastAsia"/>
              </w:rPr>
              <w:t xml:space="preserve">缓冲机制被市场确认后仍保留的制度风险比例</w:t>
            </w:r>
          </w:p>
        </w:tc>
      </w:tr>
      <w:tr>
        <w:tc>
          <w:tcPr/>
          <w:p>
            <w:pPr>
              <w:pStyle w:val="Compact"/>
              <w:jc w:val="left"/>
            </w:pPr>
            <w:r>
              <w:rPr>
                <w:rFonts w:hint="eastAsia"/>
              </w:rPr>
              <w:t xml:space="preserve">过剩供给回归强度</w:t>
            </w:r>
          </w:p>
        </w:tc>
        <w:tc>
          <w:tcPr/>
          <w:p>
            <w:pPr>
              <w:pStyle w:val="Compact"/>
              <w:jc w:val="right"/>
            </w:pPr>
            <w:r>
              <w:t xml:space="preserve">1.35</w:t>
            </w:r>
          </w:p>
        </w:tc>
        <w:tc>
          <w:tcPr/>
          <w:p>
            <w:pPr>
              <w:pStyle w:val="Compact"/>
              <w:jc w:val="right"/>
            </w:pPr>
            <w:r>
              <w:t xml:space="preserve">0.80–2.20</w:t>
            </w:r>
          </w:p>
        </w:tc>
        <w:tc>
          <w:tcPr/>
          <w:p>
            <w:pPr>
              <w:pStyle w:val="Compact"/>
              <w:jc w:val="left"/>
            </w:pPr>
            <w:r>
              <w:rPr>
                <w:rFonts w:hint="eastAsia"/>
              </w:rPr>
              <w:t xml:space="preserve">供给超过需求时向下修正目标价格的机制强度</w:t>
            </w:r>
          </w:p>
        </w:tc>
      </w:tr>
      <w:tr>
        <w:tc>
          <w:tcPr/>
          <w:p>
            <w:pPr>
              <w:pStyle w:val="Compact"/>
              <w:jc w:val="left"/>
            </w:pPr>
            <w:r>
              <w:rPr>
                <w:rFonts w:hint="eastAsia"/>
              </w:rPr>
              <w:t xml:space="preserve">封锁风险衰减速度</w:t>
            </w:r>
          </w:p>
        </w:tc>
        <w:tc>
          <w:tcPr/>
          <w:p>
            <w:pPr>
              <w:pStyle w:val="Compact"/>
              <w:jc w:val="right"/>
            </w:pPr>
            <w:r>
              <w:t xml:space="preserve">0.004</w:t>
            </w:r>
          </w:p>
        </w:tc>
        <w:tc>
          <w:tcPr/>
          <w:p>
            <w:pPr>
              <w:pStyle w:val="Compact"/>
              <w:jc w:val="right"/>
            </w:pPr>
            <w:r>
              <w:t xml:space="preserve">0.002–0.008</w:t>
            </w:r>
          </w:p>
        </w:tc>
        <w:tc>
          <w:tcPr/>
          <w:p>
            <w:pPr>
              <w:pStyle w:val="Compact"/>
              <w:jc w:val="left"/>
            </w:pPr>
            <w:r>
              <w:rPr>
                <w:rFonts w:hint="eastAsia"/>
              </w:rPr>
              <w:t xml:space="preserve">封锁风险溢价随时间被市场吸收的日度速度</w:t>
            </w:r>
          </w:p>
        </w:tc>
      </w:tr>
    </w:tbl>
    <w:bookmarkEnd w:id="114"/>
    <w:bookmarkStart w:id="117" w:name="长期参数来源与校验边界"/>
    <w:p>
      <w:pPr>
        <w:pStyle w:val="Heading2"/>
      </w:pPr>
      <w:r>
        <w:rPr>
          <w:rFonts w:hint="eastAsia"/>
        </w:rPr>
        <w:t xml:space="preserve">长期参数来源与校验边界</w:t>
      </w:r>
    </w:p>
    <w:p>
      <w:pPr>
        <w:pStyle w:val="FirstParagraph"/>
      </w:pPr>
      <w:r>
        <w:rPr>
          <w:rFonts w:hint="eastAsia"/>
        </w:rPr>
        <w:t xml:space="preserve">长期模型中的部分参数不是可以从附件直接读取的真实观测量，而是用于描述恢复速度、政策收缩和制度风险衰减的机制参数。本文对长期参数采用三条约束：一是方向必须来自赛题机制或能源市场逻辑；二是数值作为基准情景假设进入，不冒充官方统计数据；三是所有关键参数必须进入扰动区间、敏感性排序或蒙特卡洛检验。长期参数来源与校验方式见表</w:t>
      </w:r>
      <w:r>
        <w:t xml:space="preserve"> </w:t>
      </w:r>
      <w:hyperlink w:anchor="tab:long-parameter-audit">
        <w:r>
          <w:rPr>
            <w:rStyle w:val="Hyperlink"/>
          </w:rPr>
          <w:t xml:space="preserve">5</w:t>
        </w:r>
      </w:hyperlink>
      <w:r>
        <w:t xml:space="preserve">。</w:t>
      </w:r>
    </w:p>
    <w:bookmarkStart w:id="115" w:name="tab:long-parameter-audit"/>
    <w:p>
      <w:pPr>
        <w:pStyle w:val="TableCaption"/>
      </w:pPr>
      <w:r>
        <w:rPr>
          <w:rFonts w:hint="eastAsia"/>
        </w:rPr>
        <w:t xml:space="preserve">长期关键参数来源与校验方式</w:t>
      </w:r>
    </w:p>
    <w:tbl>
      <w:tblPr>
        <w:tblStyle w:val="Table"/>
        <w:tblW w:type="auto" w:w="0"/>
        <w:tblLook w:firstRow="1" w:lastRow="0" w:firstColumn="0" w:lastColumn="0" w:noHBand="0" w:noVBand="0" w:val="0020"/>
        <w:tblCaption w:val="长期关键参数来源与校验方式"/>
      </w:tblPr>
      <w:tblGrid>
        <w:gridCol w:w="2640"/>
        <w:gridCol w:w="2640"/>
        <w:gridCol w:w="2640"/>
      </w:tblGrid>
      <w:tr>
        <w:trPr>
          <w:tblHeader w:val="on"/>
        </w:trPr>
        <w:tc>
          <w:tcPr/>
          <w:p>
            <w:pPr>
              <w:pStyle w:val="Compact"/>
              <w:jc w:val="left"/>
            </w:pPr>
            <w:r>
              <w:rPr>
                <w:rFonts w:hint="eastAsia"/>
              </w:rPr>
              <w:t xml:space="preserve">参数组</w:t>
            </w:r>
          </w:p>
        </w:tc>
        <w:tc>
          <w:tcPr/>
          <w:p>
            <w:pPr>
              <w:pStyle w:val="Compact"/>
              <w:jc w:val="left"/>
            </w:pPr>
            <w:r>
              <w:rPr>
                <w:rFonts w:hint="eastAsia"/>
              </w:rPr>
              <w:t xml:space="preserve">来源逻辑</w:t>
            </w:r>
          </w:p>
        </w:tc>
        <w:tc>
          <w:tcPr/>
          <w:p>
            <w:pPr>
              <w:pStyle w:val="Compact"/>
              <w:jc w:val="left"/>
            </w:pPr>
            <w:r>
              <w:rPr>
                <w:rFonts w:hint="eastAsia"/>
              </w:rPr>
              <w:t xml:space="preserve">校验方式</w:t>
            </w:r>
          </w:p>
        </w:tc>
      </w:tr>
      <w:tr>
        <w:tc>
          <w:tcPr/>
          <w:p>
            <w:pPr>
              <w:pStyle w:val="Compact"/>
              <w:jc w:val="left"/>
            </w:pPr>
            <w:r>
              <w:t xml:space="preserve">SPR </w:t>
            </w:r>
            <w:r>
              <w:rPr>
                <w:rFonts w:hint="eastAsia"/>
              </w:rPr>
              <w:t xml:space="preserve">收缩起点与释放强度</w:t>
            </w:r>
          </w:p>
        </w:tc>
        <w:tc>
          <w:tcPr/>
          <w:p>
            <w:pPr>
              <w:pStyle w:val="Compact"/>
              <w:jc w:val="left"/>
            </w:pPr>
            <w:r>
              <w:rPr>
                <w:rFonts w:hint="eastAsia"/>
              </w:rPr>
              <w:t xml:space="preserve">来自赛题给出的</w:t>
            </w:r>
            <w:r>
              <w:t xml:space="preserve"> SPR </w:t>
            </w:r>
            <w:r>
              <w:rPr>
                <w:rFonts w:hint="eastAsia"/>
              </w:rPr>
              <w:t xml:space="preserve">缓冲机制，并结合</w:t>
            </w:r>
            <w:r>
              <w:rPr>
                <w:rFonts w:hint="eastAsia"/>
              </w:rPr>
              <w:t xml:space="preserve">“长期封锁下不能无限满额释放”</w:t>
            </w:r>
            <w:r>
              <w:rPr>
                <w:rFonts w:hint="eastAsia"/>
              </w:rPr>
              <w:t xml:space="preserve">的政策约束。</w:t>
            </w:r>
          </w:p>
        </w:tc>
        <w:tc>
          <w:tcPr/>
          <w:p>
            <w:pPr>
              <w:pStyle w:val="Compact"/>
              <w:jc w:val="left"/>
            </w:pPr>
            <w:r>
              <w:rPr>
                <w:rFonts w:hint="eastAsia"/>
              </w:rPr>
              <w:t xml:space="preserve">在</w:t>
            </w:r>
            <w:r>
              <w:t xml:space="preserve"> 60–105 </w:t>
            </w:r>
            <w:r>
              <w:rPr>
                <w:rFonts w:hint="eastAsia"/>
              </w:rPr>
              <w:t xml:space="preserve">天范围内扰动，检验其对第</w:t>
            </w:r>
            <w:r>
              <w:t xml:space="preserve"> 180 </w:t>
            </w:r>
            <w:r>
              <w:rPr>
                <w:rFonts w:hint="eastAsia"/>
              </w:rPr>
              <w:t xml:space="preserve">天价格和尾部峰值的影响。</w:t>
            </w:r>
          </w:p>
        </w:tc>
      </w:tr>
      <w:tr>
        <w:tc>
          <w:tcPr/>
          <w:p>
            <w:pPr>
              <w:pStyle w:val="Compact"/>
              <w:jc w:val="left"/>
            </w:pPr>
            <w:r>
              <w:rPr>
                <w:rFonts w:hint="eastAsia"/>
              </w:rPr>
              <w:t xml:space="preserve">冲击不确定性与制度风险</w:t>
            </w:r>
          </w:p>
        </w:tc>
        <w:tc>
          <w:tcPr/>
          <w:p>
            <w:pPr>
              <w:pStyle w:val="Compact"/>
              <w:jc w:val="left"/>
            </w:pPr>
            <w:r>
              <w:rPr>
                <w:rFonts w:hint="eastAsia"/>
              </w:rPr>
              <w:t xml:space="preserve">来自封锁未解除时保险、航运、二次升级和政策协调失败的持续风险。</w:t>
            </w:r>
          </w:p>
        </w:tc>
        <w:tc>
          <w:tcPr/>
          <w:p>
            <w:pPr>
              <w:pStyle w:val="Compact"/>
              <w:jc w:val="left"/>
            </w:pPr>
            <w:r>
              <w:rPr>
                <w:rFonts w:hint="eastAsia"/>
              </w:rPr>
              <w:t xml:space="preserve">与</w:t>
            </w:r>
            <w:r>
              <w:t xml:space="preserve"> GPR </w:t>
            </w:r>
            <w:r>
              <w:rPr>
                <w:rFonts w:hint="eastAsia"/>
              </w:rPr>
              <w:t xml:space="preserve">滞后检验、蒙特卡洛情景树和状态转移情景树合读，不作为同步价格拟合因子。</w:t>
            </w:r>
          </w:p>
        </w:tc>
      </w:tr>
      <w:tr>
        <w:tc>
          <w:tcPr/>
          <w:p>
            <w:pPr>
              <w:pStyle w:val="Compact"/>
              <w:jc w:val="left"/>
            </w:pPr>
            <w:r>
              <w:rPr>
                <w:rFonts w:hint="eastAsia"/>
              </w:rPr>
              <w:t xml:space="preserve">封锁风险衰减速度</w:t>
            </w:r>
          </w:p>
        </w:tc>
        <w:tc>
          <w:tcPr/>
          <w:p>
            <w:pPr>
              <w:pStyle w:val="Compact"/>
              <w:jc w:val="left"/>
            </w:pPr>
            <w:r>
              <w:rPr>
                <w:rFonts w:hint="eastAsia"/>
              </w:rPr>
              <w:t xml:space="preserve">表示市场对封锁信息逐步吸收和政策缓冲被确认后的风险消化速度。</w:t>
            </w:r>
          </w:p>
        </w:tc>
        <w:tc>
          <w:tcPr/>
          <w:p>
            <w:pPr>
              <w:pStyle w:val="Compact"/>
              <w:jc w:val="left"/>
            </w:pPr>
            <w:r>
              <w:rPr>
                <w:rFonts w:hint="eastAsia"/>
              </w:rPr>
              <w:t xml:space="preserve">设置</w:t>
            </w:r>
            <w:r>
              <w:t xml:space="preserve"> 0.002–0.008 </w:t>
            </w:r>
            <w:r>
              <w:rPr>
                <w:rFonts w:hint="eastAsia"/>
              </w:rPr>
              <w:t xml:space="preserve">日衰减率区间，并在敏感性分析中单独排序，避免隐藏常数。</w:t>
            </w:r>
          </w:p>
        </w:tc>
      </w:tr>
      <w:tr>
        <w:tc>
          <w:tcPr/>
          <w:p>
            <w:pPr>
              <w:pStyle w:val="Compact"/>
              <w:jc w:val="left"/>
            </w:pPr>
            <w:r>
              <w:rPr>
                <w:rFonts w:hint="eastAsia"/>
              </w:rPr>
              <w:t xml:space="preserve">过剩供给回归强度</w:t>
            </w:r>
          </w:p>
        </w:tc>
        <w:tc>
          <w:tcPr/>
          <w:p>
            <w:pPr>
              <w:pStyle w:val="Compact"/>
              <w:jc w:val="left"/>
            </w:pPr>
            <w:r>
              <w:rPr>
                <w:rFonts w:hint="eastAsia"/>
              </w:rPr>
              <w:t xml:space="preserve">表示当缓冲、增产和需求调整使供给压力缓解后，目标价格向下修正的速度。</w:t>
            </w:r>
          </w:p>
        </w:tc>
        <w:tc>
          <w:tcPr/>
          <w:p>
            <w:pPr>
              <w:pStyle w:val="Compact"/>
              <w:jc w:val="left"/>
            </w:pPr>
            <w:r>
              <w:rPr>
                <w:rFonts w:hint="eastAsia"/>
              </w:rPr>
              <w:t xml:space="preserve">通过扰动区间和情景曲线检验，防止中性路径被人为拉成固定直线。</w:t>
            </w:r>
          </w:p>
        </w:tc>
      </w:tr>
      <w:tr>
        <w:tc>
          <w:tcPr/>
          <w:p>
            <w:pPr>
              <w:pStyle w:val="Compact"/>
              <w:jc w:val="left"/>
            </w:pPr>
            <w:r>
              <w:rPr>
                <w:rFonts w:hint="eastAsia"/>
              </w:rPr>
              <w:t xml:space="preserve">其他产油国增产与绕道恢复</w:t>
            </w:r>
          </w:p>
        </w:tc>
        <w:tc>
          <w:tcPr/>
          <w:p>
            <w:pPr>
              <w:pStyle w:val="Compact"/>
              <w:jc w:val="left"/>
            </w:pPr>
            <w:r>
              <w:rPr>
                <w:rFonts w:hint="eastAsia"/>
              </w:rPr>
              <w:t xml:space="preserve">来自赛题要求的增产、运输瓶颈和绕道能力设定，并用</w:t>
            </w:r>
            <w:r>
              <w:t xml:space="preserve"> JODI </w:t>
            </w:r>
            <w:r>
              <w:rPr>
                <w:rFonts w:hint="eastAsia"/>
              </w:rPr>
              <w:t xml:space="preserve">多国月度产量、进出口和炼厂产出作数量级校验。</w:t>
            </w:r>
          </w:p>
        </w:tc>
        <w:tc>
          <w:tcPr/>
          <w:p>
            <w:pPr>
              <w:pStyle w:val="Compact"/>
              <w:jc w:val="left"/>
            </w:pPr>
            <w:r>
              <w:rPr>
                <w:rFonts w:hint="eastAsia"/>
              </w:rPr>
              <w:t xml:space="preserve">用于长期条件外推；JODI</w:t>
            </w:r>
            <w:r>
              <w:t xml:space="preserve"> </w:t>
            </w:r>
            <w:r>
              <w:rPr>
                <w:rFonts w:hint="eastAsia"/>
              </w:rPr>
              <w:t xml:space="preserve">按多国上报口径解释，不等同完整全球总量。</w:t>
            </w:r>
          </w:p>
        </w:tc>
      </w:tr>
    </w:tbl>
    <w:bookmarkEnd w:id="115"/>
    <w:p>
      <w:pPr>
        <w:pStyle w:val="BodyText"/>
      </w:pPr>
      <w:r>
        <w:rPr>
          <w:rFonts w:hint="eastAsia"/>
          <w:b/>
          <w:bCs/>
        </w:rPr>
        <w:t xml:space="preserve">关键结论</w:t>
      </w:r>
      <w:r>
        <w:rPr>
          <w:rFonts w:hint="eastAsia"/>
        </w:rPr>
        <w:t xml:space="preserve">长期参数的角色是描述机制强弱和恢复速度，而不是替代真实数据。本文把这些参数显式列出、放入扰动区间，并用敏感性和蒙特卡洛结果报告其不确定性。</w:t>
      </w:r>
    </w:p>
    <w:p>
      <w:pPr>
        <w:pStyle w:val="TableCaption"/>
      </w:pPr>
      <w:r>
        <w:rPr>
          <w:rFonts w:hint="eastAsia"/>
        </w:rPr>
        <w:t xml:space="preserve">三情景关键参数</w:t>
      </w:r>
    </w:p>
    <w:tbl>
      <w:tblPr>
        <w:tblStyle w:val="Table"/>
        <w:tblW w:type="auto" w:w="0"/>
        <w:tblLook w:firstRow="1" w:lastRow="0" w:firstColumn="0" w:lastColumn="0" w:noHBand="0" w:noVBand="0" w:val="0020"/>
        <w:tblCaption w:val="三情景关键参数"/>
      </w:tblPr>
      <w:tblGrid>
        <w:gridCol w:w="1131"/>
        <w:gridCol w:w="1131"/>
        <w:gridCol w:w="1131"/>
        <w:gridCol w:w="1131"/>
        <w:gridCol w:w="1131"/>
        <w:gridCol w:w="1131"/>
        <w:gridCol w:w="1131"/>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w:t>
            </w:r>
          </w:p>
        </w:tc>
        <w:tc>
          <w:tcPr/>
          <w:p>
            <w:pPr>
              <w:pStyle w:val="Compact"/>
              <w:jc w:val="right"/>
            </w:pPr>
            <w:r>
              <w:t xml:space="preserve">SPR </w:t>
            </w:r>
            <w:r>
              <w:rPr>
                <w:rFonts w:hint="eastAsia"/>
              </w:rPr>
              <w:t xml:space="preserve">上限</w:t>
            </w:r>
          </w:p>
        </w:tc>
        <w:tc>
          <w:tcPr/>
          <w:p>
            <w:pPr>
              <w:pStyle w:val="Compact"/>
              <w:jc w:val="right"/>
            </w:pPr>
            <w:r>
              <w:rPr>
                <w:rFonts w:hint="eastAsia"/>
              </w:rPr>
              <w:t xml:space="preserve">绕道能力</w:t>
            </w:r>
          </w:p>
        </w:tc>
        <w:tc>
          <w:tcPr/>
          <w:p>
            <w:pPr>
              <w:pStyle w:val="Compact"/>
              <w:jc w:val="right"/>
            </w:pPr>
            <w:r>
              <w:rPr>
                <w:rFonts w:hint="eastAsia"/>
              </w:rPr>
              <w:t xml:space="preserve">长期弹性</w:t>
            </w:r>
          </w:p>
        </w:tc>
        <w:tc>
          <w:tcPr/>
          <w:p>
            <w:pPr>
              <w:pStyle w:val="Compact"/>
              <w:jc w:val="right"/>
            </w:pPr>
            <w:r>
              <w:rPr>
                <w:rFonts w:hint="eastAsia"/>
              </w:rPr>
              <w:t xml:space="preserve">恐慌衰减</w:t>
            </w:r>
          </w:p>
        </w:tc>
        <w:tc>
          <w:tcPr/>
          <w:p>
            <w:pPr>
              <w:pStyle w:val="Compact"/>
              <w:jc w:val="right"/>
            </w:pPr>
            <w:r>
              <w:rPr>
                <w:rFonts w:hint="eastAsia"/>
              </w:rPr>
              <w:t xml:space="preserve">风险权重</w:t>
            </w:r>
          </w:p>
        </w:tc>
      </w:tr>
      <w:tr>
        <w:tc>
          <w:tcPr/>
          <w:p>
            <w:pPr>
              <w:pStyle w:val="Compact"/>
              <w:jc w:val="left"/>
            </w:pPr>
            <w:r>
              <w:rPr>
                <w:rFonts w:hint="eastAsia"/>
              </w:rPr>
              <w:t xml:space="preserve">乐观</w:t>
            </w:r>
          </w:p>
        </w:tc>
        <w:tc>
          <w:tcPr/>
          <w:p>
            <w:pPr>
              <w:pStyle w:val="Compact"/>
              <w:jc w:val="right"/>
            </w:pPr>
            <w:r>
              <w:t xml:space="preserve">1400</w:t>
            </w:r>
          </w:p>
        </w:tc>
        <w:tc>
          <w:tcPr/>
          <w:p>
            <w:pPr>
              <w:pStyle w:val="Compact"/>
              <w:jc w:val="right"/>
            </w:pPr>
            <w:r>
              <w:t xml:space="preserve">700</w:t>
            </w:r>
          </w:p>
        </w:tc>
        <w:tc>
          <w:tcPr/>
          <w:p>
            <w:pPr>
              <w:pStyle w:val="Compact"/>
              <w:jc w:val="right"/>
            </w:pPr>
            <w:r>
              <w:t xml:space="preserve">300</w:t>
            </w:r>
          </w:p>
        </w:tc>
        <w:tc>
          <w:tcPr/>
          <w:p>
            <w:pPr>
              <w:pStyle w:val="Compact"/>
              <w:jc w:val="right"/>
            </w:pPr>
            <w:r>
              <w:t xml:space="preserve">-0.25</w:t>
            </w:r>
          </w:p>
        </w:tc>
        <w:tc>
          <w:tcPr/>
          <w:p>
            <w:pPr>
              <w:pStyle w:val="Compact"/>
              <w:jc w:val="right"/>
            </w:pPr>
            <w:r>
              <w:t xml:space="preserve">0.12</w:t>
            </w:r>
          </w:p>
        </w:tc>
        <w:tc>
          <w:tcPr/>
          <w:p>
            <w:pPr>
              <w:pStyle w:val="Compact"/>
              <w:jc w:val="right"/>
            </w:pPr>
            <w:r>
              <w:t xml:space="preserve">2.02</w:t>
            </w:r>
          </w:p>
        </w:tc>
      </w:tr>
      <w:tr>
        <w:tc>
          <w:tcPr/>
          <w:p>
            <w:pPr>
              <w:pStyle w:val="Compact"/>
              <w:jc w:val="left"/>
            </w:pPr>
            <w:r>
              <w:rPr>
                <w:rFonts w:hint="eastAsia"/>
              </w:rPr>
              <w:t xml:space="preserve">中性</w:t>
            </w:r>
          </w:p>
        </w:tc>
        <w:tc>
          <w:tcPr/>
          <w:p>
            <w:pPr>
              <w:pStyle w:val="Compact"/>
              <w:jc w:val="right"/>
            </w:pPr>
            <w:r>
              <w:t xml:space="preserve">1493</w:t>
            </w:r>
          </w:p>
        </w:tc>
        <w:tc>
          <w:tcPr/>
          <w:p>
            <w:pPr>
              <w:pStyle w:val="Compact"/>
              <w:jc w:val="right"/>
            </w:pPr>
            <w:r>
              <w:t xml:space="preserve">670</w:t>
            </w:r>
          </w:p>
        </w:tc>
        <w:tc>
          <w:tcPr/>
          <w:p>
            <w:pPr>
              <w:pStyle w:val="Compact"/>
              <w:jc w:val="right"/>
            </w:pPr>
            <w:r>
              <w:t xml:space="preserve">237</w:t>
            </w:r>
          </w:p>
        </w:tc>
        <w:tc>
          <w:tcPr/>
          <w:p>
            <w:pPr>
              <w:pStyle w:val="Compact"/>
              <w:jc w:val="right"/>
            </w:pPr>
            <w:r>
              <w:t xml:space="preserve">-0.25</w:t>
            </w:r>
          </w:p>
        </w:tc>
        <w:tc>
          <w:tcPr/>
          <w:p>
            <w:pPr>
              <w:pStyle w:val="Compact"/>
              <w:jc w:val="right"/>
            </w:pPr>
            <w:r>
              <w:t xml:space="preserve">0.11</w:t>
            </w:r>
          </w:p>
        </w:tc>
        <w:tc>
          <w:tcPr/>
          <w:p>
            <w:pPr>
              <w:pStyle w:val="Compact"/>
              <w:jc w:val="right"/>
            </w:pPr>
            <w:r>
              <w:t xml:space="preserve">2.46</w:t>
            </w:r>
          </w:p>
        </w:tc>
      </w:tr>
      <w:tr>
        <w:tc>
          <w:tcPr/>
          <w:p>
            <w:pPr>
              <w:pStyle w:val="Compact"/>
              <w:jc w:val="left"/>
            </w:pPr>
            <w:r>
              <w:rPr>
                <w:rFonts w:hint="eastAsia"/>
              </w:rPr>
              <w:t xml:space="preserve">悲观</w:t>
            </w:r>
          </w:p>
        </w:tc>
        <w:tc>
          <w:tcPr/>
          <w:p>
            <w:pPr>
              <w:pStyle w:val="Compact"/>
              <w:jc w:val="right"/>
            </w:pPr>
            <w:r>
              <w:t xml:space="preserve">1800</w:t>
            </w:r>
          </w:p>
        </w:tc>
        <w:tc>
          <w:tcPr/>
          <w:p>
            <w:pPr>
              <w:pStyle w:val="Compact"/>
              <w:jc w:val="right"/>
            </w:pPr>
            <w:r>
              <w:t xml:space="preserve">200</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3.32</w:t>
            </w:r>
          </w:p>
        </w:tc>
      </w:tr>
    </w:tbl>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上限可信度和风险权重进行约束。得到的乘数见表</w:t>
      </w:r>
      <w:r>
        <w:t xml:space="preserve"> </w:t>
      </w:r>
      <w:hyperlink w:anchor="tab:official-factor-multipliers">
        <w:r>
          <w:rPr>
            <w:rStyle w:val="Hyperlink"/>
          </w:rPr>
          <w:t xml:space="preserve">6</w:t>
        </w:r>
      </w:hyperlink>
      <w:r>
        <w:t xml:space="preserve">。</w:t>
      </w:r>
    </w:p>
    <w:bookmarkStart w:id="116" w:name="tab:official-factor-multipliers"/>
    <w:p>
      <w:pPr>
        <w:pStyle w:val="TableCaption"/>
      </w:pPr>
      <w:r>
        <w:rPr>
          <w:rFonts w:hint="eastAsia"/>
        </w:rPr>
        <w:t xml:space="preserve">官方外生数据生成的长期参数约束因子</w:t>
      </w:r>
    </w:p>
    <w:tbl>
      <w:tblPr>
        <w:tblStyle w:val="Table"/>
        <w:tblW w:type="auto" w:w="0"/>
        <w:tblLook w:firstRow="1" w:lastRow="0" w:firstColumn="0" w:lastColumn="0" w:noHBand="0" w:noVBand="0" w:val="0020"/>
        <w:tblCaption w:val="官方外生数据生成的长期参数约束因子"/>
      </w:tblPr>
      <w:tblGrid>
        <w:gridCol w:w="2640"/>
        <w:gridCol w:w="2640"/>
        <w:gridCol w:w="2640"/>
      </w:tblGrid>
      <w:tr>
        <w:trPr>
          <w:tblHeader w:val="on"/>
        </w:trPr>
        <w:tc>
          <w:tcPr/>
          <w:p>
            <w:pPr>
              <w:pStyle w:val="Compact"/>
              <w:jc w:val="left"/>
            </w:pPr>
            <w:r>
              <w:rPr>
                <w:rFonts w:hint="eastAsia"/>
              </w:rPr>
              <w:t xml:space="preserve">约束因子</w:t>
            </w:r>
          </w:p>
        </w:tc>
        <w:tc>
          <w:tcPr/>
          <w:p>
            <w:pPr>
              <w:pStyle w:val="Compact"/>
              <w:jc w:val="right"/>
            </w:pPr>
            <w:r>
              <w:rPr>
                <w:rFonts w:hint="eastAsia"/>
              </w:rPr>
              <w:t xml:space="preserve">乘数</w:t>
            </w:r>
          </w:p>
        </w:tc>
        <w:tc>
          <w:tcPr/>
          <w:p>
            <w:pPr>
              <w:pStyle w:val="Compact"/>
              <w:jc w:val="left"/>
            </w:pPr>
            <w:r>
              <w:rPr>
                <w:rFonts w:hint="eastAsia"/>
              </w:rPr>
              <w:t xml:space="preserve">解释</w:t>
            </w:r>
          </w:p>
        </w:tc>
      </w:tr>
      <w:tr>
        <w:tc>
          <w:tcPr/>
          <w:p>
            <w:pPr>
              <w:pStyle w:val="Compact"/>
              <w:jc w:val="left"/>
            </w:pPr>
            <w:r>
              <w:rPr>
                <w:rFonts w:hint="eastAsia"/>
              </w:rPr>
              <w:t xml:space="preserve">绕道和替代贸易恢复能力</w:t>
            </w:r>
          </w:p>
        </w:tc>
        <w:tc>
          <w:tcPr/>
          <w:p>
            <w:pPr>
              <w:pStyle w:val="Compact"/>
              <w:jc w:val="right"/>
            </w:pPr>
            <w:r>
              <w:t xml:space="preserve">0.9725</w:t>
            </w:r>
          </w:p>
        </w:tc>
        <w:tc>
          <w:tcPr/>
          <w:p>
            <w:pPr>
              <w:pStyle w:val="Compact"/>
              <w:jc w:val="left"/>
            </w:pPr>
            <w:r>
              <w:t xml:space="preserve">JODI </w:t>
            </w:r>
            <w:r>
              <w:rPr>
                <w:rFonts w:hint="eastAsia"/>
              </w:rPr>
              <w:t xml:space="preserve">进出口同口径收缩，说明替代贸易恢复不宜过度乐观</w:t>
            </w:r>
          </w:p>
        </w:tc>
      </w:tr>
      <w:tr>
        <w:tc>
          <w:tcPr/>
          <w:p>
            <w:pPr>
              <w:pStyle w:val="Compact"/>
              <w:jc w:val="left"/>
            </w:pPr>
            <w:r>
              <w:rPr>
                <w:rFonts w:hint="eastAsia"/>
              </w:rPr>
              <w:t xml:space="preserve">商业库存日缓冲上限</w:t>
            </w:r>
          </w:p>
        </w:tc>
        <w:tc>
          <w:tcPr/>
          <w:p>
            <w:pPr>
              <w:pStyle w:val="Compact"/>
              <w:jc w:val="right"/>
            </w:pPr>
            <w:r>
              <w:t xml:space="preserve">1.0739</w:t>
            </w:r>
          </w:p>
        </w:tc>
        <w:tc>
          <w:tcPr/>
          <w:p>
            <w:pPr>
              <w:pStyle w:val="Compact"/>
              <w:jc w:val="left"/>
            </w:pPr>
            <w:r>
              <w:t xml:space="preserve">JODI </w:t>
            </w:r>
            <w:r>
              <w:rPr>
                <w:rFonts w:hint="eastAsia"/>
              </w:rPr>
              <w:t xml:space="preserve">原油/成品油库存和</w:t>
            </w:r>
            <w:r>
              <w:t xml:space="preserve"> EIA </w:t>
            </w:r>
            <w:r>
              <w:rPr>
                <w:rFonts w:hint="eastAsia"/>
              </w:rPr>
              <w:t xml:space="preserve">商业库存均提供缓冲数量级支撑</w:t>
            </w:r>
          </w:p>
        </w:tc>
      </w:tr>
      <w:tr>
        <w:tc>
          <w:tcPr/>
          <w:p>
            <w:pPr>
              <w:pStyle w:val="Compact"/>
              <w:jc w:val="left"/>
            </w:pPr>
            <w:r>
              <w:rPr>
                <w:rFonts w:hint="eastAsia"/>
              </w:rPr>
              <w:t xml:space="preserve">长期需求收缩幅度</w:t>
            </w:r>
          </w:p>
        </w:tc>
        <w:tc>
          <w:tcPr/>
          <w:p>
            <w:pPr>
              <w:pStyle w:val="Compact"/>
              <w:jc w:val="right"/>
            </w:pPr>
            <w:r>
              <w:t xml:space="preserve">0.9560</w:t>
            </w:r>
          </w:p>
        </w:tc>
        <w:tc>
          <w:tcPr/>
          <w:p>
            <w:pPr>
              <w:pStyle w:val="Compact"/>
              <w:jc w:val="left"/>
            </w:pPr>
            <w:r>
              <w:t xml:space="preserve">JODI </w:t>
            </w:r>
            <w:r>
              <w:rPr>
                <w:rFonts w:hint="eastAsia"/>
              </w:rPr>
              <w:t xml:space="preserve">与</w:t>
            </w:r>
            <w:r>
              <w:t xml:space="preserve"> OPEC </w:t>
            </w:r>
            <w:r>
              <w:rPr>
                <w:rFonts w:hint="eastAsia"/>
              </w:rPr>
              <w:t xml:space="preserve">均显示需求韧性，需求破坏不宜设得过强</w:t>
            </w:r>
          </w:p>
        </w:tc>
      </w:tr>
      <w:tr>
        <w:tc>
          <w:tcPr/>
          <w:p>
            <w:pPr>
              <w:pStyle w:val="Compact"/>
              <w:jc w:val="left"/>
            </w:pPr>
            <w:r>
              <w:rPr>
                <w:rFonts w:hint="eastAsia"/>
              </w:rPr>
              <w:t xml:space="preserve">长期需求弹性绝对值</w:t>
            </w:r>
          </w:p>
        </w:tc>
        <w:tc>
          <w:tcPr/>
          <w:p>
            <w:pPr>
              <w:pStyle w:val="Compact"/>
              <w:jc w:val="right"/>
            </w:pPr>
            <w:r>
              <w:t xml:space="preserve">0.9750</w:t>
            </w:r>
          </w:p>
        </w:tc>
        <w:tc>
          <w:tcPr/>
          <w:p>
            <w:pPr>
              <w:pStyle w:val="Compact"/>
              <w:jc w:val="left"/>
            </w:pPr>
            <w:r>
              <w:rPr>
                <w:rFonts w:hint="eastAsia"/>
              </w:rPr>
              <w:t xml:space="preserve">高价下需求会调整，但</w:t>
            </w:r>
            <w:r>
              <w:t xml:space="preserve"> OPEC </w:t>
            </w:r>
            <w:r>
              <w:rPr>
                <w:rFonts w:hint="eastAsia"/>
              </w:rPr>
              <w:t xml:space="preserve">正常需求增长使长期弹性略收敛</w:t>
            </w:r>
          </w:p>
        </w:tc>
      </w:tr>
      <w:tr>
        <w:tc>
          <w:tcPr/>
          <w:p>
            <w:pPr>
              <w:pStyle w:val="Compact"/>
              <w:jc w:val="left"/>
            </w:pPr>
            <w:r>
              <w:t xml:space="preserve">SPR </w:t>
            </w:r>
            <w:r>
              <w:rPr>
                <w:rFonts w:hint="eastAsia"/>
              </w:rPr>
              <w:t xml:space="preserve">释放上限可信度</w:t>
            </w:r>
          </w:p>
        </w:tc>
        <w:tc>
          <w:tcPr/>
          <w:p>
            <w:pPr>
              <w:pStyle w:val="Compact"/>
              <w:jc w:val="right"/>
            </w:pPr>
            <w:r>
              <w:t xml:space="preserve">0.9672</w:t>
            </w:r>
          </w:p>
        </w:tc>
        <w:tc>
          <w:tcPr/>
          <w:p>
            <w:pPr>
              <w:pStyle w:val="Compact"/>
              <w:jc w:val="left"/>
            </w:pPr>
            <w:r>
              <w:t xml:space="preserve">EIA </w:t>
            </w:r>
            <w:r>
              <w:rPr>
                <w:rFonts w:hint="eastAsia"/>
              </w:rPr>
              <w:t xml:space="preserve">美国</w:t>
            </w:r>
            <w:r>
              <w:t xml:space="preserve"> SPR </w:t>
            </w:r>
            <w:r>
              <w:rPr>
                <w:rFonts w:hint="eastAsia"/>
              </w:rPr>
              <w:t xml:space="preserve">实际释放较温和，因此全球协调释放上限作小幅折扣</w:t>
            </w:r>
          </w:p>
        </w:tc>
      </w:tr>
      <w:tr>
        <w:tc>
          <w:tcPr/>
          <w:p>
            <w:pPr>
              <w:pStyle w:val="Compact"/>
              <w:jc w:val="left"/>
            </w:pPr>
            <w:r>
              <w:rPr>
                <w:rFonts w:hint="eastAsia"/>
              </w:rPr>
              <w:t xml:space="preserve">贸易收缩风险权重</w:t>
            </w:r>
          </w:p>
        </w:tc>
        <w:tc>
          <w:tcPr/>
          <w:p>
            <w:pPr>
              <w:pStyle w:val="Compact"/>
              <w:jc w:val="right"/>
            </w:pPr>
            <w:r>
              <w:t xml:space="preserve">1.0543</w:t>
            </w:r>
          </w:p>
        </w:tc>
        <w:tc>
          <w:tcPr/>
          <w:p>
            <w:pPr>
              <w:pStyle w:val="Compact"/>
              <w:jc w:val="left"/>
            </w:pPr>
            <w:r>
              <w:t xml:space="preserve">JODI </w:t>
            </w:r>
            <w:r>
              <w:rPr>
                <w:rFonts w:hint="eastAsia"/>
              </w:rPr>
              <w:t xml:space="preserve">进出口收缩叠加</w:t>
            </w:r>
            <w:r>
              <w:t xml:space="preserve"> OPEC DoC </w:t>
            </w:r>
            <w:r>
              <w:rPr>
                <w:rFonts w:hint="eastAsia"/>
              </w:rPr>
              <w:t xml:space="preserve">需求差额上升，抬升尾部风险</w:t>
            </w:r>
          </w:p>
        </w:tc>
      </w:tr>
      <w:tr>
        <w:tc>
          <w:tcPr/>
          <w:p>
            <w:pPr>
              <w:pStyle w:val="Compact"/>
              <w:jc w:val="left"/>
            </w:pPr>
            <w:r>
              <w:rPr>
                <w:rFonts w:hint="eastAsia"/>
              </w:rPr>
              <w:t xml:space="preserve">长期不确定性强度</w:t>
            </w:r>
          </w:p>
        </w:tc>
        <w:tc>
          <w:tcPr/>
          <w:p>
            <w:pPr>
              <w:pStyle w:val="Compact"/>
              <w:jc w:val="right"/>
            </w:pPr>
            <w:r>
              <w:t xml:space="preserve">1.0303</w:t>
            </w:r>
          </w:p>
        </w:tc>
        <w:tc>
          <w:tcPr/>
          <w:p>
            <w:pPr>
              <w:pStyle w:val="Compact"/>
              <w:jc w:val="left"/>
            </w:pPr>
            <w:r>
              <w:rPr>
                <w:rFonts w:hint="eastAsia"/>
              </w:rPr>
              <w:t xml:space="preserve">贸易收缩和下半年需求差额峰值使制度风险略上调</w:t>
            </w:r>
          </w:p>
        </w:tc>
      </w:tr>
    </w:tbl>
    <w:bookmarkEnd w:id="116"/>
    <w:bookmarkEnd w:id="117"/>
    <w:bookmarkStart w:id="133" w:name="预测结果"/>
    <w:p>
      <w:pPr>
        <w:pStyle w:val="Heading2"/>
      </w:pPr>
      <w:r>
        <w:rPr>
          <w:rFonts w:hint="eastAsia"/>
        </w:rPr>
        <w:t xml:space="preserve">预测结果</w:t>
      </w:r>
    </w:p>
    <w:p>
      <w:pPr>
        <w:pStyle w:val="TableCaption"/>
      </w:pPr>
      <w:r>
        <w:t xml:space="preserve">60–180 </w:t>
      </w:r>
      <w:r>
        <w:rPr>
          <w:rFonts w:hint="eastAsia"/>
        </w:rPr>
        <w:t xml:space="preserve">天三情景预测结果</w:t>
      </w:r>
    </w:p>
    <w:tbl>
      <w:tblPr>
        <w:tblStyle w:val="Table"/>
        <w:tblW w:type="auto" w:w="0"/>
        <w:tblLook w:firstRow="1" w:lastRow="0" w:firstColumn="0" w:lastColumn="0" w:noHBand="0" w:noVBand="0" w:val="0020"/>
        <w:tblCaption w:val="60–180 天三情景预测结果"/>
      </w:tblPr>
      <w:tblGrid>
        <w:gridCol w:w="990"/>
        <w:gridCol w:w="990"/>
        <w:gridCol w:w="990"/>
        <w:gridCol w:w="990"/>
        <w:gridCol w:w="990"/>
        <w:gridCol w:w="990"/>
        <w:gridCol w:w="990"/>
        <w:gridCol w:w="990"/>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第60天</w:t>
            </w:r>
          </w:p>
        </w:tc>
        <w:tc>
          <w:tcPr/>
          <w:p>
            <w:pPr>
              <w:pStyle w:val="Compact"/>
              <w:jc w:val="right"/>
            </w:pPr>
            <w:r>
              <w:rPr>
                <w:rFonts w:hint="eastAsia"/>
              </w:rPr>
              <w:t xml:space="preserve">第90天</w:t>
            </w:r>
          </w:p>
        </w:tc>
        <w:tc>
          <w:tcPr/>
          <w:p>
            <w:pPr>
              <w:pStyle w:val="Compact"/>
              <w:jc w:val="right"/>
            </w:pPr>
            <w:r>
              <w:rPr>
                <w:rFonts w:hint="eastAsia"/>
              </w:rPr>
              <w:t xml:space="preserve">第120天</w:t>
            </w:r>
          </w:p>
        </w:tc>
        <w:tc>
          <w:tcPr/>
          <w:p>
            <w:pPr>
              <w:pStyle w:val="Compact"/>
              <w:jc w:val="right"/>
            </w:pPr>
            <w:r>
              <w:rPr>
                <w:rFonts w:hint="eastAsia"/>
              </w:rPr>
              <w:t xml:space="preserve">第180天</w:t>
            </w:r>
          </w:p>
        </w:tc>
        <w:tc>
          <w:tcPr/>
          <w:p>
            <w:pPr>
              <w:pStyle w:val="Compact"/>
              <w:jc w:val="right"/>
            </w:pPr>
            <w:r>
              <w:rPr>
                <w:rFonts w:hint="eastAsia"/>
              </w:rPr>
              <w:t xml:space="preserve">外推期最高价</w:t>
            </w:r>
          </w:p>
        </w:tc>
        <w:tc>
          <w:tcPr/>
          <w:p>
            <w:pPr>
              <w:pStyle w:val="Compact"/>
              <w:jc w:val="right"/>
            </w:pPr>
            <w:r>
              <w:rPr>
                <w:rFonts w:hint="eastAsia"/>
              </w:rPr>
              <w:t xml:space="preserve">外推期均价</w:t>
            </w:r>
          </w:p>
        </w:tc>
        <w:tc>
          <w:tcPr/>
          <w:p>
            <w:pPr>
              <w:pStyle w:val="Compact"/>
              <w:jc w:val="right"/>
            </w:pPr>
            <w:r>
              <w:rPr>
                <w:rFonts w:hint="eastAsia"/>
              </w:rPr>
              <w:t xml:space="preserve">风险</w:t>
            </w:r>
          </w:p>
        </w:tc>
      </w:tr>
      <w:tr>
        <w:tc>
          <w:tcPr/>
          <w:p>
            <w:pPr>
              <w:pStyle w:val="Compact"/>
              <w:jc w:val="left"/>
            </w:pPr>
            <w:r>
              <w:rPr>
                <w:rFonts w:hint="eastAsia"/>
              </w:rPr>
              <w:t xml:space="preserve">乐观</w:t>
            </w:r>
          </w:p>
        </w:tc>
        <w:tc>
          <w:tcPr/>
          <w:p>
            <w:pPr>
              <w:pStyle w:val="Compact"/>
              <w:jc w:val="right"/>
            </w:pPr>
            <w:r>
              <w:t xml:space="preserve">109.77</w:t>
            </w:r>
          </w:p>
        </w:tc>
        <w:tc>
          <w:tcPr/>
          <w:p>
            <w:pPr>
              <w:pStyle w:val="Compact"/>
              <w:jc w:val="right"/>
            </w:pPr>
            <w:r>
              <w:t xml:space="preserve">94.36</w:t>
            </w:r>
          </w:p>
        </w:tc>
        <w:tc>
          <w:tcPr/>
          <w:p>
            <w:pPr>
              <w:pStyle w:val="Compact"/>
              <w:jc w:val="right"/>
            </w:pPr>
            <w:r>
              <w:t xml:space="preserve">92.79</w:t>
            </w:r>
          </w:p>
        </w:tc>
        <w:tc>
          <w:tcPr/>
          <w:p>
            <w:pPr>
              <w:pStyle w:val="Compact"/>
              <w:jc w:val="right"/>
            </w:pPr>
            <w:r>
              <w:t xml:space="preserve">87.78</w:t>
            </w:r>
          </w:p>
        </w:tc>
        <w:tc>
          <w:tcPr/>
          <w:p>
            <w:pPr>
              <w:pStyle w:val="Compact"/>
              <w:jc w:val="right"/>
            </w:pPr>
            <w:r>
              <w:t xml:space="preserve">103.79</w:t>
            </w:r>
          </w:p>
        </w:tc>
        <w:tc>
          <w:tcPr/>
          <w:p>
            <w:pPr>
              <w:pStyle w:val="Compact"/>
              <w:jc w:val="right"/>
            </w:pPr>
            <w:r>
              <w:t xml:space="preserve">92.16</w:t>
            </w:r>
          </w:p>
        </w:tc>
        <w:tc>
          <w:tcPr/>
          <w:p>
            <w:pPr>
              <w:pStyle w:val="Compact"/>
              <w:jc w:val="right"/>
            </w:pPr>
            <w:r>
              <w:rPr>
                <w:rFonts w:hint="eastAsia"/>
              </w:rPr>
              <w:t xml:space="preserve">低</w:t>
            </w:r>
          </w:p>
        </w:tc>
      </w:tr>
      <w:tr>
        <w:tc>
          <w:tcPr/>
          <w:p>
            <w:pPr>
              <w:pStyle w:val="Compact"/>
              <w:jc w:val="left"/>
            </w:pPr>
            <w:r>
              <w:rPr>
                <w:rFonts w:hint="eastAsia"/>
              </w:rPr>
              <w:t xml:space="preserve">中性</w:t>
            </w:r>
          </w:p>
        </w:tc>
        <w:tc>
          <w:tcPr/>
          <w:p>
            <w:pPr>
              <w:pStyle w:val="Compact"/>
              <w:jc w:val="right"/>
            </w:pPr>
            <w:r>
              <w:t xml:space="preserve">109.77</w:t>
            </w:r>
          </w:p>
        </w:tc>
        <w:tc>
          <w:tcPr/>
          <w:p>
            <w:pPr>
              <w:pStyle w:val="Compact"/>
              <w:jc w:val="right"/>
            </w:pPr>
            <w:r>
              <w:t xml:space="preserve">107.12</w:t>
            </w:r>
          </w:p>
        </w:tc>
        <w:tc>
          <w:tcPr/>
          <w:p>
            <w:pPr>
              <w:pStyle w:val="Compact"/>
              <w:jc w:val="right"/>
            </w:pPr>
            <w:r>
              <w:t xml:space="preserve">102.43</w:t>
            </w:r>
          </w:p>
        </w:tc>
        <w:tc>
          <w:tcPr/>
          <w:p>
            <w:pPr>
              <w:pStyle w:val="Compact"/>
              <w:jc w:val="right"/>
            </w:pPr>
            <w:r>
              <w:t xml:space="preserve">94.15</w:t>
            </w:r>
          </w:p>
        </w:tc>
        <w:tc>
          <w:tcPr/>
          <w:p>
            <w:pPr>
              <w:pStyle w:val="Compact"/>
              <w:jc w:val="right"/>
            </w:pPr>
            <w:r>
              <w:t xml:space="preserve">110.68</w:t>
            </w:r>
          </w:p>
        </w:tc>
        <w:tc>
          <w:tcPr/>
          <w:p>
            <w:pPr>
              <w:pStyle w:val="Compact"/>
              <w:jc w:val="right"/>
            </w:pPr>
            <w:r>
              <w:t xml:space="preserve">102.17</w:t>
            </w:r>
          </w:p>
        </w:tc>
        <w:tc>
          <w:tcPr/>
          <w:p>
            <w:pPr>
              <w:pStyle w:val="Compact"/>
              <w:jc w:val="right"/>
            </w:pPr>
            <w:r>
              <w:rPr>
                <w:rFonts w:hint="eastAsia"/>
              </w:rPr>
              <w:t xml:space="preserve">低</w:t>
            </w:r>
          </w:p>
        </w:tc>
      </w:tr>
      <w:tr>
        <w:tc>
          <w:tcPr/>
          <w:p>
            <w:pPr>
              <w:pStyle w:val="Compact"/>
              <w:jc w:val="left"/>
            </w:pPr>
            <w:r>
              <w:rPr>
                <w:rFonts w:hint="eastAsia"/>
              </w:rPr>
              <w:t xml:space="preserve">悲观</w:t>
            </w:r>
          </w:p>
        </w:tc>
        <w:tc>
          <w:tcPr/>
          <w:p>
            <w:pPr>
              <w:pStyle w:val="Compact"/>
              <w:jc w:val="right"/>
            </w:pPr>
            <w:r>
              <w:t xml:space="preserve">109.77</w:t>
            </w:r>
          </w:p>
        </w:tc>
        <w:tc>
          <w:tcPr/>
          <w:p>
            <w:pPr>
              <w:pStyle w:val="Compact"/>
              <w:jc w:val="right"/>
            </w:pPr>
            <w:r>
              <w:t xml:space="preserve">127.81</w:t>
            </w:r>
          </w:p>
        </w:tc>
        <w:tc>
          <w:tcPr/>
          <w:p>
            <w:pPr>
              <w:pStyle w:val="Compact"/>
              <w:jc w:val="right"/>
            </w:pPr>
            <w:r>
              <w:t xml:space="preserve">118.64</w:t>
            </w:r>
          </w:p>
        </w:tc>
        <w:tc>
          <w:tcPr/>
          <w:p>
            <w:pPr>
              <w:pStyle w:val="Compact"/>
              <w:jc w:val="right"/>
            </w:pPr>
            <w:r>
              <w:t xml:space="preserve">110.16</w:t>
            </w:r>
          </w:p>
        </w:tc>
        <w:tc>
          <w:tcPr/>
          <w:p>
            <w:pPr>
              <w:pStyle w:val="Compact"/>
              <w:jc w:val="right"/>
            </w:pPr>
            <w:r>
              <w:t xml:space="preserve">133.91</w:t>
            </w:r>
          </w:p>
        </w:tc>
        <w:tc>
          <w:tcPr/>
          <w:p>
            <w:pPr>
              <w:pStyle w:val="Compact"/>
              <w:jc w:val="right"/>
            </w:pPr>
            <w:r>
              <w:t xml:space="preserve">120.01</w:t>
            </w:r>
          </w:p>
        </w:tc>
        <w:tc>
          <w:tcPr/>
          <w:p>
            <w:pPr>
              <w:pStyle w:val="Compact"/>
              <w:jc w:val="right"/>
            </w:pPr>
            <w:r>
              <w:rPr>
                <w:rFonts w:hint="eastAsia"/>
              </w:rPr>
              <w:t xml:space="preserve">高</w:t>
            </w:r>
          </w:p>
        </w:tc>
      </w:tr>
    </w:tbl>
    <w:bookmarkStart w:id="121" w:name="fig:long-term-fan"/>
    <w:p>
      <w:pPr>
        <w:pStyle w:val="CaptionedFigure"/>
      </w:pPr>
      <w:r>
        <w:drawing>
          <wp:inline>
            <wp:extent cx="5227320" cy="2777013"/>
            <wp:effectExtent b="0" l="0" r="0" t="0"/>
            <wp:docPr descr="" title="" id="119" name="Picture"/>
            <a:graphic>
              <a:graphicData uri="http://schemas.openxmlformats.org/drawingml/2006/picture">
                <pic:pic>
                  <pic:nvPicPr>
                    <pic:cNvPr descr="蒙特卡洛情景树高级组合图.png" id="120" name="Picture"/>
                    <pic:cNvPicPr>
                      <a:picLocks noChangeArrowheads="1" noChangeAspect="1"/>
                    </pic:cNvPicPr>
                  </pic:nvPicPr>
                  <pic:blipFill>
                    <a:blip r:embed="rId118"/>
                    <a:stretch>
                      <a:fillRect/>
                    </a:stretch>
                  </pic:blipFill>
                  <pic:spPr bwMode="auto">
                    <a:xfrm>
                      <a:off x="0" y="0"/>
                      <a:ext cx="5227320" cy="2777013"/>
                    </a:xfrm>
                    <a:prstGeom prst="rect">
                      <a:avLst/>
                    </a:prstGeom>
                    <a:noFill/>
                    <a:ln w="9525">
                      <a:noFill/>
                      <a:headEnd/>
                      <a:tailEnd/>
                    </a:ln>
                  </pic:spPr>
                </pic:pic>
              </a:graphicData>
            </a:graphic>
          </wp:inline>
        </w:drawing>
      </w:r>
    </w:p>
    <w:p>
      <w:pPr>
        <w:pStyle w:val="ImageCaption"/>
      </w:pPr>
      <w:r>
        <w:rPr>
          <w:rFonts w:hint="eastAsia"/>
        </w:rPr>
        <w:t xml:space="preserve">长期情景预测主图：蒙特卡洛情景树高级组合图。左侧展示中心路径、抽样路径云和</w:t>
      </w:r>
      <w:r>
        <w:t xml:space="preserve"> 5%–95% / 25%–75% </w:t>
      </w:r>
      <w:r>
        <w:rPr>
          <w:rFonts w:hint="eastAsia"/>
        </w:rPr>
        <w:t xml:space="preserve">条件区间，右上展示第</w:t>
      </w:r>
      <w:r>
        <w:t xml:space="preserve"> 180 </w:t>
      </w:r>
      <w:r>
        <w:rPr>
          <w:rFonts w:hint="eastAsia"/>
        </w:rPr>
        <w:t xml:space="preserve">天终点分布，右下展示外推期突破</w:t>
      </w:r>
      <w:r>
        <w:t xml:space="preserve"> 120、130 </w:t>
      </w:r>
      <w:r>
        <w:rPr>
          <w:rFonts w:hint="eastAsia"/>
        </w:rPr>
        <w:t xml:space="preserve">美元/桶的累计概率曲线；该图证明长期结论应读作条件区间和尾部概率，而不是单点预测。</w:t>
      </w:r>
    </w:p>
    <w:bookmarkEnd w:id="121"/>
    <w:p>
      <w:pPr>
        <w:pStyle w:val="CaptionedFigure"/>
      </w:pPr>
      <w:r>
        <w:drawing>
          <wp:inline>
            <wp:extent cx="5013960" cy="2757678"/>
            <wp:effectExtent b="0" l="0" r="0" t="0"/>
            <wp:docPr descr="" title="" id="123" name="Picture"/>
            <a:graphic>
              <a:graphicData uri="http://schemas.openxmlformats.org/drawingml/2006/picture">
                <pic:pic>
                  <pic:nvPicPr>
                    <pic:cNvPr descr="短期拟合与长期预测总览.png" id="124" name="Picture"/>
                    <pic:cNvPicPr>
                      <a:picLocks noChangeArrowheads="1" noChangeAspect="1"/>
                    </pic:cNvPicPr>
                  </pic:nvPicPr>
                  <pic:blipFill>
                    <a:blip r:embed="rId122"/>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短期机制拟合与</w:t>
      </w:r>
      <w:r>
        <w:t xml:space="preserve"> 60–180 </w:t>
      </w:r>
      <w:r>
        <w:rPr>
          <w:rFonts w:hint="eastAsia"/>
        </w:rPr>
        <w:t xml:space="preserve">天三情景预测总览。竖线左侧为附件真实数据与短期模型拟合，竖线右侧为情景外推，不作为真实观测。</w:t>
      </w:r>
    </w:p>
    <w:p>
      <w:pPr>
        <w:pStyle w:val="BodyText"/>
      </w:pPr>
      <w:r>
        <w:rPr>
          <w:rFonts w:hint="eastAsia"/>
        </w:rPr>
        <w:t xml:space="preserve">图</w:t>
      </w:r>
      <w:r>
        <w:t xml:space="preserve"> </w:t>
      </w:r>
      <w:hyperlink w:anchor="fig:long-term-fan">
        <w:r>
          <w:rPr>
            <w:rStyle w:val="Hyperlink"/>
          </w:rPr>
          <w:t xml:space="preserve">6</w:t>
        </w:r>
      </w:hyperlink>
      <w:r>
        <w:t xml:space="preserve"> </w:t>
      </w:r>
      <w:r>
        <w:rPr>
          <w:rFonts w:hint="eastAsia"/>
        </w:rPr>
        <w:t xml:space="preserve">给出长期情景预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与实现波动率相关性生成综合状态转移压力，用于温和提高早中期升级概率。这样得到的长期图由中心路径、状态概率和尾部区间共同构成。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0.90</m:t>
                    </m:r>
                  </m:e>
                  <m:e>
                    <m:r>
                      <m:t>0.09</m:t>
                    </m:r>
                  </m:e>
                  <m:e>
                    <m:r>
                      <m:t>0.01</m:t>
                    </m:r>
                  </m:e>
                </m:mr>
                <m:mr>
                  <m:e>
                    <m:r>
                      <m:t>0.16</m:t>
                    </m:r>
                  </m:e>
                  <m:e>
                    <m:r>
                      <m:t>0.78</m:t>
                    </m:r>
                  </m:e>
                  <m:e>
                    <m:r>
                      <m:t>0.06</m:t>
                    </m:r>
                  </m:e>
                </m:mr>
                <m:mr>
                  <m:e>
                    <m:r>
                      <m:t>0.07</m:t>
                    </m:r>
                  </m:e>
                  <m:e>
                    <m:r>
                      <m:t>0.24</m:t>
                    </m:r>
                  </m:e>
                  <m:e>
                    <m:r>
                      <m:t>0.69</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矩阵含义见表</w:t>
      </w:r>
      <w:r>
        <w:t xml:space="preserve"> </w:t>
      </w:r>
      <w:hyperlink w:anchor="tab:state-transition-matrix">
        <w:r>
          <w:rPr>
            <w:rStyle w:val="Hyperlink"/>
          </w:rPr>
          <w:t xml:space="preserve">7</w:t>
        </w:r>
      </w:hyperlink>
      <w:r>
        <w:rPr>
          <w:rFonts w:hint="eastAsia"/>
        </w:rPr>
        <w:t xml:space="preserve">。基础矩阵体现三个假设：缓和状态具有较强持续性，维持状态是最常见的中间状态，升级状态也可能持续但更容易回到维持状态。外部风险读数通过综合压力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140</m:t>
                  </m:r>
                </m:den>
              </m:f>
              <m:r>
                <m:rPr>
                  <m:sty m:val="p"/>
                </m:rPr>
                <m:t>,</m:t>
              </m:r>
              <m:r>
                <m:t>0.18</m:t>
              </m:r>
              <m:r>
                <m:rPr>
                  <m:sty m:val="p"/>
                </m:rPr>
                <m:t>,</m:t>
              </m:r>
              <m:r>
                <m:t>1</m:t>
              </m:r>
            </m:e>
          </m:d>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。对基础矩阵第</w:t>
      </w:r>
      <w:r>
        <w:t xml:space="preserve"> </w:t>
      </w:r>
      <m:oMath>
        <m:r>
          <m:t>i</m:t>
        </m:r>
      </m:oMath>
      <w:r>
        <w:t xml:space="preserve"> </w:t>
      </w:r>
      <w:r>
        <w:rPr>
          <w:rFonts w:hint="eastAsia"/>
        </w:rPr>
        <w:t xml:space="preserve">行</w:t>
      </w:r>
      <w:r>
        <w:t xml:space="preserve"> </w:t>
      </w:r>
      <m:oMath>
        <m:sSub>
          <m:e>
            <m:r>
              <m:t>m</m:t>
            </m:r>
          </m:e>
          <m:sub>
            <m:r>
              <m:t>i</m:t>
            </m:r>
          </m:sub>
        </m:sSub>
        <m:r>
          <m:rPr>
            <m:sty m:val="p"/>
          </m:rPr>
          <m:t>(</m:t>
        </m:r>
        <m:r>
          <m:t>t</m:t>
        </m:r>
        <m:r>
          <m:rPr>
            <m:sty m:val="p"/>
          </m:rPr>
          <m:t>)</m:t>
        </m:r>
      </m:oMath>
      <w:r>
        <w:t xml:space="preserve"> </w:t>
      </w:r>
      <w:r>
        <w:rPr>
          <w:rFonts w:hint="eastAsia"/>
        </w:rPr>
        <w:t xml:space="preserve">的修正为</w:t>
      </w:r>
    </w:p>
    <w:p>
      <w:pPr>
        <w:pStyle w:val="BodyText"/>
      </w:pPr>
      <m:oMathPara>
        <m:oMathParaPr>
          <m:jc m:val="center"/>
        </m:oMathParaPr>
        <m:oMath>
          <m:sSub>
            <m:e>
              <m:acc>
                <m:accPr>
                  <m:chr m:val="̃"/>
                </m:accPr>
                <m:e>
                  <m:r>
                    <m:t>m</m:t>
                  </m:r>
                </m:e>
              </m:acc>
            </m:e>
            <m:sub>
              <m:r>
                <m:t>i</m:t>
              </m:r>
              <m:r>
                <m:rPr>
                  <m:sty m:val="p"/>
                </m:rPr>
                <m:t>,</m:t>
              </m:r>
              <m:r>
                <m:t>E</m:t>
              </m:r>
            </m:sub>
          </m:sSub>
          <m:r>
            <m:rPr>
              <m:sty m:val="p"/>
            </m:rPr>
            <m:t>(</m:t>
          </m:r>
          <m:r>
            <m:t>t</m:t>
          </m:r>
          <m:r>
            <m:rPr>
              <m:sty m:val="p"/>
            </m:rPr>
            <m:t>)</m:t>
          </m:r>
          <m:r>
            <m:rPr>
              <m:sty m:val="p"/>
            </m:rPr>
            <m:t>=</m:t>
          </m:r>
          <m:sSub>
            <m:e>
              <m:r>
                <m:t>m</m:t>
              </m:r>
            </m:e>
            <m:sub>
              <m:r>
                <m:t>i</m:t>
              </m:r>
              <m:r>
                <m:rPr>
                  <m:sty m:val="p"/>
                </m:rPr>
                <m:t>,</m:t>
              </m:r>
              <m:r>
                <m:t>E</m:t>
              </m:r>
            </m:sub>
          </m:sSub>
          <m:r>
            <m:rPr>
              <m:sty m:val="p"/>
            </m:rPr>
            <m:t>+</m:t>
          </m:r>
          <m:r>
            <m:t>0.020</m:t>
          </m:r>
          <m:r>
            <m:t>q</m:t>
          </m:r>
          <m:sSub>
            <m:e>
              <m:r>
                <m:t>d</m:t>
              </m:r>
            </m:e>
            <m:sub>
              <m:r>
                <m:t>t</m:t>
              </m:r>
            </m:sub>
          </m:sSub>
          <m:r>
            <m:rPr>
              <m:sty m:val="p"/>
            </m:rPr>
            <m:t>,</m:t>
          </m:r>
          <m:r>
            <m:t> </m:t>
          </m:r>
          <m:sSub>
            <m:e>
              <m:acc>
                <m:accPr>
                  <m:chr m:val="̃"/>
                </m:accPr>
                <m:e>
                  <m:r>
                    <m:t>m</m:t>
                  </m:r>
                </m:e>
              </m:acc>
            </m:e>
            <m:sub>
              <m:r>
                <m:t>i</m:t>
              </m:r>
              <m:r>
                <m:rPr>
                  <m:sty m:val="p"/>
                </m:rPr>
                <m:t>,</m:t>
              </m:r>
              <m:r>
                <m:t>C</m:t>
              </m:r>
            </m:sub>
          </m:sSub>
          <m:r>
            <m:rPr>
              <m:sty m:val="p"/>
            </m:rPr>
            <m:t>(</m:t>
          </m:r>
          <m:r>
            <m:t>t</m:t>
          </m:r>
          <m:r>
            <m:rPr>
              <m:sty m:val="p"/>
            </m:rPr>
            <m:t>)</m:t>
          </m:r>
          <m:r>
            <m:rPr>
              <m:sty m:val="p"/>
            </m:rPr>
            <m:t>=</m:t>
          </m:r>
          <m:sSub>
            <m:e>
              <m:r>
                <m:t>m</m:t>
              </m:r>
            </m:e>
            <m:sub>
              <m:r>
                <m:t>i</m:t>
              </m:r>
              <m:r>
                <m:rPr>
                  <m:sty m:val="p"/>
                </m:rPr>
                <m:t>,</m:t>
              </m:r>
              <m:r>
                <m:t>C</m:t>
              </m:r>
            </m:sub>
          </m:sSub>
          <m:r>
            <m:rPr>
              <m:sty m:val="p"/>
            </m:rPr>
            <m:t>−</m:t>
          </m:r>
          <m:r>
            <m:t>0.014</m:t>
          </m:r>
          <m:r>
            <m:t>q</m:t>
          </m:r>
          <m:sSub>
            <m:e>
              <m:r>
                <m:t>d</m:t>
              </m:r>
            </m:e>
            <m:sub>
              <m:r>
                <m:t>t</m:t>
              </m:r>
            </m:sub>
          </m:sSub>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0.010</m:t>
        </m:r>
        <m:r>
          <m:t>q</m:t>
        </m:r>
        <m:sSub>
          <m:e>
            <m:r>
              <m:t>d</m:t>
            </m:r>
          </m:e>
          <m:sub>
            <m:r>
              <m:t>t</m:t>
            </m:r>
          </m:sub>
        </m:sSub>
      </m:oMath>
      <w:r>
        <w:rPr>
          <w:rFonts w:hint="eastAsia"/>
        </w:rPr>
        <w:t xml:space="preserve">，维持列减少</w:t>
      </w:r>
      <w:r>
        <w:t xml:space="preserve"> </w:t>
      </w:r>
      <m:oMath>
        <m:r>
          <m:t>0.004</m:t>
        </m:r>
        <m:r>
          <m:t>q</m:t>
        </m:r>
        <m:sSub>
          <m:e>
            <m:r>
              <m:t>d</m:t>
            </m:r>
          </m:e>
          <m:sub>
            <m:r>
              <m:t>t</m:t>
            </m:r>
          </m:sub>
        </m:sSub>
      </m:oMath>
      <w:r>
        <w:rPr>
          <w:rFonts w:hint="eastAsia"/>
        </w:rPr>
        <w:t xml:space="preserve">；若当前处于缓和状态，则维持列增加</w:t>
      </w:r>
      <w:r>
        <w:t xml:space="preserve"> </w:t>
      </w:r>
      <m:oMath>
        <m:r>
          <m:t>0.006</m:t>
        </m:r>
        <m:r>
          <m:t>q</m:t>
        </m:r>
        <m:sSub>
          <m:e>
            <m:r>
              <m:t>d</m:t>
            </m:r>
          </m:e>
          <m:sub>
            <m:r>
              <m:t>t</m:t>
            </m:r>
          </m:sub>
        </m:sSub>
      </m:oMath>
      <w:r>
        <w:rPr>
          <w:rFonts w:hint="eastAsia"/>
        </w:rPr>
        <w:t xml:space="preserve">。第</w:t>
      </w:r>
      <w:r>
        <w:t xml:space="preserve"> 120 </w:t>
      </w:r>
      <w:r>
        <w:rPr>
          <w:rFonts w:hint="eastAsia"/>
        </w:rPr>
        <w:t xml:space="preserve">天后，缓和列上调</w:t>
      </w:r>
      <w:r>
        <w:t xml:space="preserve"> </w:t>
      </w:r>
      <w:r>
        <w:rPr>
          <w:rFonts w:hint="eastAsia"/>
        </w:rPr>
        <w:t xml:space="preserve">0.04、升级列下调</w:t>
      </w:r>
      <w:r>
        <w:t xml:space="preserve"> </w:t>
      </w:r>
      <w:r>
        <w:rPr>
          <w:rFonts w:hint="eastAsia"/>
        </w:rPr>
        <w:t xml:space="preserve">0.04；第</w:t>
      </w:r>
      <w:r>
        <w:t xml:space="preserve"> 150 </w:t>
      </w:r>
      <w:r>
        <w:rPr>
          <w:rFonts w:hint="eastAsia"/>
        </w:rPr>
        <w:t xml:space="preserve">天后，缓和列再上调</w:t>
      </w:r>
      <w:r>
        <w:t xml:space="preserve"> </w:t>
      </w:r>
      <w:r>
        <w:rPr>
          <w:rFonts w:hint="eastAsia"/>
        </w:rPr>
        <w:t xml:space="preserve">0.03，维持列和升级列分别下调</w:t>
      </w:r>
      <w:r>
        <w:t xml:space="preserve"> 0.02 </w:t>
      </w:r>
      <w:r>
        <w:rPr>
          <w:rFonts w:hint="eastAsia"/>
        </w:rPr>
        <w:t xml:space="preserve">与</w:t>
      </w:r>
      <w:r>
        <w:t xml:space="preserve"> </w:t>
      </w:r>
      <w:r>
        <w:rPr>
          <w:rFonts w:hint="eastAsia"/>
        </w:rPr>
        <w:t xml:space="preserve">0.01。所有行最后经非负裁剪和归一化处理。这一设定使状态转移既有固定结构，也受到市场隐含波动率和地缘风险读数的约束。</w:t>
      </w:r>
    </w:p>
    <w:bookmarkStart w:id="125" w:name="tab:state-transition-matrix"/>
    <w:p>
      <w:pPr>
        <w:pStyle w:val="TableCaption"/>
      </w:pPr>
      <w:r>
        <w:rPr>
          <w:rFonts w:hint="eastAsia"/>
        </w:rPr>
        <w:t xml:space="preserve">长期状态转移基础矩阵</w:t>
      </w:r>
    </w:p>
    <w:tbl>
      <w:tblPr>
        <w:tblStyle w:val="Table"/>
        <w:tblW w:type="auto" w:w="0"/>
        <w:tblLook w:firstRow="1" w:lastRow="0" w:firstColumn="0" w:lastColumn="0" w:noHBand="0" w:noVBand="0" w:val="0020"/>
        <w:tblCaption w:val="长期状态转移基础矩阵"/>
      </w:tblPr>
      <w:tblGrid>
        <w:gridCol w:w="1980"/>
        <w:gridCol w:w="1980"/>
        <w:gridCol w:w="1980"/>
        <w:gridCol w:w="1980"/>
      </w:tblGrid>
      <w:tr>
        <w:trPr>
          <w:tblHeader w:val="on"/>
        </w:trPr>
        <w:tc>
          <w:tcPr/>
          <w:p>
            <w:pPr>
              <w:pStyle w:val="Compact"/>
              <w:jc w:val="left"/>
            </w:pPr>
            <w:r>
              <w:rPr>
                <w:rFonts w:hint="eastAsia"/>
              </w:rPr>
              <w:t xml:space="preserve">当前状态</w:t>
            </w:r>
          </w:p>
        </w:tc>
        <w:tc>
          <w:tcPr/>
          <w:p>
            <w:pPr>
              <w:pStyle w:val="Compact"/>
              <w:jc w:val="right"/>
            </w:pPr>
            <w:r>
              <w:rPr>
                <w:rFonts w:hint="eastAsia"/>
              </w:rPr>
              <w:t xml:space="preserve">转为缓和</w:t>
            </w:r>
          </w:p>
        </w:tc>
        <w:tc>
          <w:tcPr/>
          <w:p>
            <w:pPr>
              <w:pStyle w:val="Compact"/>
              <w:jc w:val="right"/>
            </w:pPr>
            <w:r>
              <w:rPr>
                <w:rFonts w:hint="eastAsia"/>
              </w:rPr>
              <w:t xml:space="preserve">转为维持</w:t>
            </w:r>
          </w:p>
        </w:tc>
        <w:tc>
          <w:tcPr/>
          <w:p>
            <w:pPr>
              <w:pStyle w:val="Compact"/>
              <w:jc w:val="right"/>
            </w:pPr>
            <w:r>
              <w:rPr>
                <w:rFonts w:hint="eastAsia"/>
              </w:rPr>
              <w:t xml:space="preserve">转为升级</w:t>
            </w:r>
          </w:p>
        </w:tc>
      </w:tr>
      <w:tr>
        <w:tc>
          <w:tcPr/>
          <w:p>
            <w:pPr>
              <w:pStyle w:val="Compact"/>
              <w:jc w:val="left"/>
            </w:pPr>
            <w:r>
              <w:rPr>
                <w:rFonts w:hint="eastAsia"/>
              </w:rPr>
              <w:t xml:space="preserve">缓和</w:t>
            </w:r>
          </w:p>
        </w:tc>
        <w:tc>
          <w:tcPr/>
          <w:p>
            <w:pPr>
              <w:pStyle w:val="Compact"/>
              <w:jc w:val="right"/>
            </w:pPr>
            <w:r>
              <w:t xml:space="preserve">0.90</w:t>
            </w:r>
          </w:p>
        </w:tc>
        <w:tc>
          <w:tcPr/>
          <w:p>
            <w:pPr>
              <w:pStyle w:val="Compact"/>
              <w:jc w:val="right"/>
            </w:pPr>
            <w:r>
              <w:t xml:space="preserve">0.09</w:t>
            </w:r>
          </w:p>
        </w:tc>
        <w:tc>
          <w:tcPr/>
          <w:p>
            <w:pPr>
              <w:pStyle w:val="Compact"/>
              <w:jc w:val="right"/>
            </w:pPr>
            <w:r>
              <w:t xml:space="preserve">0.01</w:t>
            </w:r>
          </w:p>
        </w:tc>
      </w:tr>
      <w:tr>
        <w:tc>
          <w:tcPr/>
          <w:p>
            <w:pPr>
              <w:pStyle w:val="Compact"/>
              <w:jc w:val="left"/>
            </w:pPr>
            <w:r>
              <w:rPr>
                <w:rFonts w:hint="eastAsia"/>
              </w:rPr>
              <w:t xml:space="preserve">维持</w:t>
            </w:r>
          </w:p>
        </w:tc>
        <w:tc>
          <w:tcPr/>
          <w:p>
            <w:pPr>
              <w:pStyle w:val="Compact"/>
              <w:jc w:val="right"/>
            </w:pPr>
            <w:r>
              <w:t xml:space="preserve">0.16</w:t>
            </w:r>
          </w:p>
        </w:tc>
        <w:tc>
          <w:tcPr/>
          <w:p>
            <w:pPr>
              <w:pStyle w:val="Compact"/>
              <w:jc w:val="right"/>
            </w:pPr>
            <w:r>
              <w:t xml:space="preserve">0.78</w:t>
            </w:r>
          </w:p>
        </w:tc>
        <w:tc>
          <w:tcPr/>
          <w:p>
            <w:pPr>
              <w:pStyle w:val="Compact"/>
              <w:jc w:val="right"/>
            </w:pPr>
            <w:r>
              <w:t xml:space="preserve">0.06</w:t>
            </w:r>
          </w:p>
        </w:tc>
      </w:tr>
      <w:tr>
        <w:tc>
          <w:tcPr/>
          <w:p>
            <w:pPr>
              <w:pStyle w:val="Compact"/>
              <w:jc w:val="left"/>
            </w:pPr>
            <w:r>
              <w:rPr>
                <w:rFonts w:hint="eastAsia"/>
              </w:rPr>
              <w:t xml:space="preserve">升级</w:t>
            </w:r>
          </w:p>
        </w:tc>
        <w:tc>
          <w:tcPr/>
          <w:p>
            <w:pPr>
              <w:pStyle w:val="Compact"/>
              <w:jc w:val="right"/>
            </w:pPr>
            <w:r>
              <w:t xml:space="preserve">0.07</w:t>
            </w:r>
          </w:p>
        </w:tc>
        <w:tc>
          <w:tcPr/>
          <w:p>
            <w:pPr>
              <w:pStyle w:val="Compact"/>
              <w:jc w:val="right"/>
            </w:pPr>
            <w:r>
              <w:t xml:space="preserve">0.24</w:t>
            </w:r>
          </w:p>
        </w:tc>
        <w:tc>
          <w:tcPr/>
          <w:p>
            <w:pPr>
              <w:pStyle w:val="Compact"/>
              <w:jc w:val="right"/>
            </w:pPr>
            <w:r>
              <w:t xml:space="preserve">0.69</w:t>
            </w:r>
          </w:p>
        </w:tc>
      </w:tr>
    </w:tbl>
    <w:bookmarkEnd w:id="125"/>
    <w:bookmarkStart w:id="129" w:name="fig:state-transition-fan"/>
    <w:p>
      <w:pPr>
        <w:pStyle w:val="CaptionedFigure"/>
      </w:pPr>
      <w:r>
        <w:drawing>
          <wp:inline>
            <wp:extent cx="5013960" cy="3654242"/>
            <wp:effectExtent b="0" l="0" r="0" t="0"/>
            <wp:docPr descr="" title="" id="127" name="Picture"/>
            <a:graphic>
              <a:graphicData uri="http://schemas.openxmlformats.org/drawingml/2006/picture">
                <pic:pic>
                  <pic:nvPicPr>
                    <pic:cNvPr descr="长期状态转移情景树.png" id="128" name="Picture"/>
                    <pic:cNvPicPr>
                      <a:picLocks noChangeArrowheads="1" noChangeAspect="1"/>
                    </pic:cNvPicPr>
                  </pic:nvPicPr>
                  <pic:blipFill>
                    <a:blip r:embed="rId126"/>
                    <a:stretch>
                      <a:fillRect/>
                    </a:stretch>
                  </pic:blipFill>
                  <pic:spPr bwMode="auto">
                    <a:xfrm>
                      <a:off x="0" y="0"/>
                      <a:ext cx="5013960" cy="3654242"/>
                    </a:xfrm>
                    <a:prstGeom prst="rect">
                      <a:avLst/>
                    </a:prstGeom>
                    <a:noFill/>
                    <a:ln w="9525">
                      <a:noFill/>
                      <a:headEnd/>
                      <a:tailEnd/>
                    </a:ln>
                  </pic:spPr>
                </pic:pic>
              </a:graphicData>
            </a:graphic>
          </wp:inline>
        </w:drawing>
      </w:r>
    </w:p>
    <w:p>
      <w:pPr>
        <w:pStyle w:val="ImageCaption"/>
      </w:pPr>
      <w:r>
        <w:rPr>
          <w:rFonts w:hint="eastAsia"/>
        </w:rPr>
        <w:t xml:space="preserve">长期状态转移情景树。上图为状态转移后的价格扇形区间，下图为缓和、维持、升级三类状态的样本占比；该图用于回应长期中性线过平的问题，并展示二次升级风险如何进入尾部区间。</w:t>
      </w:r>
    </w:p>
    <w:bookmarkEnd w:id="129"/>
    <w:p>
      <w:pPr>
        <w:pStyle w:val="BodyText"/>
      </w:pPr>
      <w:r>
        <w:rPr>
          <w:rFonts w:hint="eastAsia"/>
        </w:rPr>
        <w:t xml:space="preserve">结果显示，中性情景下价格在</w:t>
      </w:r>
      <w:r>
        <w:t xml:space="preserve"> 180 </w:t>
      </w:r>
      <w:r>
        <w:rPr>
          <w:rFonts w:hint="eastAsia"/>
        </w:rPr>
        <w:t xml:space="preserve">天附近回落至约</w:t>
      </w:r>
      <w:r>
        <w:t xml:space="preserve"> 94.15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133.91 </w:t>
      </w:r>
      <w:r>
        <w:rPr>
          <w:rFonts w:hint="eastAsia"/>
        </w:rPr>
        <w:t xml:space="preserve">美元/桶的高点。图</w:t>
      </w:r>
      <w:r>
        <w:t xml:space="preserve"> </w:t>
      </w:r>
      <w:hyperlink w:anchor="fig:state-transition-fan">
        <w:r>
          <w:rPr>
            <w:rStyle w:val="Hyperlink"/>
          </w:rPr>
          <w:t xml:space="preserve">7</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38.3%，说明长期中心路径的日度精度不能单独夸大，真正应关注的是尾部区间和状态切换风险。</w:t>
      </w:r>
    </w:p>
    <w:p>
      <w:pPr>
        <w:pStyle w:val="TableCaption"/>
      </w:pPr>
      <w:r>
        <w:rPr>
          <w:rFonts w:hint="eastAsia"/>
        </w:rPr>
        <w:t xml:space="preserve">长期情景预测的可信度评价框架</w:t>
      </w:r>
    </w:p>
    <w:tbl>
      <w:tblPr>
        <w:tblStyle w:val="Table"/>
        <w:tblW w:type="auto" w:w="0"/>
        <w:tblLook w:firstRow="1" w:lastRow="0" w:firstColumn="0" w:lastColumn="0" w:noHBand="0" w:noVBand="0" w:val="0020"/>
        <w:tblCaption w:val="长期情景预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检验情景逻辑是否自洽，不代表未来真实价格已经被验证</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t xml:space="preserve">EIA </w:t>
            </w:r>
            <w:r>
              <w:rPr>
                <w:rFonts w:hint="eastAsia"/>
              </w:rPr>
              <w:t xml:space="preserve">为美国口径，JODI</w:t>
            </w:r>
            <w:r>
              <w:t xml:space="preserve"> </w:t>
            </w:r>
            <w:r>
              <w:rPr>
                <w:rFonts w:hint="eastAsia"/>
              </w:rPr>
              <w:t xml:space="preserve">为多国上报口径，OPEC</w:t>
            </w:r>
            <w:r>
              <w:t xml:space="preserve"> </w:t>
            </w:r>
            <w:r>
              <w:rPr>
                <w:rFonts w:hint="eastAsia"/>
              </w:rPr>
              <w:t xml:space="preserve">为正常基线预测，OVX</w:t>
            </w:r>
            <w:r>
              <w:t xml:space="preserve"> </w:t>
            </w:r>
            <w:r>
              <w:rPr>
                <w:rFonts w:hint="eastAsia"/>
              </w:rPr>
              <w:t xml:space="preserve">为期权市场波动预期；这些数据用于数量级和风险约束，不能直接替代赛题冲击参数</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89.58–106.44 </w:t>
            </w:r>
            <w:r>
              <w:rPr>
                <w:rFonts w:hint="eastAsia"/>
              </w:rPr>
              <w:t xml:space="preserve">美元/桶，最高价突破</w:t>
            </w:r>
            <w:r>
              <w:t xml:space="preserve"> 120 </w:t>
            </w:r>
            <w:r>
              <w:rPr>
                <w:rFonts w:hint="eastAsia"/>
              </w:rPr>
              <w:t xml:space="preserve">概率约</w:t>
            </w:r>
            <w:r>
              <w:t xml:space="preserve"> 16.3%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概率约</w:t>
            </w:r>
            <w:r>
              <w:t xml:space="preserve"> 38.3%</w:t>
            </w:r>
          </w:p>
        </w:tc>
        <w:tc>
          <w:tcPr/>
          <w:p>
            <w:pPr>
              <w:pStyle w:val="Compact"/>
              <w:jc w:val="left"/>
            </w:pPr>
            <w:r>
              <w:rPr>
                <w:rFonts w:hint="eastAsia"/>
              </w:rPr>
              <w:t xml:space="preserve">用于解释平滑中心线之外的事件状态切换和短期扰动，不代表未来真实价格已被观测</w:t>
            </w:r>
          </w:p>
        </w:tc>
      </w:tr>
    </w:tbl>
    <w:p>
      <w:pPr>
        <w:pStyle w:val="BodyText"/>
      </w:pPr>
      <w:r>
        <w:rPr>
          <w:rFonts w:hint="eastAsia"/>
        </w:rPr>
        <w:t xml:space="preserve">从价格平衡点看，乐观情景最终回落至约</w:t>
      </w:r>
      <w:r>
        <w:t xml:space="preserve"> 87.78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94.15 </w:t>
      </w:r>
      <w:r>
        <w:rPr>
          <w:rFonts w:hint="eastAsia"/>
        </w:rPr>
        <w:t xml:space="preserve">美元/桶，更接近政策缓冲与市场风险重新平衡后的中心水平；此时实际</w:t>
      </w:r>
      <w:r>
        <w:t xml:space="preserve"> SPR </w:t>
      </w:r>
      <w:r>
        <w:rPr>
          <w:rFonts w:hint="eastAsia"/>
        </w:rPr>
        <w:t xml:space="preserve">释放已经从计划上限自动收缩，且物理缺口基本闭合，说明价格回落不是依赖政策变量机械满额托底。悲观情景第</w:t>
      </w:r>
      <w:r>
        <w:t xml:space="preserve"> 180 </w:t>
      </w:r>
      <w:r>
        <w:rPr>
          <w:rFonts w:hint="eastAsia"/>
        </w:rPr>
        <w:t xml:space="preserve">天仍为</w:t>
      </w:r>
      <w:r>
        <w:t xml:space="preserve"> 110.16 </w:t>
      </w:r>
      <w:r>
        <w:rPr>
          <w:rFonts w:hint="eastAsia"/>
        </w:rPr>
        <w:t xml:space="preserve">美元/桶，说明若供应中断规模接近上界、SPR</w:t>
      </w:r>
      <w:r>
        <w:t xml:space="preserve"> </w:t>
      </w:r>
      <w:r>
        <w:rPr>
          <w:rFonts w:hint="eastAsia"/>
        </w:rPr>
        <w:t xml:space="preserve">释放不足且制度风险溢价持续，市场仍可能维持相对高位，并保留二次跳涨尾部风险。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94.15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CaptionedFigure"/>
      </w:pPr>
      <w:r>
        <w:drawing>
          <wp:inline>
            <wp:extent cx="4907280" cy="3413760"/>
            <wp:effectExtent b="0" l="0" r="0" t="0"/>
            <wp:docPr descr="" title="" id="131" name="Picture"/>
            <a:graphic>
              <a:graphicData uri="http://schemas.openxmlformats.org/drawingml/2006/picture">
                <pic:pic>
                  <pic:nvPicPr>
                    <pic:cNvPr descr="库存与供需缺口风险.png" id="132" name="Picture"/>
                    <pic:cNvPicPr>
                      <a:picLocks noChangeArrowheads="1" noChangeAspect="1"/>
                    </pic:cNvPicPr>
                  </pic:nvPicPr>
                  <pic:blipFill>
                    <a:blip r:embed="rId130"/>
                    <a:stretch>
                      <a:fillRect/>
                    </a:stretch>
                  </pic:blipFill>
                  <pic:spPr bwMode="auto">
                    <a:xfrm>
                      <a:off x="0" y="0"/>
                      <a:ext cx="4907280" cy="3413760"/>
                    </a:xfrm>
                    <a:prstGeom prst="rect">
                      <a:avLst/>
                    </a:prstGeom>
                    <a:noFill/>
                    <a:ln w="9525">
                      <a:noFill/>
                      <a:headEnd/>
                      <a:tailEnd/>
                    </a:ln>
                  </pic:spPr>
                </pic:pic>
              </a:graphicData>
            </a:graphic>
          </wp:inline>
        </w:drawing>
      </w:r>
    </w:p>
    <w:p>
      <w:pPr>
        <w:pStyle w:val="ImageCaption"/>
      </w:pPr>
      <w:r>
        <w:rPr>
          <w:rFonts w:hint="eastAsia"/>
        </w:rPr>
        <w:t xml:space="preserve">商业库存剩余量与剩余供需缺口变化。悲观情景下缓冲能力下降、剩余缺口更难闭合，因此二次跳涨风险主要来自库存约束与制度风险叠加。</w:t>
      </w:r>
    </w:p>
    <w:bookmarkEnd w:id="133"/>
    <w:bookmarkEnd w:id="134"/>
    <w:bookmarkStart w:id="178" w:name="敏感性分析"/>
    <w:p>
      <w:pPr>
        <w:pStyle w:val="Heading1"/>
      </w:pPr>
      <w:r>
        <w:rPr>
          <w:rFonts w:hint="eastAsia"/>
        </w:rPr>
        <w:t xml:space="preserve">敏感性分析</w:t>
      </w:r>
    </w:p>
    <w:bookmarkStart w:id="135" w:name="分析方法"/>
    <w:p>
      <w:pPr>
        <w:pStyle w:val="Heading2"/>
      </w:pPr>
      <w:r>
        <w:rPr>
          <w:rFonts w:hint="eastAsia"/>
        </w:rPr>
        <w:t xml:space="preserve">分析方法</w:t>
      </w:r>
    </w:p>
    <w:p>
      <w:pPr>
        <w:pStyle w:val="FirstParagraph"/>
      </w:pPr>
      <w:r>
        <w:rPr>
          <w:rFonts w:hint="eastAsia"/>
        </w:rPr>
        <w:t xml:space="preserve">敏感性分析以中性情景为基准，对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天价格、外推期最高价、剩余供需缺口和二次跳涨风险变化。除题面物理量和行为参数外，本阶段还把长期机制强度参数单独纳入检验，使长期结论的关键常数透明化。综合敏感度定义为</w:t>
      </w:r>
    </w:p>
    <w:p>
      <w:pPr>
        <w:pStyle w:val="BodyText"/>
      </w:pPr>
      <m:oMathPara>
        <m:oMathParaPr>
          <m:jc m:val="center"/>
        </m:oMathParaPr>
        <m:oMath>
          <m:r>
            <m:rPr>
              <m:scr m:val="script"/>
              <m:sty m:val="p"/>
            </m:rPr>
            <m:t>S</m:t>
          </m:r>
          <m:r>
            <m:rPr>
              <m:sty m:val="p"/>
            </m:rPr>
            <m:t>=</m:t>
          </m:r>
          <m:r>
            <m:rPr>
              <m:sty m:val="p"/>
            </m:rPr>
            <m:t>Δ</m:t>
          </m:r>
          <m:sSub>
            <m:e>
              <m:r>
                <m:t>P</m:t>
              </m:r>
            </m:e>
            <m:sub>
              <m:r>
                <m:t>180</m:t>
              </m:r>
            </m:sub>
          </m:sSub>
          <m:r>
            <m:rPr>
              <m:sty m:val="p"/>
            </m:rPr>
            <m:t>+</m:t>
          </m:r>
          <m:r>
            <m:t>0.45</m:t>
          </m:r>
          <m:r>
            <m:rPr>
              <m:sty m:val="p"/>
            </m:rPr>
            <m:t>Δ</m:t>
          </m:r>
          <m:sSub>
            <m:e>
              <m:r>
                <m:t>P</m:t>
              </m:r>
            </m:e>
            <m:sub>
              <m:r>
                <m:rPr>
                  <m:sty m:val="p"/>
                </m:rPr>
                <m:t>max</m:t>
              </m:r>
            </m:sub>
          </m:sSub>
          <m:r>
            <m:rPr>
              <m:sty m:val="p"/>
            </m:rPr>
            <m:t>+</m:t>
          </m:r>
          <m:r>
            <m:t>0.002</m:t>
          </m:r>
          <m:r>
            <m:rPr>
              <m:sty m:val="p"/>
            </m:rPr>
            <m:t>Δ</m:t>
          </m:r>
          <m:sSub>
            <m:e>
              <m:r>
                <m:t>G</m:t>
              </m:r>
            </m:e>
            <m:sub>
              <m:r>
                <m:t>180</m:t>
              </m:r>
            </m:sub>
          </m:sSub>
          <m:r>
            <m:rPr>
              <m:sty m:val="p"/>
            </m:rPr>
            <m:t>,</m:t>
          </m:r>
        </m:oMath>
      </m:oMathPara>
    </w:p>
    <w:p>
      <w:pPr>
        <w:pStyle w:val="FirstParagraph"/>
      </w:pPr>
      <w:r>
        <w:rPr>
          <w:rFonts w:hint="eastAsia"/>
        </w:rPr>
        <w:t xml:space="preserve">其中</w:t>
      </w:r>
      <w:r>
        <w:t xml:space="preserve"> </w:t>
      </w:r>
      <m:oMath>
        <m:r>
          <m:rPr>
            <m:sty m:val="p"/>
          </m:rPr>
          <m:t>Δ</m:t>
        </m:r>
        <m:sSub>
          <m:e>
            <m:r>
              <m:t>P</m:t>
            </m:r>
          </m:e>
          <m:sub>
            <m:r>
              <m:t>180</m:t>
            </m:r>
          </m:sub>
        </m:sSub>
      </m:oMath>
      <w:r>
        <w:t xml:space="preserve"> </w:t>
      </w:r>
      <w:r>
        <w:rPr>
          <w:rFonts w:hint="eastAsia"/>
        </w:rPr>
        <w:t xml:space="preserve">是第</w:t>
      </w:r>
      <w:r>
        <w:t xml:space="preserve"> 180 </w:t>
      </w:r>
      <w:r>
        <w:rPr>
          <w:rFonts w:hint="eastAsia"/>
        </w:rPr>
        <w:t xml:space="preserve">天价格波动范围，</w:t>
      </w:r>
      <m:oMath>
        <m:r>
          <m:rPr>
            <m:sty m:val="p"/>
          </m:rPr>
          <m:t>Δ</m:t>
        </m:r>
        <m:sSub>
          <m:e>
            <m:r>
              <m:t>P</m:t>
            </m:r>
          </m:e>
          <m:sub>
            <m:r>
              <m:rPr>
                <m:sty m:val="p"/>
              </m:rPr>
              <m:t>max</m:t>
            </m:r>
          </m:sub>
        </m:sSub>
      </m:oMath>
      <w:r>
        <w:t xml:space="preserve"> </w:t>
      </w:r>
      <w:r>
        <w:rPr>
          <w:rFonts w:hint="eastAsia"/>
        </w:rPr>
        <w:t xml:space="preserve">是外推期最高价波动范围，</w:t>
      </w:r>
      <m:oMath>
        <m:r>
          <m:rPr>
            <m:sty m:val="p"/>
          </m:rPr>
          <m:t>Δ</m:t>
        </m:r>
        <m:sSub>
          <m:e>
            <m:r>
              <m:t>G</m:t>
            </m:r>
          </m:e>
          <m:sub>
            <m:r>
              <m:t>180</m:t>
            </m:r>
          </m:sub>
        </m:sSub>
      </m:oMath>
      <w:r>
        <w:t xml:space="preserve"> </w:t>
      </w:r>
      <w:r>
        <w:rPr>
          <w:rFonts w:hint="eastAsia"/>
        </w:rPr>
        <w:t xml:space="preserve">是第</w:t>
      </w:r>
      <w:r>
        <w:t xml:space="preserve"> 180 </w:t>
      </w:r>
      <w:r>
        <w:rPr>
          <w:rFonts w:hint="eastAsia"/>
        </w:rPr>
        <w:t xml:space="preserve">天剩余缺口波动范围。该指标兼顾终点价格、阶段峰值和供需风险。</w:t>
      </w:r>
    </w:p>
    <w:bookmarkEnd w:id="135"/>
    <w:bookmarkStart w:id="144" w:name="参数重要性排序"/>
    <w:p>
      <w:pPr>
        <w:pStyle w:val="Heading2"/>
      </w:pPr>
      <w:r>
        <w:rPr>
          <w:rFonts w:hint="eastAsia"/>
        </w:rPr>
        <w:t xml:space="preserve">参数重要性排序</w:t>
      </w:r>
    </w:p>
    <w:p>
      <w:pPr>
        <w:pStyle w:val="TableCaption"/>
      </w:pPr>
      <w:r>
        <w:rPr>
          <w:rFonts w:hint="eastAsia"/>
        </w:rPr>
        <w:t xml:space="preserve">参数综合敏感度排序</w:t>
      </w:r>
    </w:p>
    <w:tbl>
      <w:tblPr>
        <w:tblStyle w:val="Table"/>
        <w:tblW w:type="auto" w:w="0"/>
        <w:tblLook w:firstRow="1" w:lastRow="0" w:firstColumn="0" w:lastColumn="0" w:noHBand="0" w:noVBand="0" w:val="0020"/>
        <w:tblCaption w:val="参数综合敏感度排序"/>
      </w:tblPr>
      <w:tblGrid>
        <w:gridCol w:w="1584"/>
        <w:gridCol w:w="1584"/>
        <w:gridCol w:w="1584"/>
        <w:gridCol w:w="1584"/>
        <w:gridCol w:w="1584"/>
      </w:tblGrid>
      <w:tr>
        <w:trPr>
          <w:tblHeader w:val="on"/>
        </w:trPr>
        <w:tc>
          <w:tcPr/>
          <w:p>
            <w:pPr>
              <w:pStyle w:val="Compact"/>
              <w:jc w:val="right"/>
            </w:pPr>
            <w:r>
              <w:rPr>
                <w:rFonts w:hint="eastAsia"/>
              </w:rPr>
              <w:t xml:space="preserve">排名</w:t>
            </w:r>
          </w:p>
        </w:tc>
        <w:tc>
          <w:tcPr/>
          <w:p>
            <w:pPr>
              <w:pStyle w:val="Compact"/>
              <w:jc w:val="left"/>
            </w:pPr>
            <w:r>
              <w:rPr>
                <w:rFonts w:hint="eastAsia"/>
              </w:rPr>
              <w:t xml:space="preserve">参数</w:t>
            </w:r>
          </w:p>
        </w:tc>
        <w:tc>
          <w:tcPr/>
          <w:p>
            <w:pPr>
              <w:pStyle w:val="Compact"/>
              <w:jc w:val="right"/>
            </w:pPr>
            <w:r>
              <w:rPr>
                <w:rFonts w:hint="eastAsia"/>
              </w:rPr>
              <w:t xml:space="preserve">综合敏感度</w:t>
            </w:r>
          </w:p>
        </w:tc>
        <w:tc>
          <w:tcPr/>
          <w:p>
            <w:pPr>
              <w:pStyle w:val="Compact"/>
              <w:jc w:val="right"/>
            </w:pPr>
            <w:r>
              <w:rPr>
                <w:rFonts w:hint="eastAsia"/>
              </w:rPr>
              <w:t xml:space="preserve">第180天波动</w:t>
            </w:r>
          </w:p>
        </w:tc>
        <w:tc>
          <w:tcPr/>
          <w:p>
            <w:pPr>
              <w:pStyle w:val="Compact"/>
              <w:jc w:val="right"/>
            </w:pPr>
            <w:r>
              <w:rPr>
                <w:rFonts w:hint="eastAsia"/>
              </w:rPr>
              <w:t xml:space="preserve">外推峰值波动</w:t>
            </w:r>
          </w:p>
        </w:tc>
      </w:tr>
      <w:tr>
        <w:tc>
          <w:tcPr/>
          <w:p>
            <w:pPr>
              <w:pStyle w:val="Compact"/>
              <w:jc w:val="right"/>
            </w:pPr>
            <w:r>
              <w:t xml:space="preserve">1</w:t>
            </w:r>
          </w:p>
        </w:tc>
        <w:tc>
          <w:tcPr/>
          <w:p>
            <w:pPr>
              <w:pStyle w:val="Compact"/>
              <w:jc w:val="left"/>
            </w:pPr>
            <w:r>
              <w:rPr>
                <w:rFonts w:hint="eastAsia"/>
              </w:rPr>
              <w:t xml:space="preserve">封锁风险衰减速度</w:t>
            </w:r>
          </w:p>
        </w:tc>
        <w:tc>
          <w:tcPr/>
          <w:p>
            <w:pPr>
              <w:pStyle w:val="Compact"/>
              <w:jc w:val="right"/>
            </w:pPr>
            <w:r>
              <w:t xml:space="preserve">18.37</w:t>
            </w:r>
          </w:p>
        </w:tc>
        <w:tc>
          <w:tcPr/>
          <w:p>
            <w:pPr>
              <w:pStyle w:val="Compact"/>
              <w:jc w:val="right"/>
            </w:pPr>
            <w:r>
              <w:t xml:space="preserve">14.93</w:t>
            </w:r>
          </w:p>
        </w:tc>
        <w:tc>
          <w:tcPr/>
          <w:p>
            <w:pPr>
              <w:pStyle w:val="Compact"/>
              <w:jc w:val="right"/>
            </w:pPr>
            <w:r>
              <w:t xml:space="preserve">7.65</w:t>
            </w:r>
          </w:p>
        </w:tc>
      </w:tr>
      <w:tr>
        <w:tc>
          <w:tcPr/>
          <w:p>
            <w:pPr>
              <w:pStyle w:val="Compact"/>
              <w:jc w:val="right"/>
            </w:pPr>
            <w:r>
              <w:t xml:space="preserve">2</w:t>
            </w:r>
          </w:p>
        </w:tc>
        <w:tc>
          <w:tcPr/>
          <w:p>
            <w:pPr>
              <w:pStyle w:val="Compact"/>
              <w:jc w:val="left"/>
            </w:pPr>
            <w:r>
              <w:rPr>
                <w:rFonts w:hint="eastAsia"/>
              </w:rPr>
              <w:t xml:space="preserve">地缘风险权重</w:t>
            </w:r>
          </w:p>
        </w:tc>
        <w:tc>
          <w:tcPr/>
          <w:p>
            <w:pPr>
              <w:pStyle w:val="Compact"/>
              <w:jc w:val="right"/>
            </w:pPr>
            <w:r>
              <w:t xml:space="preserve">13.58</w:t>
            </w:r>
          </w:p>
        </w:tc>
        <w:tc>
          <w:tcPr/>
          <w:p>
            <w:pPr>
              <w:pStyle w:val="Compact"/>
              <w:jc w:val="right"/>
            </w:pPr>
            <w:r>
              <w:t xml:space="preserve">8.41</w:t>
            </w:r>
          </w:p>
        </w:tc>
        <w:tc>
          <w:tcPr/>
          <w:p>
            <w:pPr>
              <w:pStyle w:val="Compact"/>
              <w:jc w:val="right"/>
            </w:pPr>
            <w:r>
              <w:t xml:space="preserve">11.48</w:t>
            </w:r>
          </w:p>
        </w:tc>
      </w:tr>
      <w:tr>
        <w:tc>
          <w:tcPr/>
          <w:p>
            <w:pPr>
              <w:pStyle w:val="Compact"/>
              <w:jc w:val="right"/>
            </w:pPr>
            <w:r>
              <w:t xml:space="preserve">3</w:t>
            </w:r>
          </w:p>
        </w:tc>
        <w:tc>
          <w:tcPr/>
          <w:p>
            <w:pPr>
              <w:pStyle w:val="Compact"/>
              <w:jc w:val="left"/>
            </w:pPr>
            <w:r>
              <w:rPr>
                <w:rFonts w:hint="eastAsia"/>
              </w:rPr>
              <w:t xml:space="preserve">不确定性与制度风险强度</w:t>
            </w:r>
          </w:p>
        </w:tc>
        <w:tc>
          <w:tcPr/>
          <w:p>
            <w:pPr>
              <w:pStyle w:val="Compact"/>
              <w:jc w:val="right"/>
            </w:pPr>
            <w:r>
              <w:t xml:space="preserve">10.04</w:t>
            </w:r>
          </w:p>
        </w:tc>
        <w:tc>
          <w:tcPr/>
          <w:p>
            <w:pPr>
              <w:pStyle w:val="Compact"/>
              <w:jc w:val="right"/>
            </w:pPr>
            <w:r>
              <w:t xml:space="preserve">4.94</w:t>
            </w:r>
          </w:p>
        </w:tc>
        <w:tc>
          <w:tcPr/>
          <w:p>
            <w:pPr>
              <w:pStyle w:val="Compact"/>
              <w:jc w:val="right"/>
            </w:pPr>
            <w:r>
              <w:t xml:space="preserve">11.33</w:t>
            </w:r>
          </w:p>
        </w:tc>
      </w:tr>
      <w:tr>
        <w:tc>
          <w:tcPr/>
          <w:p>
            <w:pPr>
              <w:pStyle w:val="Compact"/>
              <w:jc w:val="right"/>
            </w:pPr>
            <w:r>
              <w:t xml:space="preserve">4</w:t>
            </w:r>
          </w:p>
        </w:tc>
        <w:tc>
          <w:tcPr/>
          <w:p>
            <w:pPr>
              <w:pStyle w:val="Compact"/>
              <w:jc w:val="left"/>
            </w:pPr>
            <w:r>
              <w:rPr>
                <w:rFonts w:hint="eastAsia"/>
              </w:rPr>
              <w:t xml:space="preserve">制度风险占比</w:t>
            </w:r>
          </w:p>
        </w:tc>
        <w:tc>
          <w:tcPr/>
          <w:p>
            <w:pPr>
              <w:pStyle w:val="Compact"/>
              <w:jc w:val="right"/>
            </w:pPr>
            <w:r>
              <w:t xml:space="preserve">6.68</w:t>
            </w:r>
          </w:p>
        </w:tc>
        <w:tc>
          <w:tcPr/>
          <w:p>
            <w:pPr>
              <w:pStyle w:val="Compact"/>
              <w:jc w:val="right"/>
            </w:pPr>
            <w:r>
              <w:t xml:space="preserve">5.21</w:t>
            </w:r>
          </w:p>
        </w:tc>
        <w:tc>
          <w:tcPr/>
          <w:p>
            <w:pPr>
              <w:pStyle w:val="Compact"/>
              <w:jc w:val="right"/>
            </w:pPr>
            <w:r>
              <w:t xml:space="preserve">3.27</w:t>
            </w:r>
          </w:p>
        </w:tc>
      </w:tr>
      <w:tr>
        <w:tc>
          <w:tcPr/>
          <w:p>
            <w:pPr>
              <w:pStyle w:val="Compact"/>
              <w:jc w:val="right"/>
            </w:pPr>
            <w:r>
              <w:t xml:space="preserve">5</w:t>
            </w:r>
          </w:p>
        </w:tc>
        <w:tc>
          <w:tcPr/>
          <w:p>
            <w:pPr>
              <w:pStyle w:val="Compact"/>
              <w:jc w:val="left"/>
            </w:pPr>
            <w:r>
              <w:rPr>
                <w:rFonts w:hint="eastAsia"/>
              </w:rPr>
              <w:t xml:space="preserve">供应中断量</w:t>
            </w:r>
          </w:p>
        </w:tc>
        <w:tc>
          <w:tcPr/>
          <w:p>
            <w:pPr>
              <w:pStyle w:val="Compact"/>
              <w:jc w:val="right"/>
            </w:pPr>
            <w:r>
              <w:t xml:space="preserve">6.17</w:t>
            </w:r>
          </w:p>
        </w:tc>
        <w:tc>
          <w:tcPr/>
          <w:p>
            <w:pPr>
              <w:pStyle w:val="Compact"/>
              <w:jc w:val="right"/>
            </w:pPr>
            <w:r>
              <w:t xml:space="preserve">3.39</w:t>
            </w:r>
          </w:p>
        </w:tc>
        <w:tc>
          <w:tcPr/>
          <w:p>
            <w:pPr>
              <w:pStyle w:val="Compact"/>
              <w:jc w:val="right"/>
            </w:pPr>
            <w:r>
              <w:t xml:space="preserve">6.18</w:t>
            </w:r>
          </w:p>
        </w:tc>
      </w:tr>
      <w:tr>
        <w:tc>
          <w:tcPr/>
          <w:p>
            <w:pPr>
              <w:pStyle w:val="Compact"/>
              <w:jc w:val="right"/>
            </w:pPr>
            <w:r>
              <w:t xml:space="preserve">6</w:t>
            </w:r>
          </w:p>
        </w:tc>
        <w:tc>
          <w:tcPr/>
          <w:p>
            <w:pPr>
              <w:pStyle w:val="Compact"/>
              <w:jc w:val="left"/>
            </w:pPr>
            <w:r>
              <w:rPr>
                <w:rFonts w:hint="eastAsia"/>
              </w:rPr>
              <w:t xml:space="preserve">长期需求弹性</w:t>
            </w:r>
          </w:p>
        </w:tc>
        <w:tc>
          <w:tcPr/>
          <w:p>
            <w:pPr>
              <w:pStyle w:val="Compact"/>
              <w:jc w:val="right"/>
            </w:pPr>
            <w:r>
              <w:t xml:space="preserve">3.82</w:t>
            </w:r>
          </w:p>
        </w:tc>
        <w:tc>
          <w:tcPr/>
          <w:p>
            <w:pPr>
              <w:pStyle w:val="Compact"/>
              <w:jc w:val="right"/>
            </w:pPr>
            <w:r>
              <w:t xml:space="preserve">3.34</w:t>
            </w:r>
          </w:p>
        </w:tc>
        <w:tc>
          <w:tcPr/>
          <w:p>
            <w:pPr>
              <w:pStyle w:val="Compact"/>
              <w:jc w:val="right"/>
            </w:pPr>
            <w:r>
              <w:t xml:space="preserve">1.07</w:t>
            </w:r>
          </w:p>
        </w:tc>
      </w:tr>
      <w:tr>
        <w:tc>
          <w:tcPr/>
          <w:p>
            <w:pPr>
              <w:pStyle w:val="Compact"/>
              <w:jc w:val="right"/>
            </w:pPr>
            <w:r>
              <w:t xml:space="preserve">7</w:t>
            </w:r>
          </w:p>
        </w:tc>
        <w:tc>
          <w:tcPr/>
          <w:p>
            <w:pPr>
              <w:pStyle w:val="Compact"/>
              <w:jc w:val="left"/>
            </w:pPr>
            <w:r>
              <w:rPr>
                <w:rFonts w:hint="eastAsia"/>
              </w:rPr>
              <w:t xml:space="preserve">信心恢复后风险底座</w:t>
            </w:r>
          </w:p>
        </w:tc>
        <w:tc>
          <w:tcPr/>
          <w:p>
            <w:pPr>
              <w:pStyle w:val="Compact"/>
              <w:jc w:val="right"/>
            </w:pPr>
            <w:r>
              <w:t xml:space="preserve">2.36</w:t>
            </w:r>
          </w:p>
        </w:tc>
        <w:tc>
          <w:tcPr/>
          <w:p>
            <w:pPr>
              <w:pStyle w:val="Compact"/>
              <w:jc w:val="right"/>
            </w:pPr>
            <w:r>
              <w:t xml:space="preserve">2.34</w:t>
            </w:r>
          </w:p>
        </w:tc>
        <w:tc>
          <w:tcPr/>
          <w:p>
            <w:pPr>
              <w:pStyle w:val="Compact"/>
              <w:jc w:val="right"/>
            </w:pPr>
            <w:r>
              <w:t xml:space="preserve">0.05</w:t>
            </w:r>
          </w:p>
        </w:tc>
      </w:tr>
      <w:tr>
        <w:tc>
          <w:tcPr/>
          <w:p>
            <w:pPr>
              <w:pStyle w:val="Compact"/>
              <w:jc w:val="right"/>
            </w:pPr>
            <w:r>
              <w:t xml:space="preserve">8</w:t>
            </w:r>
          </w:p>
        </w:tc>
        <w:tc>
          <w:tcPr/>
          <w:p>
            <w:pPr>
              <w:pStyle w:val="Compact"/>
              <w:jc w:val="left"/>
            </w:pPr>
            <w:r>
              <w:rPr>
                <w:rFonts w:hint="eastAsia"/>
              </w:rPr>
              <w:t xml:space="preserve">冲击不确定性占比</w:t>
            </w:r>
          </w:p>
        </w:tc>
        <w:tc>
          <w:tcPr/>
          <w:p>
            <w:pPr>
              <w:pStyle w:val="Compact"/>
              <w:jc w:val="right"/>
            </w:pPr>
            <w:r>
              <w:t xml:space="preserve">2.13</w:t>
            </w:r>
          </w:p>
        </w:tc>
        <w:tc>
          <w:tcPr/>
          <w:p>
            <w:pPr>
              <w:pStyle w:val="Compact"/>
              <w:jc w:val="right"/>
            </w:pPr>
            <w:r>
              <w:t xml:space="preserve">1.29</w:t>
            </w:r>
          </w:p>
        </w:tc>
        <w:tc>
          <w:tcPr/>
          <w:p>
            <w:pPr>
              <w:pStyle w:val="Compact"/>
              <w:jc w:val="right"/>
            </w:pPr>
            <w:r>
              <w:t xml:space="preserve">1.86</w:t>
            </w:r>
          </w:p>
        </w:tc>
      </w:tr>
      <w:tr>
        <w:tc>
          <w:tcPr/>
          <w:p>
            <w:pPr>
              <w:pStyle w:val="Compact"/>
              <w:jc w:val="right"/>
            </w:pPr>
            <w:r>
              <w:t xml:space="preserve">9</w:t>
            </w:r>
          </w:p>
        </w:tc>
        <w:tc>
          <w:tcPr/>
          <w:p>
            <w:pPr>
              <w:pStyle w:val="Compact"/>
              <w:jc w:val="left"/>
            </w:pPr>
            <w:r>
              <w:t xml:space="preserve">SPR </w:t>
            </w:r>
            <w:r>
              <w:rPr>
                <w:rFonts w:hint="eastAsia"/>
              </w:rPr>
              <w:t xml:space="preserve">释放上限</w:t>
            </w:r>
          </w:p>
        </w:tc>
        <w:tc>
          <w:tcPr/>
          <w:p>
            <w:pPr>
              <w:pStyle w:val="Compact"/>
              <w:jc w:val="right"/>
            </w:pPr>
            <w:r>
              <w:t xml:space="preserve">0.94</w:t>
            </w:r>
          </w:p>
        </w:tc>
        <w:tc>
          <w:tcPr/>
          <w:p>
            <w:pPr>
              <w:pStyle w:val="Compact"/>
              <w:jc w:val="right"/>
            </w:pPr>
            <w:r>
              <w:t xml:space="preserve">0.69</w:t>
            </w:r>
          </w:p>
        </w:tc>
        <w:tc>
          <w:tcPr/>
          <w:p>
            <w:pPr>
              <w:pStyle w:val="Compact"/>
              <w:jc w:val="right"/>
            </w:pPr>
            <w:r>
              <w:t xml:space="preserve">0.49</w:t>
            </w:r>
          </w:p>
        </w:tc>
      </w:tr>
      <w:tr>
        <w:tc>
          <w:tcPr/>
          <w:p>
            <w:pPr>
              <w:pStyle w:val="Compact"/>
              <w:jc w:val="right"/>
            </w:pPr>
            <w:r>
              <w:t xml:space="preserve">10</w:t>
            </w:r>
          </w:p>
        </w:tc>
        <w:tc>
          <w:tcPr/>
          <w:p>
            <w:pPr>
              <w:pStyle w:val="Compact"/>
              <w:jc w:val="left"/>
            </w:pPr>
            <w:r>
              <w:rPr>
                <w:rFonts w:hint="eastAsia"/>
              </w:rPr>
              <w:t xml:space="preserve">绕道运输能力</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0.86</w:t>
            </w:r>
          </w:p>
        </w:tc>
      </w:tr>
      <w:tr>
        <w:tc>
          <w:tcPr/>
          <w:p>
            <w:pPr>
              <w:pStyle w:val="Compact"/>
              <w:jc w:val="right"/>
            </w:pPr>
            <w:r>
              <w:t xml:space="preserve">11</w:t>
            </w:r>
          </w:p>
        </w:tc>
        <w:tc>
          <w:tcPr/>
          <w:p>
            <w:pPr>
              <w:pStyle w:val="Compact"/>
              <w:jc w:val="left"/>
            </w:pPr>
            <w:r>
              <w:rPr>
                <w:rFonts w:hint="eastAsia"/>
              </w:rPr>
              <w:t xml:space="preserve">预期修复强度</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0.51</w:t>
            </w:r>
          </w:p>
        </w:tc>
      </w:tr>
      <w:tr>
        <w:tc>
          <w:tcPr/>
          <w:p>
            <w:pPr>
              <w:pStyle w:val="Compact"/>
              <w:jc w:val="right"/>
            </w:pPr>
            <w:r>
              <w:t xml:space="preserve">12</w:t>
            </w:r>
          </w:p>
        </w:tc>
        <w:tc>
          <w:tcPr/>
          <w:p>
            <w:pPr>
              <w:pStyle w:val="Compact"/>
              <w:jc w:val="left"/>
            </w:pPr>
            <w:r>
              <w:rPr>
                <w:rFonts w:hint="eastAsia"/>
              </w:rPr>
              <w:t xml:space="preserve">恐慌衰减速度</w:t>
            </w:r>
          </w:p>
        </w:tc>
        <w:tc>
          <w:tcPr/>
          <w:p>
            <w:pPr>
              <w:pStyle w:val="Compact"/>
              <w:jc w:val="right"/>
            </w:pPr>
            <w:r>
              <w:t xml:space="preserve">0.15</w:t>
            </w:r>
          </w:p>
        </w:tc>
        <w:tc>
          <w:tcPr/>
          <w:p>
            <w:pPr>
              <w:pStyle w:val="Compact"/>
              <w:jc w:val="right"/>
            </w:pPr>
            <w:r>
              <w:t xml:space="preserve">0.00</w:t>
            </w:r>
          </w:p>
        </w:tc>
        <w:tc>
          <w:tcPr/>
          <w:p>
            <w:pPr>
              <w:pStyle w:val="Compact"/>
              <w:jc w:val="right"/>
            </w:pPr>
            <w:r>
              <w:t xml:space="preserve">0.33</w:t>
            </w:r>
          </w:p>
        </w:tc>
      </w:tr>
      <w:tr>
        <w:tc>
          <w:tcPr/>
          <w:p>
            <w:pPr>
              <w:pStyle w:val="Compact"/>
              <w:jc w:val="right"/>
            </w:pPr>
            <w:r>
              <w:t xml:space="preserve">13</w:t>
            </w:r>
          </w:p>
        </w:tc>
        <w:tc>
          <w:tcPr/>
          <w:p>
            <w:pPr>
              <w:pStyle w:val="Compact"/>
              <w:jc w:val="left"/>
            </w:pPr>
            <w:r>
              <w:rPr>
                <w:rFonts w:hint="eastAsia"/>
              </w:rPr>
              <w:t xml:space="preserve">过剩供给回归强度</w:t>
            </w:r>
          </w:p>
        </w:tc>
        <w:tc>
          <w:tcPr/>
          <w:p>
            <w:pPr>
              <w:pStyle w:val="Compact"/>
              <w:jc w:val="right"/>
            </w:pPr>
            <w:r>
              <w:t xml:space="preserve">0.12</w:t>
            </w:r>
          </w:p>
        </w:tc>
        <w:tc>
          <w:tcPr/>
          <w:p>
            <w:pPr>
              <w:pStyle w:val="Compact"/>
              <w:jc w:val="right"/>
            </w:pPr>
            <w:r>
              <w:t xml:space="preserve">0.07</w:t>
            </w:r>
          </w:p>
        </w:tc>
        <w:tc>
          <w:tcPr/>
          <w:p>
            <w:pPr>
              <w:pStyle w:val="Compact"/>
              <w:jc w:val="right"/>
            </w:pPr>
            <w:r>
              <w:t xml:space="preserve">0.12</w:t>
            </w:r>
          </w:p>
        </w:tc>
      </w:tr>
      <w:tr>
        <w:tc>
          <w:tcPr/>
          <w:p>
            <w:pPr>
              <w:pStyle w:val="Compact"/>
              <w:jc w:val="right"/>
            </w:pPr>
            <w:r>
              <w:t xml:space="preserve">14</w:t>
            </w:r>
          </w:p>
        </w:tc>
        <w:tc>
          <w:tcPr/>
          <w:p>
            <w:pPr>
              <w:pStyle w:val="Compact"/>
              <w:jc w:val="left"/>
            </w:pPr>
            <w:r>
              <w:t xml:space="preserve">SPR </w:t>
            </w:r>
            <w:r>
              <w:rPr>
                <w:rFonts w:hint="eastAsia"/>
              </w:rPr>
              <w:t xml:space="preserve">启动延迟</w:t>
            </w:r>
          </w:p>
        </w:tc>
        <w:tc>
          <w:tcPr/>
          <w:p>
            <w:pPr>
              <w:pStyle w:val="Compact"/>
              <w:jc w:val="right"/>
            </w:pPr>
            <w:r>
              <w:t xml:space="preserve">0.06</w:t>
            </w:r>
          </w:p>
        </w:tc>
        <w:tc>
          <w:tcPr/>
          <w:p>
            <w:pPr>
              <w:pStyle w:val="Compact"/>
              <w:jc w:val="right"/>
            </w:pPr>
            <w:r>
              <w:t xml:space="preserve">0.00</w:t>
            </w:r>
          </w:p>
        </w:tc>
        <w:tc>
          <w:tcPr/>
          <w:p>
            <w:pPr>
              <w:pStyle w:val="Compact"/>
              <w:jc w:val="right"/>
            </w:pPr>
            <w:r>
              <w:t xml:space="preserve">0.13</w:t>
            </w:r>
          </w:p>
        </w:tc>
      </w:tr>
      <w:tr>
        <w:tc>
          <w:tcPr/>
          <w:p>
            <w:pPr>
              <w:pStyle w:val="Compact"/>
              <w:jc w:val="right"/>
            </w:pPr>
            <w:r>
              <w:t xml:space="preserve">15</w:t>
            </w:r>
          </w:p>
        </w:tc>
        <w:tc>
          <w:tcPr/>
          <w:p>
            <w:pPr>
              <w:pStyle w:val="Compact"/>
              <w:jc w:val="left"/>
            </w:pPr>
            <w:r>
              <w:rPr>
                <w:rFonts w:hint="eastAsia"/>
              </w:rPr>
              <w:t xml:space="preserve">绕道恢复耗时</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0.05</w:t>
            </w:r>
          </w:p>
        </w:tc>
      </w:tr>
      <w:tr>
        <w:tc>
          <w:tcPr/>
          <w:p>
            <w:pPr>
              <w:pStyle w:val="Compact"/>
              <w:jc w:val="right"/>
            </w:pPr>
            <w:r>
              <w:t xml:space="preserve">16</w:t>
            </w:r>
          </w:p>
        </w:tc>
        <w:tc>
          <w:tcPr/>
          <w:p>
            <w:pPr>
              <w:pStyle w:val="Compact"/>
              <w:jc w:val="left"/>
            </w:pPr>
            <w:r>
              <w:t xml:space="preserve">SPR </w:t>
            </w:r>
            <w:r>
              <w:rPr>
                <w:rFonts w:hint="eastAsia"/>
              </w:rPr>
              <w:t xml:space="preserve">收缩起点</w:t>
            </w:r>
          </w:p>
        </w:tc>
        <w:tc>
          <w:tcPr/>
          <w:p>
            <w:pPr>
              <w:pStyle w:val="Compact"/>
              <w:jc w:val="right"/>
            </w:pPr>
            <w:r>
              <w:t xml:space="preserve">0.02</w:t>
            </w:r>
          </w:p>
        </w:tc>
        <w:tc>
          <w:tcPr/>
          <w:p>
            <w:pPr>
              <w:pStyle w:val="Compact"/>
              <w:jc w:val="right"/>
            </w:pPr>
            <w:r>
              <w:t xml:space="preserve">0.00</w:t>
            </w:r>
          </w:p>
        </w:tc>
        <w:tc>
          <w:tcPr/>
          <w:p>
            <w:pPr>
              <w:pStyle w:val="Compact"/>
              <w:jc w:val="right"/>
            </w:pPr>
            <w:r>
              <w:t xml:space="preserve">0.04</w:t>
            </w:r>
          </w:p>
        </w:tc>
      </w:tr>
    </w:tbl>
    <w:bookmarkStart w:id="139" w:name="fig:sensitivity-tornado"/>
    <w:p>
      <w:pPr>
        <w:pStyle w:val="CaptionedFigure"/>
      </w:pPr>
      <w:r>
        <w:drawing>
          <wp:inline>
            <wp:extent cx="4907280" cy="2998893"/>
            <wp:effectExtent b="0" l="0" r="0" t="0"/>
            <wp:docPr descr="" title="" id="137" name="Picture"/>
            <a:graphic>
              <a:graphicData uri="http://schemas.openxmlformats.org/drawingml/2006/picture">
                <pic:pic>
                  <pic:nvPicPr>
                    <pic:cNvPr descr="参数敏感性龙卷风图.png" id="138" name="Picture"/>
                    <pic:cNvPicPr>
                      <a:picLocks noChangeArrowheads="1" noChangeAspect="1"/>
                    </pic:cNvPicPr>
                  </pic:nvPicPr>
                  <pic:blipFill>
                    <a:blip r:embed="rId136"/>
                    <a:stretch>
                      <a:fillRect/>
                    </a:stretch>
                  </pic:blipFill>
                  <pic:spPr bwMode="auto">
                    <a:xfrm>
                      <a:off x="0" y="0"/>
                      <a:ext cx="4907280" cy="2998893"/>
                    </a:xfrm>
                    <a:prstGeom prst="rect">
                      <a:avLst/>
                    </a:prstGeom>
                    <a:noFill/>
                    <a:ln w="9525">
                      <a:noFill/>
                      <a:headEnd/>
                      <a:tailEnd/>
                    </a:ln>
                  </pic:spPr>
                </pic:pic>
              </a:graphicData>
            </a:graphic>
          </wp:inline>
        </w:drawing>
      </w:r>
    </w:p>
    <w:p>
      <w:pPr>
        <w:pStyle w:val="ImageCaption"/>
      </w:pPr>
      <w:r>
        <w:rPr>
          <w:rFonts w:hint="eastAsia"/>
        </w:rPr>
        <w:t xml:space="preserve">关键参数综合敏感度排序。封锁风险衰减速度、地缘风险权重和制度风险强度排名靠前，说明长期结论主要受市场吸收封锁风险的速度控制。</w:t>
      </w:r>
    </w:p>
    <w:bookmarkEnd w:id="139"/>
    <w:bookmarkStart w:id="143" w:name="fig:sensitivity-heatmap"/>
    <w:p>
      <w:pPr>
        <w:pStyle w:val="CaptionedFigure"/>
      </w:pPr>
      <w:r>
        <w:drawing>
          <wp:inline>
            <wp:extent cx="4800600" cy="2971150"/>
            <wp:effectExtent b="0" l="0" r="0" t="0"/>
            <wp:docPr descr="" title="" id="141" name="Picture"/>
            <a:graphic>
              <a:graphicData uri="http://schemas.openxmlformats.org/drawingml/2006/picture">
                <pic:pic>
                  <pic:nvPicPr>
                    <pic:cNvPr descr="长期敏感性扰动热力图.png" id="142" name="Picture"/>
                    <pic:cNvPicPr>
                      <a:picLocks noChangeArrowheads="1" noChangeAspect="1"/>
                    </pic:cNvPicPr>
                  </pic:nvPicPr>
                  <pic:blipFill>
                    <a:blip r:embed="rId140"/>
                    <a:stretch>
                      <a:fillRect/>
                    </a:stretch>
                  </pic:blipFill>
                  <pic:spPr bwMode="auto">
                    <a:xfrm>
                      <a:off x="0" y="0"/>
                      <a:ext cx="4800600" cy="2971150"/>
                    </a:xfrm>
                    <a:prstGeom prst="rect">
                      <a:avLst/>
                    </a:prstGeom>
                    <a:noFill/>
                    <a:ln w="9525">
                      <a:noFill/>
                      <a:headEnd/>
                      <a:tailEnd/>
                    </a:ln>
                  </pic:spPr>
                </pic:pic>
              </a:graphicData>
            </a:graphic>
          </wp:inline>
        </w:drawing>
      </w:r>
    </w:p>
    <w:p>
      <w:pPr>
        <w:pStyle w:val="ImageCaption"/>
      </w:pPr>
      <w:r>
        <w:rPr>
          <w:rFonts w:hint="eastAsia"/>
        </w:rPr>
        <w:t xml:space="preserve">长期敏感性扰动热力图。颜色表示不同参数扰动档位下第</w:t>
      </w:r>
      <w:r>
        <w:t xml:space="preserve"> 180 </w:t>
      </w:r>
      <w:r>
        <w:rPr>
          <w:rFonts w:hint="eastAsia"/>
        </w:rPr>
        <w:t xml:space="preserve">天价格相对中性基准的变化方向和幅度，红色代表终点价格上升，蓝色代表终点价格下降。相比单一排序图，该图进一步展示同一参数在不同扰动档位下是否呈现稳定方向，说明长期结论主要受封锁风险衰减速度、地缘风险权重和制度风险强度共同控制。</w:t>
      </w:r>
    </w:p>
    <w:bookmarkEnd w:id="143"/>
    <w:p>
      <w:pPr>
        <w:pStyle w:val="BodyText"/>
      </w:pPr>
      <w:r>
        <w:rPr>
          <w:rFonts w:hint="eastAsia"/>
        </w:rPr>
        <w:t xml:space="preserve">敏感性分析表明，第</w:t>
      </w:r>
      <w:r>
        <w:t xml:space="preserve"> 180 </w:t>
      </w:r>
      <w:r>
        <w:rPr>
          <w:rFonts w:hint="eastAsia"/>
        </w:rPr>
        <w:t xml:space="preserve">天终点价格对市场风险吸收速度最敏感。图</w:t>
      </w:r>
      <w:r>
        <w:t xml:space="preserve"> </w:t>
      </w:r>
      <w:hyperlink w:anchor="fig:sensitivity-tornado">
        <w:r>
          <w:rPr>
            <w:rStyle w:val="Hyperlink"/>
          </w:rPr>
          <w:t xml:space="preserve">8</w:t>
        </w:r>
      </w:hyperlink>
      <w:r>
        <w:t xml:space="preserve"> </w:t>
      </w:r>
      <w:r>
        <w:rPr>
          <w:rFonts w:hint="eastAsia"/>
        </w:rPr>
        <w:t xml:space="preserve">中，封锁风险衰减速度从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天价格波动范围达到</w:t>
      </w:r>
      <w:r>
        <w:t xml:space="preserve"> 14.93 </w:t>
      </w:r>
      <w:r>
        <w:rPr>
          <w:rFonts w:hint="eastAsia"/>
        </w:rPr>
        <w:t xml:space="preserve">美元/桶，说明长期中心路径的关键不只是物理缺口何时闭合，而是市场多快把封锁状态从突发风险重新定价为可管理的制度风险。地缘风险权重和不确定性与制度风险强度仍保持高敏感，供应中断量决定价格上行压力的物理底座。新增的长期机制透明层中，制度风险占比和信心恢复后风险底座具有可观影响；过剩供给回归强度和</w:t>
      </w:r>
      <w:r>
        <w:t xml:space="preserve"> SPR </w:t>
      </w:r>
      <w:r>
        <w:rPr>
          <w:rFonts w:hint="eastAsia"/>
        </w:rPr>
        <w:t xml:space="preserve">收缩起点敏感度很低，说明当前中性路径的价格回落主要来自风险溢价衰减和需求再平衡，而不是依靠轻微供给过剩或人为设定的</w:t>
      </w:r>
      <w:r>
        <w:t xml:space="preserve"> SPR </w:t>
      </w:r>
      <w:r>
        <w:rPr>
          <w:rFonts w:hint="eastAsia"/>
        </w:rPr>
        <w:t xml:space="preserve">时间开关。SPR</w:t>
      </w:r>
      <w:r>
        <w:t xml:space="preserve"> </w:t>
      </w:r>
      <w:r>
        <w:rPr>
          <w:rFonts w:hint="eastAsia"/>
        </w:rPr>
        <w:t xml:space="preserve">释放、启动延迟和绕道运输在中性路径下对第</w:t>
      </w:r>
      <w:r>
        <w:t xml:space="preserve"> 180 </w:t>
      </w:r>
      <w:r>
        <w:rPr>
          <w:rFonts w:hint="eastAsia"/>
        </w:rPr>
        <w:t xml:space="preserve">天终点价影响相对较小，但会改变外推期峰值、缺口闭合速度和二次跳涨幅度，因此更适合被解释为</w:t>
      </w:r>
      <w:r>
        <w:rPr>
          <w:rFonts w:hint="eastAsia"/>
        </w:rPr>
        <w:t xml:space="preserve">“削峰”</w:t>
      </w:r>
      <w:r>
        <w:rPr>
          <w:rFonts w:hint="eastAsia"/>
        </w:rPr>
        <w:t xml:space="preserve">和</w:t>
      </w:r>
      <w:r>
        <w:rPr>
          <w:rFonts w:hint="eastAsia"/>
        </w:rPr>
        <w:t xml:space="preserve">“争取恢复时间”</w:t>
      </w:r>
      <w:r>
        <w:rPr>
          <w:rFonts w:hint="eastAsia"/>
        </w:rPr>
        <w:t xml:space="preserve">的政策缓冲变量。</w:t>
      </w:r>
    </w:p>
    <w:p>
      <w:pPr>
        <w:pStyle w:val="BodyText"/>
      </w:pPr>
      <w:r>
        <w:rPr>
          <w:rFonts w:hint="eastAsia"/>
          <w:b/>
          <w:bCs/>
        </w:rPr>
        <w:t xml:space="preserve">关键结论</w:t>
      </w:r>
      <w:r>
        <w:rPr>
          <w:rFonts w:hint="eastAsia"/>
        </w:rPr>
        <w:t xml:space="preserve">敏感性排序将隐藏常数显性化：长期预测最依赖封锁风险衰减速度，其次才是地缘风险权重和制度风险强度。这种写法主动承认模型边界，比只报一个中性预测点更稳。</w:t>
      </w:r>
    </w:p>
    <w:bookmarkEnd w:id="144"/>
    <w:bookmarkStart w:id="155" w:name="sec:monte-carlo"/>
    <w:p>
      <w:pPr>
        <w:pStyle w:val="Heading2"/>
      </w:pPr>
      <w:r>
        <w:rPr>
          <w:rFonts w:hint="eastAsia"/>
        </w:rPr>
        <w:t xml:space="preserve">蒙特卡洛情景树</w:t>
      </w:r>
    </w:p>
    <w:p>
      <w:pPr>
        <w:pStyle w:val="FirstParagraph"/>
      </w:pPr>
      <w:r>
        <w:rPr>
          <w:rFonts w:hint="eastAsia"/>
        </w:rPr>
        <w:t xml:space="preserve">单因素敏感性分析可以说明某个参数单独变化时的边际影响，但封锁长期化的真实风险往往来自多个因素同时恶化：供应中断偏大、SPR</w:t>
      </w:r>
      <w:r>
        <w:t xml:space="preserve"> </w:t>
      </w:r>
      <w:r>
        <w:rPr>
          <w:rFonts w:hint="eastAsia"/>
        </w:rPr>
        <w:t xml:space="preserve">释放不足、绕道运输恢复慢、长期需求弹性偏低、制度风险溢价偏高等因素可能共同出现。因此，本文进一步建立蒙特卡洛情景树，在赛题边界和敏感性扰动范围内对关键参数进行</w:t>
      </w:r>
      <w:r>
        <w:t xml:space="preserve"> 2000 </w:t>
      </w:r>
      <w:r>
        <w:rPr>
          <w:rFonts w:hint="eastAsia"/>
        </w:rPr>
        <w:t xml:space="preserve">次联合抽样。</w:t>
      </w:r>
    </w:p>
    <w:p>
      <w:pPr>
        <w:pStyle w:val="BodyText"/>
      </w:pPr>
      <w:r>
        <w:rPr>
          <w:rFonts w:hint="eastAsia"/>
        </w:rPr>
        <w:t xml:space="preserve">抽样设计采用一个综合压力指数</w:t>
      </w:r>
      <w:r>
        <w:t xml:space="preserve"> </w:t>
      </w:r>
      <m:oMath>
        <m:r>
          <m:t>z</m:t>
        </m:r>
        <m:r>
          <m:rPr>
            <m:sty m:val="p"/>
          </m:rPr>
          <m:t>∈</m:t>
        </m:r>
        <m:r>
          <m:rPr>
            <m:sty m:val="p"/>
          </m:rPr>
          <m:t>[</m:t>
        </m:r>
        <m:r>
          <m:t>0</m:t>
        </m:r>
        <m:r>
          <m:rPr>
            <m:sty m:val="p"/>
          </m:rPr>
          <m:t>,</m:t>
        </m:r>
        <m:r>
          <m:t>1</m:t>
        </m:r>
        <m:r>
          <m:rPr>
            <m:sty m:val="p"/>
          </m:rPr>
          <m:t>]</m:t>
        </m:r>
      </m:oMath>
      <w:r>
        <w:t xml:space="preserve"> </w:t>
      </w:r>
      <w:r>
        <w:rPr>
          <w:rFonts w:hint="eastAsia"/>
        </w:rPr>
        <w:t xml:space="preserve">表示外部压力状态。随着</w:t>
      </w:r>
      <w:r>
        <w:t xml:space="preserve"> </w:t>
      </w:r>
      <m:oMath>
        <m:r>
          <m:t>z</m:t>
        </m:r>
      </m:oMath>
      <w:r>
        <w:t xml:space="preserve"> </w:t>
      </w:r>
      <w:r>
        <w:rPr>
          <w:rFonts w:hint="eastAsia"/>
        </w:rPr>
        <w:t xml:space="preserve">增大，供应中断量、地缘风险权重和制度风险强度上升，而</w:t>
      </w:r>
      <w:r>
        <w:t xml:space="preserve"> SPR </w:t>
      </w:r>
      <w:r>
        <w:rPr>
          <w:rFonts w:hint="eastAsia"/>
        </w:rPr>
        <w:t xml:space="preserve">可用释放量、绕道运输能力、需求调整速度和预期修复强度下降。每次抽样后均调用同一套长期递推模型，得到一条</w:t>
      </w:r>
      <w:r>
        <w:t xml:space="preserve"> 60–180 </w:t>
      </w:r>
      <w:r>
        <w:rPr>
          <w:rFonts w:hint="eastAsia"/>
        </w:rPr>
        <w:t xml:space="preserve">天价格路径。这样做的目的不是生成未来真实价格，而是回答：在合理参数联合扰动下，价格路径大概率落在哪个区间，尾部风险有多大。</w:t>
      </w:r>
    </w:p>
    <w:p>
      <w:pPr>
        <w:pStyle w:val="BodyText"/>
      </w:pPr>
      <w:r>
        <w:rPr>
          <w:rFonts w:hint="eastAsia"/>
        </w:rPr>
        <w:t xml:space="preserve">需要说明的是，蒙特卡洛抽样并不把所有参数视为彼此独立。本文通过综合压力指数引入方向一致的相关结构：高压状态下，供应中断更大、政策缓冲更弱、运输恢复更慢、风险溢价更高；低压状态下则相反。因此，蒙特卡洛结果应理解为基于题面机制和历史波动尺度的条件先验分布，而不是从未来市场中估计出来的真实协方差矩阵。表中突破概率也是在这些条件假设下的尾部概率，不是无条件历史频率。</w:t>
      </w:r>
    </w:p>
    <w:p>
      <w:pPr>
        <w:pStyle w:val="BodyText"/>
      </w:pPr>
      <w:r>
        <w:rPr>
          <w:rFonts w:hint="eastAsia"/>
        </w:rPr>
        <w:t xml:space="preserve">本文进一步利用</w:t>
      </w:r>
      <w:r>
        <w:t xml:space="preserve"> 2017–2025 </w:t>
      </w:r>
      <w:r>
        <w:rPr>
          <w:rFonts w:hint="eastAsia"/>
        </w:rPr>
        <w:t xml:space="preserve">年附件历史数据构造</w:t>
      </w:r>
      <w:r>
        <w:t xml:space="preserve"> 2146 </w:t>
      </w:r>
      <w:r>
        <w:rPr>
          <w:rFonts w:hint="eastAsia"/>
        </w:rPr>
        <w:t xml:space="preserve">个同长度窗口，校准长期扰动尺度。2026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0.073，并将状态转移日度扰动波动率校准为</w:t>
      </w:r>
      <w:r>
        <w:t xml:space="preserve"> </w:t>
      </w:r>
      <w:r>
        <w:rPr>
          <w:rFonts w:hint="eastAsia"/>
        </w:rPr>
        <w:t xml:space="preserve">0.0132。历史数据因此进入长期模型的不确定性参数层，而不直接替代霍尔木兹封锁机制。</w:t>
      </w:r>
    </w:p>
    <w:p>
      <w:pPr>
        <w:pStyle w:val="CaptionedFigure"/>
      </w:pPr>
      <w:r>
        <w:drawing>
          <wp:inline>
            <wp:extent cx="4587240" cy="1761500"/>
            <wp:effectExtent b="0" l="0" r="0" t="0"/>
            <wp:docPr descr="" title="" id="146" name="Picture"/>
            <a:graphic>
              <a:graphicData uri="http://schemas.openxmlformats.org/drawingml/2006/picture">
                <pic:pic>
                  <pic:nvPicPr>
                    <pic:cNvPr descr="历史波动参数校准.png" id="147" name="Picture"/>
                    <pic:cNvPicPr>
                      <a:picLocks noChangeArrowheads="1" noChangeAspect="1"/>
                    </pic:cNvPicPr>
                  </pic:nvPicPr>
                  <pic:blipFill>
                    <a:blip r:embed="rId145"/>
                    <a:stretch>
                      <a:fillRect/>
                    </a:stretch>
                  </pic:blipFill>
                  <pic:spPr bwMode="auto">
                    <a:xfrm>
                      <a:off x="0" y="0"/>
                      <a:ext cx="4587240" cy="1761500"/>
                    </a:xfrm>
                    <a:prstGeom prst="rect">
                      <a:avLst/>
                    </a:prstGeom>
                    <a:noFill/>
                    <a:ln w="9525">
                      <a:noFill/>
                      <a:headEnd/>
                      <a:tailEnd/>
                    </a:ln>
                  </pic:spPr>
                </pic:pic>
              </a:graphicData>
            </a:graphic>
          </wp:inline>
        </w:drawing>
      </w:r>
    </w:p>
    <w:p>
      <w:pPr>
        <w:pStyle w:val="ImageCaption"/>
      </w:pPr>
      <w:r>
        <w:rPr>
          <w:rFonts w:hint="eastAsia"/>
        </w:rPr>
        <w:t xml:space="preserve">历史波动参数校准。2017–2025</w:t>
      </w:r>
      <w:r>
        <w:t xml:space="preserve"> </w:t>
      </w:r>
      <w:r>
        <w:rPr>
          <w:rFonts w:hint="eastAsia"/>
        </w:rPr>
        <w:t xml:space="preserve">同长度窗口为长期蒙特卡洛和状态转移扰动提供历史尺度。</w:t>
      </w:r>
    </w:p>
    <w:bookmarkStart w:id="151" w:name="fig:mc-path-cloud"/>
    <w:p>
      <w:pPr>
        <w:pStyle w:val="CaptionedFigure"/>
      </w:pPr>
      <w:r>
        <w:drawing>
          <wp:inline>
            <wp:extent cx="4907280" cy="2661575"/>
            <wp:effectExtent b="0" l="0" r="0" t="0"/>
            <wp:docPr descr="" title="" id="149" name="Picture"/>
            <a:graphic>
              <a:graphicData uri="http://schemas.openxmlformats.org/drawingml/2006/picture">
                <pic:pic>
                  <pic:nvPicPr>
                    <pic:cNvPr descr="传统蒙特卡洛路径云图.png" id="150" name="Picture"/>
                    <pic:cNvPicPr>
                      <a:picLocks noChangeArrowheads="1" noChangeAspect="1"/>
                    </pic:cNvPicPr>
                  </pic:nvPicPr>
                  <pic:blipFill>
                    <a:blip r:embed="rId148"/>
                    <a:stretch>
                      <a:fillRect/>
                    </a:stretch>
                  </pic:blipFill>
                  <pic:spPr bwMode="auto">
                    <a:xfrm>
                      <a:off x="0" y="0"/>
                      <a:ext cx="4907280" cy="2661575"/>
                    </a:xfrm>
                    <a:prstGeom prst="rect">
                      <a:avLst/>
                    </a:prstGeom>
                    <a:noFill/>
                    <a:ln w="9525">
                      <a:noFill/>
                      <a:headEnd/>
                      <a:tailEnd/>
                    </a:ln>
                  </pic:spPr>
                </pic:pic>
              </a:graphicData>
            </a:graphic>
          </wp:inline>
        </w:drawing>
      </w:r>
    </w:p>
    <w:p>
      <w:pPr>
        <w:pStyle w:val="ImageCaption"/>
      </w:pPr>
      <w:r>
        <w:rPr>
          <w:rFonts w:hint="eastAsia"/>
        </w:rPr>
        <w:t xml:space="preserve">传统蒙特卡洛路径云图。图中从</w:t>
      </w:r>
      <w:r>
        <w:t xml:space="preserve"> 2000 </w:t>
      </w:r>
      <w:r>
        <w:rPr>
          <w:rFonts w:hint="eastAsia"/>
        </w:rPr>
        <w:t xml:space="preserve">条模拟路径中分层抽取代表路径，黑线为中位数路径，蓝色虚线为</w:t>
      </w:r>
      <w:r>
        <w:t xml:space="preserve"> P05/P95 </w:t>
      </w:r>
      <w:r>
        <w:rPr>
          <w:rFonts w:hint="eastAsia"/>
        </w:rPr>
        <w:t xml:space="preserve">条件边界，红色虚线为</w:t>
      </w:r>
      <w:r>
        <w:t xml:space="preserve"> 120 </w:t>
      </w:r>
      <w:r>
        <w:rPr>
          <w:rFonts w:hint="eastAsia"/>
        </w:rPr>
        <w:t xml:space="preserve">美元/桶风险线。</w:t>
      </w:r>
    </w:p>
    <w:bookmarkEnd w:id="151"/>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16.3%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3.9%</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0.1%</w:t>
            </w:r>
          </w:p>
        </w:tc>
      </w:tr>
      <w:tr>
        <w:tc>
          <w:tcPr/>
          <w:p>
            <w:pPr>
              <w:pStyle w:val="Compact"/>
              <w:jc w:val="left"/>
            </w:pPr>
            <w:r>
              <w:rPr>
                <w:rFonts w:hint="eastAsia"/>
              </w:rPr>
              <w:t xml:space="preserve">二次跳涨风险为高概率</w:t>
            </w:r>
          </w:p>
        </w:tc>
        <w:tc>
          <w:tcPr/>
          <w:p>
            <w:pPr>
              <w:pStyle w:val="Compact"/>
              <w:jc w:val="right"/>
            </w:pPr>
            <w:r>
              <w:t xml:space="preserve">8.4%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89.58</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96.69</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106.44</w:t>
            </w:r>
          </w:p>
        </w:tc>
      </w:tr>
      <w:tr>
        <w:tc>
          <w:tcPr/>
          <w:p>
            <w:pPr>
              <w:pStyle w:val="Compact"/>
              <w:jc w:val="left"/>
            </w:pPr>
            <w:r>
              <w:rPr>
                <w:rFonts w:hint="eastAsia"/>
              </w:rPr>
              <w:t xml:space="preserve">外推期最高价</w:t>
            </w:r>
            <w:r>
              <w:t xml:space="preserve"> P95</w:t>
            </w:r>
          </w:p>
        </w:tc>
        <w:tc>
          <w:tcPr/>
          <w:p>
            <w:pPr>
              <w:pStyle w:val="Compact"/>
              <w:jc w:val="right"/>
            </w:pPr>
            <w:r>
              <w:t xml:space="preserve">128.53</w:t>
            </w:r>
          </w:p>
        </w:tc>
      </w:tr>
    </w:tbl>
    <w:p>
      <w:pPr>
        <w:pStyle w:val="CaptionedFigure"/>
      </w:pPr>
      <w:r>
        <w:drawing>
          <wp:inline>
            <wp:extent cx="4160520" cy="2352876"/>
            <wp:effectExtent b="0" l="0" r="0" t="0"/>
            <wp:docPr descr="" title="" id="153" name="Picture"/>
            <a:graphic>
              <a:graphicData uri="http://schemas.openxmlformats.org/drawingml/2006/picture">
                <pic:pic>
                  <pic:nvPicPr>
                    <pic:cNvPr descr="蒙特卡洛尾部风险概率.png" id="154" name="Picture"/>
                    <pic:cNvPicPr>
                      <a:picLocks noChangeArrowheads="1" noChangeAspect="1"/>
                    </pic:cNvPicPr>
                  </pic:nvPicPr>
                  <pic:blipFill>
                    <a:blip r:embed="rId152"/>
                    <a:stretch>
                      <a:fillRect/>
                    </a:stretch>
                  </pic:blipFill>
                  <pic:spPr bwMode="auto">
                    <a:xfrm>
                      <a:off x="0" y="0"/>
                      <a:ext cx="4160520" cy="2352876"/>
                    </a:xfrm>
                    <a:prstGeom prst="rect">
                      <a:avLst/>
                    </a:prstGeom>
                    <a:noFill/>
                    <a:ln w="9525">
                      <a:noFill/>
                      <a:headEnd/>
                      <a:tailEnd/>
                    </a:ln>
                  </pic:spPr>
                </pic:pic>
              </a:graphicData>
            </a:graphic>
          </wp:inline>
        </w:drawing>
      </w:r>
    </w:p>
    <w:p>
      <w:pPr>
        <w:pStyle w:val="ImageCaption"/>
      </w:pPr>
      <w:r>
        <w:rPr>
          <w:rFonts w:hint="eastAsia"/>
        </w:rPr>
        <w:t xml:space="preserve">蒙特卡洛尾部风险概率。突破阈值概率随外推时间变化，说明长期模型应报告条件尾部风险，而不是只给单条中性预测线。</w:t>
      </w:r>
    </w:p>
    <w:p>
      <w:pPr>
        <w:pStyle w:val="BodyText"/>
      </w:pPr>
      <w:r>
        <w:rPr>
          <w:rFonts w:hint="eastAsia"/>
        </w:rPr>
        <w:t xml:space="preserve">结果表明，蒙特卡洛路径的第</w:t>
      </w:r>
      <w:r>
        <w:t xml:space="preserve"> 180 </w:t>
      </w:r>
      <w:r>
        <w:rPr>
          <w:rFonts w:hint="eastAsia"/>
        </w:rPr>
        <w:t xml:space="preserve">天中位数价格为</w:t>
      </w:r>
      <w:r>
        <w:t xml:space="preserve"> 96.69 </w:t>
      </w:r>
      <w:r>
        <w:rPr>
          <w:rFonts w:hint="eastAsia"/>
        </w:rPr>
        <w:t xml:space="preserve">美元/桶，与接入官方外生约束和</w:t>
      </w:r>
      <w:r>
        <w:t xml:space="preserve"> OVX </w:t>
      </w:r>
      <w:r>
        <w:rPr>
          <w:rFonts w:hint="eastAsia"/>
        </w:rPr>
        <w:t xml:space="preserve">后的中性情景</w:t>
      </w:r>
      <w:r>
        <w:t xml:space="preserve"> 94.15 </w:t>
      </w:r>
      <w:r>
        <w:rPr>
          <w:rFonts w:hint="eastAsia"/>
        </w:rPr>
        <w:t xml:space="preserve">美元/桶处在同一数量级，说明中性路径不是孤立的单点调参结果。与此同时，外推期最高价突破</w:t>
      </w:r>
      <w:r>
        <w:t xml:space="preserve"> 120 </w:t>
      </w:r>
      <w:r>
        <w:rPr>
          <w:rFonts w:hint="eastAsia"/>
        </w:rPr>
        <w:t xml:space="preserve">美元/桶的概率为</w:t>
      </w:r>
      <w:r>
        <w:t xml:space="preserve"> </w:t>
      </w:r>
      <w:r>
        <w:rPr>
          <w:rFonts w:hint="eastAsia"/>
        </w:rPr>
        <w:t xml:space="preserve">16.3%，突破</w:t>
      </w:r>
      <w:r>
        <w:t xml:space="preserve"> 130 </w:t>
      </w:r>
      <w:r>
        <w:rPr>
          <w:rFonts w:hint="eastAsia"/>
        </w:rPr>
        <w:t xml:space="preserve">美元/桶的概率为</w:t>
      </w:r>
      <w:r>
        <w:t xml:space="preserve"> </w:t>
      </w:r>
      <w:r>
        <w:rPr>
          <w:rFonts w:hint="eastAsia"/>
        </w:rPr>
        <w:t xml:space="preserve">3.9%。这说明长期风险的重点不是中性点预测本身，而是多因素联动恶化下的尾部组合风险；OVX</w:t>
      </w:r>
      <w:r>
        <w:t xml:space="preserve"> </w:t>
      </w:r>
      <w:r>
        <w:rPr>
          <w:rFonts w:hint="eastAsia"/>
        </w:rPr>
        <w:t xml:space="preserve">接入后，模型对市场隐含波动率给出的尾部定价更加敏感。</w:t>
      </w:r>
    </w:p>
    <w:bookmarkEnd w:id="155"/>
    <w:bookmarkStart w:id="159" w:name="状态转移扰动检验"/>
    <w:p>
      <w:pPr>
        <w:pStyle w:val="Heading2"/>
      </w:pPr>
      <w:r>
        <w:rPr>
          <w:rFonts w:hint="eastAsia"/>
        </w:rPr>
        <w:t xml:space="preserve">状态转移扰动检验</w:t>
      </w:r>
    </w:p>
    <w:p>
      <w:pPr>
        <w:pStyle w:val="FirstParagraph"/>
      </w:pPr>
      <w:r>
        <w:rPr>
          <w:rFonts w:hint="eastAsia"/>
        </w:rPr>
        <w:t xml:space="preserve">蒙特卡洛情景树主要扰动参数，而状态转移情景树主要扰动事件状态。设长期状态变量</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rPr>
          <w:rFonts w:hint="eastAsia"/>
        </w:rPr>
        <w:t xml:space="preserve">，分别表示缓和、维持和升级三类状态，其转移概率满足</w:t>
      </w:r>
    </w:p>
    <w:p>
      <w:pPr>
        <w:pStyle w:val="BodyText"/>
      </w:pPr>
      <m:oMathPara>
        <m:oMathParaPr>
          <m:jc m:val="center"/>
        </m:oMathParaPr>
        <m:oMath>
          <m:r>
            <m:rPr>
              <m:sty m:val="p"/>
            </m:rPr>
            <m:t>Pr</m:t>
          </m:r>
          <m:r>
            <m:rPr>
              <m:sty m:val="p"/>
            </m:rPr>
            <m:t>(</m:t>
          </m:r>
          <m:sSub>
            <m:e>
              <m:r>
                <m:t>Z</m:t>
              </m:r>
            </m:e>
            <m:sub>
              <m:r>
                <m:t>t</m:t>
              </m:r>
              <m:r>
                <m:rPr>
                  <m:sty m:val="p"/>
                </m:rPr>
                <m:t>+</m:t>
              </m:r>
              <m:r>
                <m:t>1</m:t>
              </m:r>
            </m:sub>
          </m:sSub>
          <m:r>
            <m:rPr>
              <m:sty m:val="p"/>
            </m:rPr>
            <m:t>=</m:t>
          </m:r>
          <m:r>
            <m:t>j</m:t>
          </m:r>
          <m:r>
            <m:rPr>
              <m:sty m:val="p"/>
            </m:rPr>
            <m:t>∣</m:t>
          </m:r>
          <m:sSub>
            <m:e>
              <m:r>
                <m:t>Z</m:t>
              </m:r>
            </m:e>
            <m:sub>
              <m:r>
                <m:t>t</m:t>
              </m:r>
            </m:sub>
          </m:sSub>
          <m:r>
            <m:rPr>
              <m:sty m:val="p"/>
            </m:rPr>
            <m:t>=</m:t>
          </m:r>
          <m:r>
            <m:t>i</m:t>
          </m:r>
          <m:r>
            <m:rPr>
              <m:sty m:val="p"/>
            </m:rPr>
            <m:t>)</m:t>
          </m:r>
          <m:r>
            <m:rPr>
              <m:sty m:val="p"/>
            </m:rPr>
            <m:t>=</m:t>
          </m:r>
          <m:sSub>
            <m:e>
              <m:r>
                <m:t>m</m:t>
              </m:r>
            </m:e>
            <m:sub>
              <m:r>
                <m:t>i</m:t>
              </m:r>
              <m:r>
                <m:t>j</m:t>
              </m:r>
            </m:sub>
          </m:sSub>
          <m:r>
            <m:rPr>
              <m:sty m:val="p"/>
            </m:rPr>
            <m:t>(</m:t>
          </m:r>
          <m:r>
            <m:t>t</m:t>
          </m:r>
          <m:r>
            <m:rPr>
              <m:sty m:val="p"/>
            </m:rPr>
            <m:t>)</m:t>
          </m:r>
          <m:r>
            <m:rPr>
              <m:sty m:val="p"/>
            </m:rPr>
            <m:t>,</m:t>
          </m:r>
        </m:oMath>
      </m:oMathPara>
    </w:p>
    <w:p>
      <w:pPr>
        <w:pStyle w:val="FirstParagraph"/>
      </w:pPr>
      <w:r>
        <w:rPr>
          <w:rFonts w:hint="eastAsia"/>
        </w:rPr>
        <w:t xml:space="preserve">其中</w:t>
      </w:r>
      <w:r>
        <w:t xml:space="preserve"> </w:t>
      </w:r>
      <m:oMath>
        <m:sSub>
          <m:e>
            <m:r>
              <m:t>m</m:t>
            </m:r>
          </m:e>
          <m:sub>
            <m:r>
              <m:t>i</m:t>
            </m:r>
            <m:r>
              <m:t>j</m:t>
            </m:r>
          </m:sub>
        </m:sSub>
        <m:r>
          <m:rPr>
            <m:sty m:val="p"/>
          </m:rPr>
          <m:t>(</m:t>
        </m:r>
        <m:r>
          <m:t>t</m:t>
        </m:r>
        <m:r>
          <m:rPr>
            <m:sty m:val="p"/>
          </m:rPr>
          <m:t>)</m:t>
        </m:r>
      </m:oMath>
      <w:r>
        <w:t xml:space="preserve"> </w:t>
      </w:r>
      <w:r>
        <w:rPr>
          <w:rFonts w:hint="eastAsia"/>
        </w:rPr>
        <w:t xml:space="preserve">允许随封锁持续时间缓慢偏向缓和状态，表示市场逐步观察到政策缓冲和替代运输效果。给定状态</w:t>
      </w:r>
      <w:r>
        <w:t xml:space="preserve"> </w:t>
      </w:r>
      <m:oMath>
        <m:sSub>
          <m:e>
            <m:r>
              <m:t>Z</m:t>
            </m:r>
          </m:e>
          <m:sub>
            <m:r>
              <m:t>t</m:t>
            </m:r>
          </m:sub>
        </m:sSub>
      </m:oMath>
      <w:r>
        <w:t xml:space="preserve"> </w:t>
      </w:r>
      <w:r>
        <w:rPr>
          <w:rFonts w:hint="eastAsia"/>
        </w:rPr>
        <w:t xml:space="preserve">后，价格不直接等于某条三情景曲线，而是向相应中心路径</w:t>
      </w:r>
      <w:r>
        <w:t xml:space="preserve"> </w:t>
      </w:r>
      <m:oMath>
        <m:sSub>
          <m:e>
            <m:acc>
              <m:accPr>
                <m:chr m:val="‾"/>
              </m:accPr>
              <m:e>
                <m:r>
                  <m:t>P</m:t>
                </m:r>
              </m:e>
            </m:acc>
          </m:e>
          <m:sub>
            <m:r>
              <m:t>t</m:t>
            </m:r>
          </m:sub>
        </m:sSub>
        <m:r>
          <m:rPr>
            <m:sty m:val="p"/>
          </m:rPr>
          <m:t>(</m:t>
        </m:r>
        <m:sSub>
          <m:e>
            <m:r>
              <m:t>Z</m:t>
            </m:r>
          </m:e>
          <m:sub>
            <m:r>
              <m:t>t</m:t>
            </m:r>
          </m:sub>
        </m:sSub>
        <m:r>
          <m:rPr>
            <m:sty m:val="p"/>
          </m:rPr>
          <m:t>)</m:t>
        </m:r>
      </m:oMath>
      <w:r>
        <w:t xml:space="preserve"> </w:t>
      </w:r>
      <w:r>
        <w:rPr>
          <w:rFonts w:hint="eastAsia"/>
        </w:rPr>
        <w:t xml:space="preserve">均值回复：</w:t>
      </w:r>
    </w:p>
    <w:p>
      <w:pPr>
        <w:pStyle w:val="BodyText"/>
      </w:pPr>
      <m:oMathPara>
        <m:oMathParaPr>
          <m:jc m:val="center"/>
        </m:oMathParaPr>
        <m:oMath>
          <m:sSubSup>
            <m:e>
              <m:r>
                <m:t>P</m:t>
              </m:r>
            </m:e>
            <m:sub>
              <m:r>
                <m:t>t</m:t>
              </m:r>
            </m:sub>
            <m:sup>
              <m:r>
                <m:rPr>
                  <m:sty m:val="p"/>
                </m:rPr>
                <m:t>(</m:t>
              </m:r>
              <m:r>
                <m:t>s</m:t>
              </m:r>
              <m:r>
                <m:rPr>
                  <m:sty m:val="p"/>
                </m:rPr>
                <m:t>)</m:t>
              </m:r>
            </m:sup>
          </m:sSubSup>
          <m:r>
            <m:rPr>
              <m:sty m:val="p"/>
            </m:rPr>
            <m:t>=</m:t>
          </m:r>
          <m:r>
            <m:t>0.82</m:t>
          </m:r>
          <m:sSubSup>
            <m:e>
              <m:r>
                <m:t>P</m:t>
              </m:r>
            </m:e>
            <m:sub>
              <m:r>
                <m:t>t</m:t>
              </m:r>
              <m:r>
                <m:rPr>
                  <m:sty m:val="p"/>
                </m:rPr>
                <m:t>−</m:t>
              </m:r>
              <m:r>
                <m:t>1</m:t>
              </m:r>
            </m:sub>
            <m:sup>
              <m:r>
                <m:rPr>
                  <m:sty m:val="p"/>
                </m:rPr>
                <m:t>(</m:t>
              </m:r>
              <m:r>
                <m:t>s</m:t>
              </m:r>
              <m:r>
                <m:rPr>
                  <m:sty m:val="p"/>
                </m:rPr>
                <m:t>)</m:t>
              </m:r>
            </m:sup>
          </m:sSubSup>
          <m:r>
            <m:rPr>
              <m:sty m:val="p"/>
            </m:rPr>
            <m:t>+</m:t>
          </m:r>
          <m:r>
            <m:t>0.18</m:t>
          </m:r>
          <m:sSub>
            <m:e>
              <m:acc>
                <m:accPr>
                  <m:chr m:val="‾"/>
                </m:accPr>
                <m:e>
                  <m:r>
                    <m:t>P</m:t>
                  </m:r>
                </m:e>
              </m:acc>
            </m:e>
            <m:sub>
              <m:r>
                <m:t>t</m:t>
              </m:r>
            </m:sub>
          </m:sSub>
          <m:r>
            <m:rPr>
              <m:sty m:val="p"/>
            </m:rPr>
            <m:t>(</m:t>
          </m:r>
          <m:sSub>
            <m:e>
              <m:r>
                <m:t>Z</m:t>
              </m:r>
            </m:e>
            <m:sub>
              <m:r>
                <m:t>t</m:t>
              </m:r>
            </m:sub>
          </m:sSub>
          <m:r>
            <m:rPr>
              <m:sty m:val="p"/>
            </m:rPr>
            <m:t>)</m:t>
          </m:r>
          <m:r>
            <m:rPr>
              <m:sty m:val="p"/>
            </m:rPr>
            <m:t>+</m:t>
          </m:r>
          <m:sSub>
            <m:e>
              <m:r>
                <m:t>u</m:t>
              </m:r>
            </m:e>
            <m:sub>
              <m:r>
                <m:t>t</m:t>
              </m:r>
            </m:sub>
          </m:sSub>
          <m:r>
            <m:rPr>
              <m:sty m:val="p"/>
            </m:rPr>
            <m:t>(</m:t>
          </m:r>
          <m:sSub>
            <m:e>
              <m:r>
                <m:t>Z</m:t>
              </m:r>
            </m:e>
            <m:sub>
              <m:r>
                <m:t>t</m:t>
              </m:r>
            </m:sub>
          </m:sSub>
          <m:r>
            <m:rPr>
              <m:sty m:val="p"/>
            </m:rPr>
            <m:t>)</m:t>
          </m:r>
          <m:r>
            <m:rPr>
              <m:sty m:val="p"/>
            </m:rPr>
            <m:t>+</m:t>
          </m:r>
          <m:sSub>
            <m:e>
              <m:r>
                <m:t>η</m:t>
              </m:r>
            </m:e>
            <m:sub>
              <m:r>
                <m:t>t</m:t>
              </m:r>
            </m:sub>
          </m:sSub>
          <m:r>
            <m:rPr>
              <m:sty m:val="p"/>
            </m:rPr>
            <m:t>(</m:t>
          </m:r>
          <m:sSub>
            <m:e>
              <m:r>
                <m:t>Z</m:t>
              </m:r>
            </m:e>
            <m:sub>
              <m:r>
                <m:t>t</m:t>
              </m:r>
              <m:r>
                <m:rPr>
                  <m:sty m:val="p"/>
                </m:rPr>
                <m:t>−</m:t>
              </m:r>
              <m:r>
                <m:t>1</m:t>
              </m:r>
            </m:sub>
          </m:sSub>
          <m:r>
            <m:rPr>
              <m:sty m:val="p"/>
            </m:rPr>
            <m:t>,</m:t>
          </m:r>
          <m:sSub>
            <m:e>
              <m:r>
                <m:t>Z</m:t>
              </m:r>
            </m:e>
            <m:sub>
              <m:r>
                <m:t>t</m:t>
              </m:r>
            </m:sub>
          </m:sSub>
          <m:r>
            <m:rPr>
              <m:sty m:val="p"/>
            </m:rPr>
            <m:t>)</m:t>
          </m:r>
          <m:r>
            <m:rPr>
              <m:sty m:val="p"/>
            </m:rPr>
            <m:t>,</m:t>
          </m:r>
        </m:oMath>
      </m:oMathPara>
    </w:p>
    <w:p>
      <w:pPr>
        <w:pStyle w:val="FirstParagraph"/>
      </w:pPr>
      <w:r>
        <w:rPr>
          <w:rFonts w:hint="eastAsia"/>
        </w:rPr>
        <w:t xml:space="preserve">其中</w:t>
      </w:r>
      <w:r>
        <w:t xml:space="preserve"> </w:t>
      </w:r>
      <m:oMath>
        <m:sSub>
          <m:e>
            <m:r>
              <m:t>u</m:t>
            </m:r>
          </m:e>
          <m:sub>
            <m:r>
              <m:t>t</m:t>
            </m:r>
          </m:sub>
        </m:sSub>
      </m:oMath>
      <w:r>
        <w:t xml:space="preserve"> </w:t>
      </w:r>
      <w:r>
        <w:rPr>
          <w:rFonts w:hint="eastAsia"/>
        </w:rPr>
        <w:t xml:space="preserve">为由附件历史波动估计的保守扰动项，</w:t>
      </w:r>
      <m:oMath>
        <m:sSub>
          <m:e>
            <m:r>
              <m:t>η</m:t>
            </m:r>
          </m:e>
          <m:sub>
            <m:r>
              <m:t>t</m:t>
            </m:r>
          </m:sub>
        </m:sSub>
      </m:oMath>
      <w:r>
        <w:t xml:space="preserve"> </w:t>
      </w:r>
      <w:r>
        <w:rPr>
          <w:rFonts w:hint="eastAsia"/>
        </w:rPr>
        <w:t xml:space="preserve">为状态切换时的跳变项。状态转移概率</w:t>
      </w:r>
      <w:r>
        <w:t xml:space="preserve"> </w:t>
      </w:r>
      <m:oMath>
        <m:sSub>
          <m:e>
            <m:r>
              <m:t>m</m:t>
            </m:r>
          </m:e>
          <m:sub>
            <m:r>
              <m:t>i</m:t>
            </m:r>
            <m:r>
              <m:t>j</m:t>
            </m:r>
          </m:sub>
        </m:sSub>
        <m:r>
          <m:rPr>
            <m:sty m:val="p"/>
          </m:rPr>
          <m:t>(</m:t>
        </m:r>
        <m:r>
          <m:t>t</m:t>
        </m:r>
        <m:r>
          <m:rPr>
            <m:sty m:val="p"/>
          </m:rPr>
          <m:t>)</m:t>
        </m:r>
      </m:oMath>
      <w:r>
        <w:t xml:space="preserve"> </w:t>
      </w:r>
      <w:r>
        <w:rPr>
          <w:rFonts w:hint="eastAsia"/>
        </w:rPr>
        <w:t xml:space="preserve">还受到</w:t>
      </w:r>
      <w:r>
        <w:t xml:space="preserve"> GPR </w:t>
      </w:r>
      <w:r>
        <w:rPr>
          <w:rFonts w:hint="eastAsia"/>
        </w:rPr>
        <w:t xml:space="preserve">与</w:t>
      </w:r>
      <w:r>
        <w:t xml:space="preserve"> OVX </w:t>
      </w:r>
      <w:r>
        <w:rPr>
          <w:rFonts w:hint="eastAsia"/>
        </w:rPr>
        <w:t xml:space="preserve">生成的综合状态转移压力约束：GPR</w:t>
      </w:r>
      <w:r>
        <w:t xml:space="preserve"> </w:t>
      </w:r>
      <w:r>
        <w:rPr>
          <w:rFonts w:hint="eastAsia"/>
        </w:rPr>
        <w:t xml:space="preserve">反映地缘风险高位，OVX</w:t>
      </w:r>
      <w:r>
        <w:t xml:space="preserve"> </w:t>
      </w:r>
      <w:r>
        <w:rPr>
          <w:rFonts w:hint="eastAsia"/>
        </w:rPr>
        <w:t xml:space="preserve">反映期权市场对未来波动的定价，二者只温和提高早中期升级概率，并随外推时间衰减。该设定的含义是：长期物理机制决定价格中枢，事件状态切换决定价格围绕中枢的震荡和局部跳变。</w:t>
      </w:r>
    </w:p>
    <w:p>
      <w:pPr>
        <w:pStyle w:val="BodyText"/>
      </w:pPr>
      <w:r>
        <w:rPr>
          <w:rFonts w:hint="eastAsia"/>
        </w:rPr>
        <w:t xml:space="preserve">本检验共生成</w:t>
      </w:r>
      <w:r>
        <w:t xml:space="preserve"> 3000 </w:t>
      </w:r>
      <w:r>
        <w:rPr>
          <w:rFonts w:hint="eastAsia"/>
        </w:rPr>
        <w:t xml:space="preserve">条状态转移路径。结果显示，第</w:t>
      </w:r>
      <w:r>
        <w:t xml:space="preserve"> 180 </w:t>
      </w:r>
      <w:r>
        <w:rPr>
          <w:rFonts w:hint="eastAsia"/>
        </w:rPr>
        <w:t xml:space="preserve">天价格中位数为</w:t>
      </w:r>
      <w:r>
        <w:t xml:space="preserve"> 89.58 </w:t>
      </w:r>
      <w:r>
        <w:rPr>
          <w:rFonts w:hint="eastAsia"/>
        </w:rPr>
        <w:t xml:space="preserve">美元/桶，5%–95%</w:t>
      </w:r>
      <w:r>
        <w:t xml:space="preserve"> </w:t>
      </w:r>
      <w:r>
        <w:rPr>
          <w:rFonts w:hint="eastAsia"/>
        </w:rPr>
        <w:t xml:space="preserve">条件区间为</w:t>
      </w:r>
      <w:r>
        <w:t xml:space="preserve"> 86.36–96.06 </w:t>
      </w:r>
      <w:r>
        <w:rPr>
          <w:rFonts w:hint="eastAsia"/>
        </w:rPr>
        <w:t xml:space="preserve">美元/桶；外推期最高价</w:t>
      </w:r>
      <w:r>
        <w:t xml:space="preserve"> P95 </w:t>
      </w:r>
      <w:r>
        <w:rPr>
          <w:rFonts w:hint="eastAsia"/>
        </w:rPr>
        <w:t xml:space="preserve">为</w:t>
      </w:r>
      <w:r>
        <w:t xml:space="preserve"> 130.51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38.3%，突破</w:t>
      </w:r>
      <w:r>
        <w:t xml:space="preserve"> 130 </w:t>
      </w:r>
      <w:r>
        <w:rPr>
          <w:rFonts w:hint="eastAsia"/>
        </w:rPr>
        <w:t xml:space="preserve">美元/桶的条件概率为</w:t>
      </w:r>
      <w:r>
        <w:t xml:space="preserve"> </w:t>
      </w:r>
      <w:r>
        <w:rPr>
          <w:rFonts w:hint="eastAsia"/>
        </w:rPr>
        <w:t xml:space="preserve">5.7%。这说明状态切换和市场风险约束确实会放大外推期局部峰值，但不会推翻</w:t>
      </w:r>
      <w:r>
        <w:rPr>
          <w:rFonts w:hint="eastAsia"/>
        </w:rPr>
        <w:t xml:space="preserve">“中性平衡点回落、悲观尾部保留”</w:t>
      </w:r>
      <w:r>
        <w:rPr>
          <w:rFonts w:hint="eastAsia"/>
        </w:rPr>
        <w:t xml:space="preserve">的主结论。也就是说，长期模型的可信表达不应是</w:t>
      </w:r>
      <w:r>
        <w:rPr>
          <w:rFonts w:hint="eastAsia"/>
        </w:rPr>
        <w:t xml:space="preserve">“我能精确预测每天油价”</w:t>
      </w:r>
      <w:r>
        <w:rPr>
          <w:rFonts w:hint="eastAsia"/>
        </w:rPr>
        <w:t xml:space="preserve">，而应是</w:t>
      </w:r>
      <w:r>
        <w:rPr>
          <w:rFonts w:hint="eastAsia"/>
        </w:rPr>
        <w:t xml:space="preserve">“在不同冲突状态下给出可解释的中心、区间和尾部风险”</w:t>
      </w:r>
      <w:r>
        <w:t xml:space="preserve">。</w:t>
      </w:r>
    </w:p>
    <w:p>
      <w:pPr>
        <w:pStyle w:val="CaptionedFigure"/>
      </w:pPr>
      <w:r>
        <w:drawing>
          <wp:inline>
            <wp:extent cx="4907280" cy="2846222"/>
            <wp:effectExtent b="0" l="0" r="0" t="0"/>
            <wp:docPr descr="" title="" id="157" name="Picture"/>
            <a:graphic>
              <a:graphicData uri="http://schemas.openxmlformats.org/drawingml/2006/picture">
                <pic:pic>
                  <pic:nvPicPr>
                    <pic:cNvPr descr="R长期状态转移扇形图.png" id="158" name="Picture"/>
                    <pic:cNvPicPr>
                      <a:picLocks noChangeArrowheads="1" noChangeAspect="1"/>
                    </pic:cNvPicPr>
                  </pic:nvPicPr>
                  <pic:blipFill>
                    <a:blip r:embed="rId156"/>
                    <a:stretch>
                      <a:fillRect/>
                    </a:stretch>
                  </pic:blipFill>
                  <pic:spPr bwMode="auto">
                    <a:xfrm>
                      <a:off x="0" y="0"/>
                      <a:ext cx="4907280" cy="2846222"/>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长期状态转移区间预测。双层阴影分别表示</w:t>
      </w:r>
      <w:r>
        <w:t xml:space="preserve"> 5%–95% </w:t>
      </w:r>
      <w:r>
        <w:rPr>
          <w:rFonts w:hint="eastAsia"/>
        </w:rPr>
        <w:t xml:space="preserve">和</w:t>
      </w:r>
      <w:r>
        <w:t xml:space="preserve"> 25%–75% </w:t>
      </w:r>
      <w:r>
        <w:rPr>
          <w:rFonts w:hint="eastAsia"/>
        </w:rPr>
        <w:t xml:space="preserve">条件区间，虚线为原中性中心路径；该图证明长期预测的可信表达是区间和状态切换，而非逐日点预测。</w:t>
      </w:r>
    </w:p>
    <w:bookmarkEnd w:id="159"/>
    <w:bookmarkStart w:id="166" w:name="滞后地缘风险指数检验"/>
    <w:p>
      <w:pPr>
        <w:pStyle w:val="Heading2"/>
      </w:pPr>
      <w:r>
        <w:rPr>
          <w:rFonts w:hint="eastAsia"/>
        </w:rPr>
        <w:t xml:space="preserve">滞后地缘风险指数检验</w:t>
      </w:r>
    </w:p>
    <w:p>
      <w:pPr>
        <w:pStyle w:val="FirstParagraph"/>
      </w:pPr>
      <w:r>
        <w:rPr>
          <w:rFonts w:hint="eastAsia"/>
        </w:rPr>
        <w:t xml:space="preserve">综合机制递推模型中包含地缘风险权重和恐慌衰减项。若直接用新闻情绪或风险指数解释同日油价，可能存在反向因果：油价上涨可能先刺激媒体报道增加，随后模型又用新闻恐慌解释油价上涨。本文使用</w:t>
      </w:r>
      <w:r>
        <w:t xml:space="preserve"> Caldara-Iacoviello GPR </w:t>
      </w:r>
      <w:r>
        <w:rPr>
          <w:rFonts w:hint="eastAsia"/>
        </w:rPr>
        <w:t xml:space="preserve">月度指数做外部校验，并采用滞后一期口径处理新闻风险变量与油价之间的反馈关系。</w:t>
      </w:r>
    </w:p>
    <w:p>
      <w:pPr>
        <w:pStyle w:val="TableCaption"/>
      </w:pPr>
      <w:r>
        <w:rPr>
          <w:rFonts w:hint="eastAsia"/>
        </w:rPr>
        <w:t xml:space="preserve">滞后</w:t>
      </w:r>
      <w:r>
        <w:t xml:space="preserve"> GPR </w:t>
      </w:r>
      <w:r>
        <w:rPr>
          <w:rFonts w:hint="eastAsia"/>
        </w:rPr>
        <w:t xml:space="preserve">风险检验指标</w:t>
      </w:r>
    </w:p>
    <w:tbl>
      <w:tblPr>
        <w:tblStyle w:val="Table"/>
        <w:tblW w:type="auto" w:w="0"/>
        <w:tblLook w:firstRow="1" w:lastRow="0" w:firstColumn="0" w:lastColumn="0" w:noHBand="0" w:noVBand="0" w:val="0020"/>
        <w:tblCaption w:val="滞后 GPR 风险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同期</w:t>
            </w:r>
            <w:r>
              <w:t xml:space="preserve"> GPR </w:t>
            </w:r>
            <w:r>
              <w:rPr>
                <w:rFonts w:hint="eastAsia"/>
              </w:rPr>
              <w:t xml:space="preserve">与本月油价收益相关系数</w:t>
            </w:r>
          </w:p>
        </w:tc>
        <w:tc>
          <w:tcPr/>
          <w:p>
            <w:pPr>
              <w:pStyle w:val="Compact"/>
              <w:jc w:val="right"/>
            </w:pPr>
            <w:r>
              <w:t xml:space="preserve">0.156</w:t>
            </w:r>
          </w:p>
        </w:tc>
        <w:tc>
          <w:tcPr/>
          <w:p>
            <w:pPr>
              <w:pStyle w:val="Compact"/>
              <w:jc w:val="left"/>
            </w:pPr>
            <w:r>
              <w:rPr>
                <w:rFonts w:hint="eastAsia"/>
              </w:rPr>
              <w:t xml:space="preserve">只作为描述性同步关系，不用于预测</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与本月油价收益相关系数</w:t>
            </w:r>
          </w:p>
        </w:tc>
        <w:tc>
          <w:tcPr/>
          <w:p>
            <w:pPr>
              <w:pStyle w:val="Compact"/>
              <w:jc w:val="right"/>
            </w:pPr>
            <w:r>
              <w:t xml:space="preserve">0.030</w:t>
            </w:r>
          </w:p>
        </w:tc>
        <w:tc>
          <w:tcPr/>
          <w:p>
            <w:pPr>
              <w:pStyle w:val="Compact"/>
              <w:jc w:val="left"/>
            </w:pPr>
            <w:r>
              <w:rPr>
                <w:rFonts w:hint="eastAsia"/>
              </w:rPr>
              <w:t xml:space="preserve">避免同月新闻–价格反馈循环的核心检验</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与本月实现波动率相关系数</w:t>
            </w:r>
          </w:p>
        </w:tc>
        <w:tc>
          <w:tcPr/>
          <w:p>
            <w:pPr>
              <w:pStyle w:val="Compact"/>
              <w:jc w:val="right"/>
            </w:pPr>
            <w:r>
              <w:t xml:space="preserve">0.107</w:t>
            </w:r>
          </w:p>
        </w:tc>
        <w:tc>
          <w:tcPr/>
          <w:p>
            <w:pPr>
              <w:pStyle w:val="Compact"/>
              <w:jc w:val="left"/>
            </w:pPr>
            <w:r>
              <w:rPr>
                <w:rFonts w:hint="eastAsia"/>
              </w:rPr>
              <w:t xml:space="preserve">风险指数更适合解释波动和尾部风险</w:t>
            </w:r>
          </w:p>
        </w:tc>
      </w:tr>
      <w:tr>
        <w:tc>
          <w:tcPr/>
          <w:p>
            <w:pPr>
              <w:pStyle w:val="Compact"/>
              <w:jc w:val="left"/>
            </w:pPr>
            <w:r>
              <w:rPr>
                <w:rFonts w:hint="eastAsia"/>
              </w:rPr>
              <w:t xml:space="preserve">滞后</w:t>
            </w:r>
            <w:r>
              <w:t xml:space="preserve"> 1 </w:t>
            </w:r>
            <w:r>
              <w:rPr>
                <w:rFonts w:hint="eastAsia"/>
              </w:rPr>
              <w:t xml:space="preserve">月</w:t>
            </w:r>
            <w:r>
              <w:t xml:space="preserve"> GPR </w:t>
            </w:r>
            <w:r>
              <w:rPr>
                <w:rFonts w:hint="eastAsia"/>
              </w:rPr>
              <w:t xml:space="preserve">收益回归</w:t>
            </w:r>
            <w:r>
              <w:t xml:space="preserve"> </w:t>
            </w:r>
            <m:oMath>
              <m:sSup>
                <m:e>
                  <m:r>
                    <m:t>R</m:t>
                  </m:r>
                </m:e>
                <m:sup>
                  <m:r>
                    <m:t>2</m:t>
                  </m:r>
                </m:sup>
              </m:sSup>
            </m:oMath>
          </w:p>
        </w:tc>
        <w:tc>
          <w:tcPr/>
          <w:p>
            <w:pPr>
              <w:pStyle w:val="Compact"/>
              <w:jc w:val="right"/>
            </w:pPr>
            <w:r>
              <w:t xml:space="preserve">0.001</w:t>
            </w:r>
          </w:p>
        </w:tc>
        <w:tc>
          <w:tcPr/>
          <w:p>
            <w:pPr>
              <w:pStyle w:val="Compact"/>
              <w:jc w:val="left"/>
            </w:pPr>
            <w:r>
              <w:rPr>
                <w:rFonts w:hint="eastAsia"/>
              </w:rPr>
              <w:t xml:space="preserve">不支持把</w:t>
            </w:r>
            <w:r>
              <w:t xml:space="preserve"> GPR </w:t>
            </w:r>
            <w:r>
              <w:rPr>
                <w:rFonts w:hint="eastAsia"/>
              </w:rPr>
              <w:t xml:space="preserve">包装成强短期收益预测器</w:t>
            </w:r>
          </w:p>
        </w:tc>
      </w:tr>
      <w:tr>
        <w:tc>
          <w:tcPr/>
          <w:p>
            <w:pPr>
              <w:pStyle w:val="Compact"/>
              <w:jc w:val="left"/>
            </w:pPr>
            <w:r>
              <w:t xml:space="preserve">2026 </w:t>
            </w:r>
            <w:r>
              <w:rPr>
                <w:rFonts w:hint="eastAsia"/>
              </w:rPr>
              <w:t xml:space="preserve">年</w:t>
            </w:r>
            <w:r>
              <w:t xml:space="preserve"> 3 </w:t>
            </w:r>
            <w:r>
              <w:rPr>
                <w:rFonts w:hint="eastAsia"/>
              </w:rPr>
              <w:t xml:space="preserve">月</w:t>
            </w:r>
            <w:r>
              <w:t xml:space="preserve"> GPR </w:t>
            </w:r>
            <w:r>
              <w:rPr>
                <w:rFonts w:hint="eastAsia"/>
              </w:rPr>
              <w:t xml:space="preserve">历史分位数</w:t>
            </w:r>
          </w:p>
        </w:tc>
        <w:tc>
          <w:tcPr/>
          <w:p>
            <w:pPr>
              <w:pStyle w:val="Compact"/>
              <w:jc w:val="right"/>
            </w:pPr>
            <w:r>
              <w:t xml:space="preserve">98.98%</w:t>
            </w:r>
          </w:p>
        </w:tc>
        <w:tc>
          <w:tcPr/>
          <w:p>
            <w:pPr>
              <w:pStyle w:val="Compact"/>
              <w:jc w:val="left"/>
            </w:pPr>
            <w:r>
              <w:rPr>
                <w:rFonts w:hint="eastAsia"/>
              </w:rPr>
              <w:t xml:space="preserve">冲突爆发月风险读数处于罕见高位</w:t>
            </w:r>
          </w:p>
        </w:tc>
      </w:tr>
      <w:tr>
        <w:tc>
          <w:tcPr/>
          <w:p>
            <w:pPr>
              <w:pStyle w:val="Compact"/>
              <w:jc w:val="left"/>
            </w:pPr>
            <w:r>
              <w:t xml:space="preserve">2026 </w:t>
            </w:r>
            <w:r>
              <w:rPr>
                <w:rFonts w:hint="eastAsia"/>
              </w:rPr>
              <w:t xml:space="preserve">年</w:t>
            </w:r>
            <w:r>
              <w:t xml:space="preserve"> 4 </w:t>
            </w:r>
            <w:r>
              <w:rPr>
                <w:rFonts w:hint="eastAsia"/>
              </w:rPr>
              <w:t xml:space="preserve">月</w:t>
            </w:r>
            <w:r>
              <w:t xml:space="preserve"> GPR </w:t>
            </w:r>
            <w:r>
              <w:rPr>
                <w:rFonts w:hint="eastAsia"/>
              </w:rPr>
              <w:t xml:space="preserve">历史分位数</w:t>
            </w:r>
          </w:p>
        </w:tc>
        <w:tc>
          <w:tcPr/>
          <w:p>
            <w:pPr>
              <w:pStyle w:val="Compact"/>
              <w:jc w:val="right"/>
            </w:pPr>
            <w:r>
              <w:t xml:space="preserve">97.76%</w:t>
            </w:r>
          </w:p>
        </w:tc>
        <w:tc>
          <w:tcPr/>
          <w:p>
            <w:pPr>
              <w:pStyle w:val="Compact"/>
              <w:jc w:val="left"/>
            </w:pPr>
            <w:r>
              <w:rPr>
                <w:rFonts w:hint="eastAsia"/>
              </w:rPr>
              <w:t xml:space="preserve">冲突延续月风险读数仍处于历史高位</w:t>
            </w:r>
          </w:p>
        </w:tc>
      </w:tr>
    </w:tbl>
    <w:p>
      <w:pPr>
        <w:pStyle w:val="CaptionedFigure"/>
      </w:pPr>
      <w:r>
        <w:drawing>
          <wp:inline>
            <wp:extent cx="4907280" cy="2628899"/>
            <wp:effectExtent b="0" l="0" r="0" t="0"/>
            <wp:docPr descr="" title="" id="161" name="Picture"/>
            <a:graphic>
              <a:graphicData uri="http://schemas.openxmlformats.org/drawingml/2006/picture">
                <pic:pic>
                  <pic:nvPicPr>
                    <pic:cNvPr descr="地缘风险指数滞后审计.png" id="162" name="Picture"/>
                    <pic:cNvPicPr>
                      <a:picLocks noChangeArrowheads="1" noChangeAspect="1"/>
                    </pic:cNvPicPr>
                  </pic:nvPicPr>
                  <pic:blipFill>
                    <a:blip r:embed="rId160"/>
                    <a:stretch>
                      <a:fillRect/>
                    </a:stretch>
                  </pic:blipFill>
                  <pic:spPr bwMode="auto">
                    <a:xfrm>
                      <a:off x="0" y="0"/>
                      <a:ext cx="4907280" cy="2628899"/>
                    </a:xfrm>
                    <a:prstGeom prst="rect">
                      <a:avLst/>
                    </a:prstGeom>
                    <a:noFill/>
                    <a:ln w="9525">
                      <a:noFill/>
                      <a:headEnd/>
                      <a:tailEnd/>
                    </a:ln>
                  </pic:spPr>
                </pic:pic>
              </a:graphicData>
            </a:graphic>
          </wp:inline>
        </w:drawing>
      </w:r>
    </w:p>
    <w:p>
      <w:pPr>
        <w:pStyle w:val="ImageCaption"/>
      </w:pPr>
      <w:r>
        <w:rPr>
          <w:rFonts w:hint="eastAsia"/>
        </w:rPr>
        <w:t xml:space="preserve">地缘风险指数检验：同步</w:t>
      </w:r>
      <w:r>
        <w:t xml:space="preserve"> GPR </w:t>
      </w:r>
      <w:r>
        <w:rPr>
          <w:rFonts w:hint="eastAsia"/>
        </w:rPr>
        <w:t xml:space="preserve">与滞后可用</w:t>
      </w:r>
      <w:r>
        <w:t xml:space="preserve"> GPR。3 </w:t>
      </w:r>
      <w:r>
        <w:rPr>
          <w:rFonts w:hint="eastAsia"/>
        </w:rPr>
        <w:t xml:space="preserve">月油价解释不能使用</w:t>
      </w:r>
      <w:r>
        <w:t xml:space="preserve"> 3 </w:t>
      </w:r>
      <w:r>
        <w:rPr>
          <w:rFonts w:hint="eastAsia"/>
        </w:rPr>
        <w:t xml:space="preserve">月同步</w:t>
      </w:r>
      <w:r>
        <w:t xml:space="preserve"> </w:t>
      </w:r>
      <w:r>
        <w:rPr>
          <w:rFonts w:hint="eastAsia"/>
        </w:rPr>
        <w:t xml:space="preserve">GPR，4</w:t>
      </w:r>
      <w:r>
        <w:t xml:space="preserve"> </w:t>
      </w:r>
      <w:r>
        <w:rPr>
          <w:rFonts w:hint="eastAsia"/>
        </w:rPr>
        <w:t xml:space="preserve">月以后才可使用已实现的</w:t>
      </w:r>
      <w:r>
        <w:t xml:space="preserve"> 3 </w:t>
      </w:r>
      <w:r>
        <w:rPr>
          <w:rFonts w:hint="eastAsia"/>
        </w:rPr>
        <w:t xml:space="preserve">月风险读数。</w:t>
      </w:r>
    </w:p>
    <w:p>
      <w:pPr>
        <w:pStyle w:val="CaptionedFigure"/>
      </w:pPr>
      <w:r>
        <w:drawing>
          <wp:inline>
            <wp:extent cx="4480560" cy="3054927"/>
            <wp:effectExtent b="0" l="0" r="0" t="0"/>
            <wp:docPr descr="" title="" id="164" name="Picture"/>
            <a:graphic>
              <a:graphicData uri="http://schemas.openxmlformats.org/drawingml/2006/picture">
                <pic:pic>
                  <pic:nvPicPr>
                    <pic:cNvPr descr="滞后GPR与布伦特收益关系.png" id="165" name="Picture"/>
                    <pic:cNvPicPr>
                      <a:picLocks noChangeArrowheads="1" noChangeAspect="1"/>
                    </pic:cNvPicPr>
                  </pic:nvPicPr>
                  <pic:blipFill>
                    <a:blip r:embed="rId163"/>
                    <a:stretch>
                      <a:fillRect/>
                    </a:stretch>
                  </pic:blipFill>
                  <pic:spPr bwMode="auto">
                    <a:xfrm>
                      <a:off x="0" y="0"/>
                      <a:ext cx="4480560" cy="3054927"/>
                    </a:xfrm>
                    <a:prstGeom prst="rect">
                      <a:avLst/>
                    </a:prstGeom>
                    <a:noFill/>
                    <a:ln w="9525">
                      <a:noFill/>
                      <a:headEnd/>
                      <a:tailEnd/>
                    </a:ln>
                  </pic:spPr>
                </pic:pic>
              </a:graphicData>
            </a:graphic>
          </wp:inline>
        </w:drawing>
      </w:r>
    </w:p>
    <w:p>
      <w:pPr>
        <w:pStyle w:val="ImageCaption"/>
      </w:pPr>
      <w:r>
        <w:rPr>
          <w:rFonts w:hint="eastAsia"/>
        </w:rPr>
        <w:t xml:space="preserve">滞后</w:t>
      </w:r>
      <w:r>
        <w:t xml:space="preserve"> 1 </w:t>
      </w:r>
      <w:r>
        <w:rPr>
          <w:rFonts w:hint="eastAsia"/>
        </w:rPr>
        <w:t xml:space="preserve">月</w:t>
      </w:r>
      <w:r>
        <w:t xml:space="preserve"> GPR </w:t>
      </w:r>
      <w:r>
        <w:rPr>
          <w:rFonts w:hint="eastAsia"/>
        </w:rPr>
        <w:t xml:space="preserve">与布伦特月度收益关系。散点关系较弱，说明</w:t>
      </w:r>
      <w:r>
        <w:t xml:space="preserve"> GPR </w:t>
      </w:r>
      <w:r>
        <w:rPr>
          <w:rFonts w:hint="eastAsia"/>
        </w:rPr>
        <w:t xml:space="preserve">更适合作为风险溢价外部校验，而非单独点预测模型。</w:t>
      </w:r>
    </w:p>
    <w:p>
      <w:pPr>
        <w:pStyle w:val="BodyText"/>
      </w:pPr>
      <w:r>
        <w:rPr>
          <w:rFonts w:hint="eastAsia"/>
        </w:rPr>
        <w:t xml:space="preserve">该结果对本文有两层含义。第一，2026</w:t>
      </w:r>
      <w:r>
        <w:t xml:space="preserve"> </w:t>
      </w:r>
      <w:r>
        <w:rPr>
          <w:rFonts w:hint="eastAsia"/>
        </w:rPr>
        <w:t xml:space="preserve">年</w:t>
      </w:r>
      <w:r>
        <w:t xml:space="preserve"> 3–4 </w:t>
      </w:r>
      <w:r>
        <w:rPr>
          <w:rFonts w:hint="eastAsia"/>
        </w:rPr>
        <w:t xml:space="preserve">月</w:t>
      </w:r>
      <w:r>
        <w:t xml:space="preserve"> GPR </w:t>
      </w:r>
      <w:r>
        <w:rPr>
          <w:rFonts w:hint="eastAsia"/>
        </w:rPr>
        <w:t xml:space="preserve">处于历史高分位，说明模型中的地缘风险溢价具有外部风险指数支撑。第二，滞后</w:t>
      </w:r>
      <w:r>
        <w:t xml:space="preserve"> GPR </w:t>
      </w:r>
      <w:r>
        <w:rPr>
          <w:rFonts w:hint="eastAsia"/>
        </w:rPr>
        <w:t xml:space="preserve">对月度收益的解释力有限，因此本文不将其直接加入短期拟合，也不把风险指数写成强点预测变量。这使模型在风险解释和内生性边界之间保持较稳妥的定位。</w:t>
      </w:r>
    </w:p>
    <w:bookmarkEnd w:id="166"/>
    <w:bookmarkStart w:id="170" w:name="市场隐含波动率检验"/>
    <w:p>
      <w:pPr>
        <w:pStyle w:val="Heading2"/>
      </w:pPr>
      <w:r>
        <w:rPr>
          <w:rFonts w:hint="eastAsia"/>
        </w:rPr>
        <w:t xml:space="preserve">市场隐含波动率检验</w:t>
      </w:r>
    </w:p>
    <w:p>
      <w:pPr>
        <w:pStyle w:val="FirstParagraph"/>
      </w:pPr>
      <w:r>
        <w:t xml:space="preserve">GPR </w:t>
      </w:r>
      <w:r>
        <w:rPr>
          <w:rFonts w:hint="eastAsia"/>
        </w:rPr>
        <w:t xml:space="preserve">的优势是覆盖长期地缘政治风险叙事，但它来自新闻文本，天然存在内生性边界。为补充更接近市场交易定价的风险变量，本文接入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隐含波动率日度序列，并与附件布伦特主力合约价格进行滞后检验。</w:t>
      </w:r>
    </w:p>
    <w:p>
      <w:pPr>
        <w:pStyle w:val="TableCaption"/>
      </w:pPr>
      <w:r>
        <w:t xml:space="preserve">OVX </w:t>
      </w:r>
      <w:r>
        <w:rPr>
          <w:rFonts w:hint="eastAsia"/>
        </w:rPr>
        <w:t xml:space="preserve">市场隐含波动率检验指标</w:t>
      </w:r>
    </w:p>
    <w:tbl>
      <w:tblPr>
        <w:tblStyle w:val="Table"/>
        <w:tblW w:type="auto" w:w="0"/>
        <w:tblLook w:firstRow="1" w:lastRow="0" w:firstColumn="0" w:lastColumn="0" w:noHBand="0" w:noVBand="0" w:val="0020"/>
        <w:tblCaption w:val="OVX 市场隐含波动率检验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解释</w:t>
            </w:r>
          </w:p>
        </w:tc>
      </w:tr>
      <w:tr>
        <w:tc>
          <w:tcPr/>
          <w:p>
            <w:pPr>
              <w:pStyle w:val="Compact"/>
              <w:jc w:val="left"/>
            </w:pPr>
            <w:r>
              <w:rPr>
                <w:rFonts w:hint="eastAsia"/>
              </w:rPr>
              <w:t xml:space="preserve">冲突窗口</w:t>
            </w:r>
            <w:r>
              <w:t xml:space="preserve"> OVX </w:t>
            </w:r>
            <w:r>
              <w:rPr>
                <w:rFonts w:hint="eastAsia"/>
              </w:rPr>
              <w:t xml:space="preserve">均值</w:t>
            </w:r>
          </w:p>
        </w:tc>
        <w:tc>
          <w:tcPr/>
          <w:p>
            <w:pPr>
              <w:pStyle w:val="Compact"/>
              <w:jc w:val="right"/>
            </w:pPr>
            <w:r>
              <w:t xml:space="preserve">87.07</w:t>
            </w:r>
          </w:p>
        </w:tc>
        <w:tc>
          <w:tcPr/>
          <w:p>
            <w:pPr>
              <w:pStyle w:val="Compact"/>
              <w:jc w:val="left"/>
            </w:pPr>
            <w:r>
              <w:rPr>
                <w:rFonts w:hint="eastAsia"/>
              </w:rPr>
              <w:t xml:space="preserve">期权市场定价出的冲突窗口平均预期波动率</w:t>
            </w:r>
          </w:p>
        </w:tc>
      </w:tr>
      <w:tr>
        <w:tc>
          <w:tcPr/>
          <w:p>
            <w:pPr>
              <w:pStyle w:val="Compact"/>
              <w:jc w:val="left"/>
            </w:pPr>
            <w:r>
              <w:rPr>
                <w:rFonts w:hint="eastAsia"/>
              </w:rPr>
              <w:t xml:space="preserve">冲突窗口</w:t>
            </w:r>
            <w:r>
              <w:t xml:space="preserve"> OVX </w:t>
            </w:r>
            <w:r>
              <w:rPr>
                <w:rFonts w:hint="eastAsia"/>
              </w:rPr>
              <w:t xml:space="preserve">最大值</w:t>
            </w:r>
          </w:p>
        </w:tc>
        <w:tc>
          <w:tcPr/>
          <w:p>
            <w:pPr>
              <w:pStyle w:val="Compact"/>
              <w:jc w:val="right"/>
            </w:pPr>
            <w:r>
              <w:t xml:space="preserve">120.91</w:t>
            </w:r>
          </w:p>
        </w:tc>
        <w:tc>
          <w:tcPr/>
          <w:p>
            <w:pPr>
              <w:pStyle w:val="Compact"/>
              <w:jc w:val="left"/>
            </w:pPr>
            <w:r>
              <w:rPr>
                <w:rFonts w:hint="eastAsia"/>
              </w:rPr>
              <w:t xml:space="preserve">冲突窗口内市场隐含波动率峰值</w:t>
            </w:r>
          </w:p>
        </w:tc>
      </w:tr>
      <w:tr>
        <w:tc>
          <w:tcPr/>
          <w:p>
            <w:pPr>
              <w:pStyle w:val="Compact"/>
              <w:jc w:val="left"/>
            </w:pPr>
            <w:r>
              <w:rPr>
                <w:rFonts w:hint="eastAsia"/>
              </w:rPr>
              <w:t xml:space="preserve">冲突窗口</w:t>
            </w:r>
            <w:r>
              <w:t xml:space="preserve"> OVX </w:t>
            </w:r>
            <w:r>
              <w:rPr>
                <w:rFonts w:hint="eastAsia"/>
              </w:rPr>
              <w:t xml:space="preserve">均值历史分位</w:t>
            </w:r>
          </w:p>
        </w:tc>
        <w:tc>
          <w:tcPr/>
          <w:p>
            <w:pPr>
              <w:pStyle w:val="Compact"/>
              <w:jc w:val="right"/>
            </w:pPr>
            <w:r>
              <w:t xml:space="preserve">97.3%</w:t>
            </w:r>
          </w:p>
        </w:tc>
        <w:tc>
          <w:tcPr/>
          <w:p>
            <w:pPr>
              <w:pStyle w:val="Compact"/>
              <w:jc w:val="left"/>
            </w:pPr>
            <w:r>
              <w:rPr>
                <w:rFonts w:hint="eastAsia"/>
              </w:rPr>
              <w:t xml:space="preserve">同长度历史窗口均值口径下的异常程度</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与绝对收益相关系数</w:t>
            </w:r>
          </w:p>
        </w:tc>
        <w:tc>
          <w:tcPr/>
          <w:p>
            <w:pPr>
              <w:pStyle w:val="Compact"/>
              <w:jc w:val="right"/>
            </w:pPr>
            <w:r>
              <w:t xml:space="preserve">0.422</w:t>
            </w:r>
          </w:p>
        </w:tc>
        <w:tc>
          <w:tcPr/>
          <w:p>
            <w:pPr>
              <w:pStyle w:val="Compact"/>
              <w:jc w:val="left"/>
            </w:pPr>
            <w:r>
              <w:rPr>
                <w:rFonts w:hint="eastAsia"/>
              </w:rPr>
              <w:t xml:space="preserve">隐含波动率对未来波动强度有解释力</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p>
        </w:tc>
        <w:tc>
          <w:tcPr/>
          <w:p>
            <w:pPr>
              <w:pStyle w:val="Compact"/>
              <w:jc w:val="right"/>
            </w:pPr>
            <w:r>
              <w:t xml:space="preserve">0.790</w:t>
            </w:r>
          </w:p>
        </w:tc>
        <w:tc>
          <w:tcPr/>
          <w:p>
            <w:pPr>
              <w:pStyle w:val="Compact"/>
              <w:jc w:val="left"/>
            </w:pPr>
            <w:r>
              <w:t xml:space="preserve">OVX </w:t>
            </w:r>
            <w:r>
              <w:rPr>
                <w:rFonts w:hint="eastAsia"/>
              </w:rPr>
              <w:t xml:space="preserve">更适合约束波动和尾部风险</w:t>
            </w:r>
          </w:p>
        </w:tc>
      </w:tr>
      <w:tr>
        <w:tc>
          <w:tcPr/>
          <w:p>
            <w:pPr>
              <w:pStyle w:val="Compact"/>
              <w:jc w:val="left"/>
            </w:pPr>
            <w:r>
              <w:rPr>
                <w:rFonts w:hint="eastAsia"/>
              </w:rPr>
              <w:t xml:space="preserve">滞后</w:t>
            </w:r>
            <w:r>
              <w:t xml:space="preserve"> 1 </w:t>
            </w:r>
            <w:r>
              <w:rPr>
                <w:rFonts w:hint="eastAsia"/>
              </w:rPr>
              <w:t xml:space="preserve">日</w:t>
            </w:r>
            <w:r>
              <w:t xml:space="preserve"> OVX </w:t>
            </w:r>
            <w:r>
              <w:rPr>
                <w:rFonts w:hint="eastAsia"/>
              </w:rPr>
              <w:t xml:space="preserve">变化与收益相关系数</w:t>
            </w:r>
          </w:p>
        </w:tc>
        <w:tc>
          <w:tcPr/>
          <w:p>
            <w:pPr>
              <w:pStyle w:val="Compact"/>
              <w:jc w:val="right"/>
            </w:pPr>
            <w:r>
              <w:t xml:space="preserve">-0.074</w:t>
            </w:r>
          </w:p>
        </w:tc>
        <w:tc>
          <w:tcPr/>
          <w:p>
            <w:pPr>
              <w:pStyle w:val="Compact"/>
              <w:jc w:val="left"/>
            </w:pPr>
            <w:r>
              <w:rPr>
                <w:rFonts w:hint="eastAsia"/>
              </w:rPr>
              <w:t xml:space="preserve">不支持把</w:t>
            </w:r>
            <w:r>
              <w:t xml:space="preserve"> OVX </w:t>
            </w:r>
            <w:r>
              <w:rPr>
                <w:rFonts w:hint="eastAsia"/>
              </w:rPr>
              <w:t xml:space="preserve">包装成强方向预测变量</w:t>
            </w:r>
          </w:p>
        </w:tc>
      </w:tr>
    </w:tbl>
    <w:p>
      <w:pPr>
        <w:pStyle w:val="CaptionedFigure"/>
      </w:pPr>
      <w:r>
        <w:drawing>
          <wp:inline>
            <wp:extent cx="4907280" cy="3141983"/>
            <wp:effectExtent b="0" l="0" r="0" t="0"/>
            <wp:docPr descr="" title="" id="168" name="Picture"/>
            <a:graphic>
              <a:graphicData uri="http://schemas.openxmlformats.org/drawingml/2006/picture">
                <pic:pic>
                  <pic:nvPicPr>
                    <pic:cNvPr descr="OVX隐含波动率滞后检验.png" id="169" name="Picture"/>
                    <pic:cNvPicPr>
                      <a:picLocks noChangeArrowheads="1" noChangeAspect="1"/>
                    </pic:cNvPicPr>
                  </pic:nvPicPr>
                  <pic:blipFill>
                    <a:blip r:embed="rId167"/>
                    <a:stretch>
                      <a:fillRect/>
                    </a:stretch>
                  </pic:blipFill>
                  <pic:spPr bwMode="auto">
                    <a:xfrm>
                      <a:off x="0" y="0"/>
                      <a:ext cx="4907280" cy="3141983"/>
                    </a:xfrm>
                    <a:prstGeom prst="rect">
                      <a:avLst/>
                    </a:prstGeom>
                    <a:noFill/>
                    <a:ln w="9525">
                      <a:noFill/>
                      <a:headEnd/>
                      <a:tailEnd/>
                    </a:ln>
                  </pic:spPr>
                </pic:pic>
              </a:graphicData>
            </a:graphic>
          </wp:inline>
        </w:drawing>
      </w:r>
    </w:p>
    <w:p>
      <w:pPr>
        <w:pStyle w:val="ImageCaption"/>
      </w:pPr>
      <w:r>
        <w:t xml:space="preserve">OVX </w:t>
      </w:r>
      <w:r>
        <w:rPr>
          <w:rFonts w:hint="eastAsia"/>
        </w:rPr>
        <w:t xml:space="preserve">隐含波动率滞后检验。冲突窗口内</w:t>
      </w:r>
      <w:r>
        <w:t xml:space="preserve"> OVX </w:t>
      </w:r>
      <w:r>
        <w:rPr>
          <w:rFonts w:hint="eastAsia"/>
        </w:rPr>
        <w:t xml:space="preserve">明显升高，说明期权市场也对原油尾部风险重新定价。</w:t>
      </w:r>
    </w:p>
    <w:p>
      <w:pPr>
        <w:pStyle w:val="BodyText"/>
      </w:pPr>
      <w:r>
        <w:t xml:space="preserve">OVX </w:t>
      </w:r>
      <w:r>
        <w:rPr>
          <w:rFonts w:hint="eastAsia"/>
        </w:rPr>
        <w:t xml:space="preserve">接入长期模型的方式是克制的：它只作为长期风险权重和不确定性强度的附加乘数，而不进入短期同日拟合。具体而言，OVX</w:t>
      </w:r>
      <w:r>
        <w:t xml:space="preserve"> </w:t>
      </w:r>
      <w:r>
        <w:rPr>
          <w:rFonts w:hint="eastAsia"/>
        </w:rPr>
        <w:t xml:space="preserve">冲突窗口历史分位数和滞后</w:t>
      </w:r>
      <w:r>
        <w:t xml:space="preserve"> 1 </w:t>
      </w:r>
      <w:r>
        <w:rPr>
          <w:rFonts w:hint="eastAsia"/>
        </w:rPr>
        <w:t xml:space="preserve">日</w:t>
      </w:r>
      <w:r>
        <w:t xml:space="preserve"> OVX </w:t>
      </w:r>
      <w:r>
        <w:rPr>
          <w:rFonts w:hint="eastAsia"/>
        </w:rPr>
        <w:t xml:space="preserve">与实现波动率相关性共同生成市场风险压力，进而得到</w:t>
      </w:r>
      <w:r>
        <w:t xml:space="preserve"> OVX </w:t>
      </w:r>
      <w:r>
        <w:rPr>
          <w:rFonts w:hint="eastAsia"/>
        </w:rPr>
        <w:t xml:space="preserve">市场风险权重附加乘数</w:t>
      </w:r>
      <w:r>
        <w:t xml:space="preserve"> 1.0275 </w:t>
      </w:r>
      <w:r>
        <w:rPr>
          <w:rFonts w:hint="eastAsia"/>
        </w:rPr>
        <w:t xml:space="preserve">和</w:t>
      </w:r>
      <w:r>
        <w:t xml:space="preserve"> OVX </w:t>
      </w:r>
      <w:r>
        <w:rPr>
          <w:rFonts w:hint="eastAsia"/>
        </w:rPr>
        <w:t xml:space="preserve">不确定性强度附加乘数</w:t>
      </w:r>
      <w:r>
        <w:t xml:space="preserve"> </w:t>
      </w:r>
      <w:r>
        <w:rPr>
          <w:rFonts w:hint="eastAsia"/>
        </w:rPr>
        <w:t xml:space="preserve">1.0433。这样既利用了期权市场对风险的定价信息，又避免把隐含波动率误写成油价方向预测器。</w:t>
      </w:r>
    </w:p>
    <w:bookmarkEnd w:id="170"/>
    <w:bookmarkStart w:id="177" w:name="历史样本稳健性检验"/>
    <w:p>
      <w:pPr>
        <w:pStyle w:val="Heading2"/>
      </w:pPr>
      <w:r>
        <w:rPr>
          <w:rFonts w:hint="eastAsia"/>
        </w:rPr>
        <w:t xml:space="preserve">历史样本稳健性检验</w:t>
      </w:r>
    </w:p>
    <w:p>
      <w:pPr>
        <w:pStyle w:val="FirstParagraph"/>
      </w:pPr>
      <w:r>
        <w:rPr>
          <w:rFonts w:hint="eastAsia"/>
        </w:rPr>
        <w:t xml:space="preserve">附件数据覆盖</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月。除用于绘制长期价格和波动背景外，完整历史数据还可以检验</w:t>
      </w:r>
      <w:r>
        <w:t xml:space="preserve"> 2026 </w:t>
      </w:r>
      <w:r>
        <w:rPr>
          <w:rFonts w:hint="eastAsia"/>
        </w:rPr>
        <w:t xml:space="preserve">冲突窗口在历史分布中的位置。本文采用与冲突窗口相同的</w:t>
      </w:r>
      <w:r>
        <w:t xml:space="preserve"> 46 </w:t>
      </w:r>
      <w:r>
        <w:rPr>
          <w:rFonts w:hint="eastAsia"/>
        </w:rPr>
        <w:t xml:space="preserve">个交易日长度，在全样本中滚动构造历史窗口，并比较累计收益率、实现波动率、价格区间、最大单日跳变和朴素上一日基准误差。</w:t>
      </w:r>
    </w:p>
    <w:p>
      <w:pPr>
        <w:pStyle w:val="TableCaption"/>
      </w:pPr>
      <w:r>
        <w:t xml:space="preserve">2026 </w:t>
      </w:r>
      <w:r>
        <w:rPr>
          <w:rFonts w:hint="eastAsia"/>
        </w:rPr>
        <w:t xml:space="preserve">冲突窗口在历史同长度窗口中的位置</w:t>
      </w:r>
    </w:p>
    <w:tbl>
      <w:tblPr>
        <w:tblStyle w:val="Table"/>
        <w:tblW w:type="auto" w:w="0"/>
        <w:tblLook w:firstRow="1" w:lastRow="0" w:firstColumn="0" w:lastColumn="0" w:noHBand="0" w:noVBand="0" w:val="0020"/>
        <w:tblCaption w:val="2026 冲突窗口在历史同长度窗口中的位置"/>
      </w:tblPr>
      <w:tblGrid>
        <w:gridCol w:w="1980"/>
        <w:gridCol w:w="1980"/>
        <w:gridCol w:w="1980"/>
        <w:gridCol w:w="198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冲突窗口数值</w:t>
            </w:r>
          </w:p>
        </w:tc>
        <w:tc>
          <w:tcPr/>
          <w:p>
            <w:pPr>
              <w:pStyle w:val="Compact"/>
              <w:jc w:val="right"/>
            </w:pPr>
            <w:r>
              <w:rPr>
                <w:rFonts w:hint="eastAsia"/>
              </w:rPr>
              <w:t xml:space="preserve">历史分位数</w:t>
            </w:r>
          </w:p>
        </w:tc>
        <w:tc>
          <w:tcPr/>
          <w:p>
            <w:pPr>
              <w:pStyle w:val="Compact"/>
              <w:jc w:val="left"/>
            </w:pPr>
            <w:r>
              <w:rPr>
                <w:rFonts w:hint="eastAsia"/>
              </w:rPr>
              <w:t xml:space="preserve">含义</w:t>
            </w:r>
          </w:p>
        </w:tc>
      </w:tr>
      <w:tr>
        <w:tc>
          <w:tcPr/>
          <w:p>
            <w:pPr>
              <w:pStyle w:val="Compact"/>
              <w:jc w:val="left"/>
            </w:pPr>
            <w:r>
              <w:rPr>
                <w:rFonts w:hint="eastAsia"/>
              </w:rPr>
              <w:t xml:space="preserve">累计收益率</w:t>
            </w:r>
          </w:p>
        </w:tc>
        <w:tc>
          <w:tcPr/>
          <w:p>
            <w:pPr>
              <w:pStyle w:val="Compact"/>
              <w:jc w:val="right"/>
            </w:pPr>
            <w:r>
              <w:t xml:space="preserve">50.7%</w:t>
            </w:r>
          </w:p>
        </w:tc>
        <w:tc>
          <w:tcPr/>
          <w:p>
            <w:pPr>
              <w:pStyle w:val="Compact"/>
              <w:jc w:val="right"/>
            </w:pPr>
            <w:r>
              <w:t xml:space="preserve">99.3%</w:t>
            </w:r>
          </w:p>
        </w:tc>
        <w:tc>
          <w:tcPr/>
          <w:p>
            <w:pPr>
              <w:pStyle w:val="Compact"/>
              <w:jc w:val="left"/>
            </w:pPr>
            <w:r>
              <w:rPr>
                <w:rFonts w:hint="eastAsia"/>
              </w:rPr>
              <w:t xml:space="preserve">同长度窗口内价格上行幅度</w:t>
            </w:r>
          </w:p>
        </w:tc>
      </w:tr>
      <w:tr>
        <w:tc>
          <w:tcPr/>
          <w:p>
            <w:pPr>
              <w:pStyle w:val="Compact"/>
              <w:jc w:val="left"/>
            </w:pPr>
            <w:r>
              <w:rPr>
                <w:rFonts w:hint="eastAsia"/>
              </w:rPr>
              <w:t xml:space="preserve">实现波动率</w:t>
            </w:r>
          </w:p>
        </w:tc>
        <w:tc>
          <w:tcPr/>
          <w:p>
            <w:pPr>
              <w:pStyle w:val="Compact"/>
              <w:jc w:val="right"/>
            </w:pPr>
            <w:r>
              <w:t xml:space="preserve">30.4%</w:t>
            </w:r>
          </w:p>
        </w:tc>
        <w:tc>
          <w:tcPr/>
          <w:p>
            <w:pPr>
              <w:pStyle w:val="Compact"/>
              <w:jc w:val="right"/>
            </w:pPr>
            <w:r>
              <w:t xml:space="preserve">95.7%</w:t>
            </w:r>
          </w:p>
        </w:tc>
        <w:tc>
          <w:tcPr/>
          <w:p>
            <w:pPr>
              <w:pStyle w:val="Compact"/>
              <w:jc w:val="left"/>
            </w:pPr>
            <w:r>
              <w:rPr>
                <w:rFonts w:hint="eastAsia"/>
              </w:rPr>
              <w:t xml:space="preserve">同长度窗口内波动强度</w:t>
            </w:r>
          </w:p>
        </w:tc>
      </w:tr>
      <w:tr>
        <w:tc>
          <w:tcPr/>
          <w:p>
            <w:pPr>
              <w:pStyle w:val="Compact"/>
              <w:jc w:val="left"/>
            </w:pPr>
            <w:r>
              <w:rPr>
                <w:rFonts w:hint="eastAsia"/>
              </w:rPr>
              <w:t xml:space="preserve">平均绝对日收益率</w:t>
            </w:r>
          </w:p>
        </w:tc>
        <w:tc>
          <w:tcPr/>
          <w:p>
            <w:pPr>
              <w:pStyle w:val="Compact"/>
              <w:jc w:val="right"/>
            </w:pPr>
            <w:r>
              <w:t xml:space="preserve">3.74%</w:t>
            </w:r>
          </w:p>
        </w:tc>
        <w:tc>
          <w:tcPr/>
          <w:p>
            <w:pPr>
              <w:pStyle w:val="Compact"/>
              <w:jc w:val="right"/>
            </w:pPr>
            <w:r>
              <w:t xml:space="preserve">97.3%</w:t>
            </w:r>
          </w:p>
        </w:tc>
        <w:tc>
          <w:tcPr/>
          <w:p>
            <w:pPr>
              <w:pStyle w:val="Compact"/>
              <w:jc w:val="left"/>
            </w:pPr>
            <w:r>
              <w:rPr>
                <w:rFonts w:hint="eastAsia"/>
              </w:rPr>
              <w:t xml:space="preserve">日常波动强度</w:t>
            </w:r>
          </w:p>
        </w:tc>
      </w:tr>
      <w:tr>
        <w:tc>
          <w:tcPr/>
          <w:p>
            <w:pPr>
              <w:pStyle w:val="Compact"/>
              <w:jc w:val="left"/>
            </w:pPr>
            <w:r>
              <w:rPr>
                <w:rFonts w:hint="eastAsia"/>
              </w:rPr>
              <w:t xml:space="preserve">最大单日绝对收益</w:t>
            </w:r>
          </w:p>
        </w:tc>
        <w:tc>
          <w:tcPr/>
          <w:p>
            <w:pPr>
              <w:pStyle w:val="Compact"/>
              <w:jc w:val="right"/>
            </w:pPr>
            <w:r>
              <w:t xml:space="preserve">11.9%</w:t>
            </w:r>
          </w:p>
        </w:tc>
        <w:tc>
          <w:tcPr/>
          <w:p>
            <w:pPr>
              <w:pStyle w:val="Compact"/>
              <w:jc w:val="right"/>
            </w:pPr>
            <w:r>
              <w:t xml:space="preserve">91.4%</w:t>
            </w:r>
          </w:p>
        </w:tc>
        <w:tc>
          <w:tcPr/>
          <w:p>
            <w:pPr>
              <w:pStyle w:val="Compact"/>
              <w:jc w:val="left"/>
            </w:pPr>
            <w:r>
              <w:rPr>
                <w:rFonts w:hint="eastAsia"/>
              </w:rPr>
              <w:t xml:space="preserve">局部跳变强度</w:t>
            </w:r>
          </w:p>
        </w:tc>
      </w:tr>
      <w:tr>
        <w:tc>
          <w:tcPr/>
          <w:p>
            <w:pPr>
              <w:pStyle w:val="Compact"/>
              <w:jc w:val="left"/>
            </w:pPr>
            <w:r>
              <w:rPr>
                <w:rFonts w:hint="eastAsia"/>
              </w:rPr>
              <w:t xml:space="preserve">价格区间比例</w:t>
            </w:r>
          </w:p>
        </w:tc>
        <w:tc>
          <w:tcPr/>
          <w:p>
            <w:pPr>
              <w:pStyle w:val="Compact"/>
              <w:jc w:val="right"/>
            </w:pPr>
            <w:r>
              <w:t xml:space="preserve">36.1%</w:t>
            </w:r>
          </w:p>
        </w:tc>
        <w:tc>
          <w:tcPr/>
          <w:p>
            <w:pPr>
              <w:pStyle w:val="Compact"/>
              <w:jc w:val="right"/>
            </w:pPr>
            <w:r>
              <w:t xml:space="preserve">93.2%</w:t>
            </w:r>
          </w:p>
        </w:tc>
        <w:tc>
          <w:tcPr/>
          <w:p>
            <w:pPr>
              <w:pStyle w:val="Compact"/>
              <w:jc w:val="left"/>
            </w:pPr>
            <w:r>
              <w:rPr>
                <w:rFonts w:hint="eastAsia"/>
              </w:rPr>
              <w:t xml:space="preserve">窗口内价格振幅</w:t>
            </w:r>
          </w:p>
        </w:tc>
      </w:tr>
      <w:tr>
        <w:tc>
          <w:tcPr/>
          <w:p>
            <w:pPr>
              <w:pStyle w:val="Compact"/>
              <w:jc w:val="left"/>
            </w:pPr>
            <w:r>
              <w:rPr>
                <w:rFonts w:hint="eastAsia"/>
              </w:rPr>
              <w:t xml:space="preserve">朴素上一日基准</w:t>
            </w:r>
            <w:r>
              <w:t xml:space="preserve"> RMSE</w:t>
            </w:r>
          </w:p>
        </w:tc>
        <w:tc>
          <w:tcPr/>
          <w:p>
            <w:pPr>
              <w:pStyle w:val="Compact"/>
              <w:jc w:val="right"/>
            </w:pPr>
            <w:r>
              <w:t xml:space="preserve">4.52</w:t>
            </w:r>
          </w:p>
        </w:tc>
        <w:tc>
          <w:tcPr/>
          <w:p>
            <w:pPr>
              <w:pStyle w:val="Compact"/>
              <w:jc w:val="right"/>
            </w:pPr>
            <w:r>
              <w:t xml:space="preserve">98.5%</w:t>
            </w:r>
          </w:p>
        </w:tc>
        <w:tc>
          <w:tcPr/>
          <w:p>
            <w:pPr>
              <w:pStyle w:val="Compact"/>
              <w:jc w:val="left"/>
            </w:pPr>
            <w:r>
              <w:rPr>
                <w:rFonts w:hint="eastAsia"/>
              </w:rPr>
              <w:t xml:space="preserve">随机游走基准在该窗口是否变难</w:t>
            </w:r>
          </w:p>
        </w:tc>
      </w:tr>
      <w:tr>
        <w:tc>
          <w:tcPr/>
          <w:p>
            <w:pPr>
              <w:pStyle w:val="Compact"/>
              <w:jc w:val="left"/>
            </w:pPr>
            <w:r>
              <w:rPr>
                <w:rFonts w:hint="eastAsia"/>
              </w:rPr>
              <w:t xml:space="preserve">本文机制模型</w:t>
            </w:r>
            <w:r>
              <w:t xml:space="preserve"> RMSE</w:t>
            </w:r>
          </w:p>
        </w:tc>
        <w:tc>
          <w:tcPr/>
          <w:p>
            <w:pPr>
              <w:pStyle w:val="Compact"/>
              <w:jc w:val="right"/>
            </w:pPr>
            <w:r>
              <w:t xml:space="preserve">3.44</w:t>
            </w:r>
          </w:p>
        </w:tc>
        <w:tc>
          <w:tcPr/>
          <w:p>
            <w:pPr>
              <w:pStyle w:val="Compact"/>
              <w:jc w:val="right"/>
            </w:pPr>
            <w:r>
              <w:t xml:space="preserve">97.4%</w:t>
            </w:r>
          </w:p>
        </w:tc>
        <w:tc>
          <w:tcPr/>
          <w:p>
            <w:pPr>
              <w:pStyle w:val="Compact"/>
              <w:jc w:val="left"/>
            </w:pPr>
            <w:r>
              <w:rPr>
                <w:rFonts w:hint="eastAsia"/>
              </w:rPr>
              <w:t xml:space="preserve">对比历史朴素误差分布</w:t>
            </w:r>
          </w:p>
        </w:tc>
      </w:tr>
    </w:tbl>
    <w:p>
      <w:pPr>
        <w:pStyle w:val="CaptionedFigure"/>
      </w:pPr>
      <w:r>
        <w:drawing>
          <wp:inline>
            <wp:extent cx="4907280" cy="2685115"/>
            <wp:effectExtent b="0" l="0" r="0" t="0"/>
            <wp:docPr descr="" title="" id="172" name="Picture"/>
            <a:graphic>
              <a:graphicData uri="http://schemas.openxmlformats.org/drawingml/2006/picture">
                <pic:pic>
                  <pic:nvPicPr>
                    <pic:cNvPr descr="历史窗口极端性检验.png" id="173" name="Picture"/>
                    <pic:cNvPicPr>
                      <a:picLocks noChangeArrowheads="1" noChangeAspect="1"/>
                    </pic:cNvPicPr>
                  </pic:nvPicPr>
                  <pic:blipFill>
                    <a:blip r:embed="rId171"/>
                    <a:stretch>
                      <a:fillRect/>
                    </a:stretch>
                  </pic:blipFill>
                  <pic:spPr bwMode="auto">
                    <a:xfrm>
                      <a:off x="0" y="0"/>
                      <a:ext cx="4907280" cy="2685115"/>
                    </a:xfrm>
                    <a:prstGeom prst="rect">
                      <a:avLst/>
                    </a:prstGeom>
                    <a:noFill/>
                    <a:ln w="9525">
                      <a:noFill/>
                      <a:headEnd/>
                      <a:tailEnd/>
                    </a:ln>
                  </pic:spPr>
                </pic:pic>
              </a:graphicData>
            </a:graphic>
          </wp:inline>
        </w:drawing>
      </w:r>
    </w:p>
    <w:p>
      <w:pPr>
        <w:pStyle w:val="ImageCaption"/>
      </w:pPr>
      <w:r>
        <w:t xml:space="preserve">2026 </w:t>
      </w:r>
      <w:r>
        <w:rPr>
          <w:rFonts w:hint="eastAsia"/>
        </w:rPr>
        <w:t xml:space="preserve">冲突窗口在历史同长度窗口中的极端性。累计涨幅、波动率和朴素基准误差均处于历史高分位。</w:t>
      </w:r>
    </w:p>
    <w:p>
      <w:pPr>
        <w:pStyle w:val="CaptionedFigure"/>
      </w:pPr>
      <w:r>
        <w:drawing>
          <wp:inline>
            <wp:extent cx="4800600" cy="2351314"/>
            <wp:effectExtent b="0" l="0" r="0" t="0"/>
            <wp:docPr descr="" title="" id="175" name="Picture"/>
            <a:graphic>
              <a:graphicData uri="http://schemas.openxmlformats.org/drawingml/2006/picture">
                <pic:pic>
                  <pic:nvPicPr>
                    <pic:cNvPr descr="R历史基准误差分布图.png" id="176" name="Picture"/>
                    <pic:cNvPicPr>
                      <a:picLocks noChangeArrowheads="1" noChangeAspect="1"/>
                    </pic:cNvPicPr>
                  </pic:nvPicPr>
                  <pic:blipFill>
                    <a:blip r:embed="rId174"/>
                    <a:stretch>
                      <a:fillRect/>
                    </a:stretch>
                  </pic:blipFill>
                  <pic:spPr bwMode="auto">
                    <a:xfrm>
                      <a:off x="0" y="0"/>
                      <a:ext cx="4800600" cy="2351314"/>
                    </a:xfrm>
                    <a:prstGeom prst="rect">
                      <a:avLst/>
                    </a:prstGeom>
                    <a:noFill/>
                    <a:ln w="9525">
                      <a:noFill/>
                      <a:headEnd/>
                      <a:tailEnd/>
                    </a:ln>
                  </pic:spPr>
                </pic:pic>
              </a:graphicData>
            </a:graphic>
          </wp:inline>
        </w:drawing>
      </w:r>
    </w:p>
    <w:p>
      <w:pPr>
        <w:pStyle w:val="ImageCaption"/>
      </w:pPr>
      <w:r>
        <w:t xml:space="preserve">R/ggplot2 </w:t>
      </w:r>
      <w:r>
        <w:rPr>
          <w:rFonts w:hint="eastAsia"/>
        </w:rPr>
        <w:t xml:space="preserve">历史同长度窗口基准误差分布。蓝色区间表示历史分位带，红点表示</w:t>
      </w:r>
      <w:r>
        <w:t xml:space="preserve"> 2026 </w:t>
      </w:r>
      <w:r>
        <w:rPr>
          <w:rFonts w:hint="eastAsia"/>
        </w:rPr>
        <w:t xml:space="preserve">冲突窗口，说明该窗口对普通基准模型显著更难。</w:t>
      </w:r>
    </w:p>
    <w:p>
      <w:pPr>
        <w:pStyle w:val="BodyText"/>
      </w:pPr>
      <w:r>
        <w:rPr>
          <w:rFonts w:hint="eastAsia"/>
        </w:rPr>
        <w:t xml:space="preserve">历史检验有两个作用。第一，它证明本文没有只盯着</w:t>
      </w:r>
      <w:r>
        <w:t xml:space="preserve"> 46 </w:t>
      </w:r>
      <w:r>
        <w:rPr>
          <w:rFonts w:hint="eastAsia"/>
        </w:rPr>
        <w:t xml:space="preserve">个交易日做孤立拟合：与</w:t>
      </w:r>
      <w:r>
        <w:t xml:space="preserve"> 2017–2026 </w:t>
      </w:r>
      <w:r>
        <w:rPr>
          <w:rFonts w:hint="eastAsia"/>
        </w:rPr>
        <w:t xml:space="preserve">年所有同长度窗口相比，2026</w:t>
      </w:r>
      <w:r>
        <w:t xml:space="preserve"> </w:t>
      </w:r>
      <w:r>
        <w:rPr>
          <w:rFonts w:hint="eastAsia"/>
        </w:rPr>
        <w:t xml:space="preserve">冲突窗口确实属于高涨幅、高波动和高预测难度样本。第二，它说明完整历史数据更适合作为背景分布和基准检验，而不应被用来把霍尔木兹机制参数强行拟合到所有普通时期。ADF</w:t>
      </w:r>
      <w:r>
        <w:t xml:space="preserve"> </w:t>
      </w:r>
      <w:r>
        <w:rPr>
          <w:rFonts w:hint="eastAsia"/>
        </w:rPr>
        <w:t xml:space="preserve">检验也支持这一点：收盘价水平和对数价格均不能拒绝单位根，而对数收益率可拒绝单位根，因此普通统计基准更适合在收益率或差分口径下使用。</w:t>
      </w:r>
    </w:p>
    <w:bookmarkEnd w:id="177"/>
    <w:bookmarkEnd w:id="178"/>
    <w:bookmarkStart w:id="182" w:name="模型评价"/>
    <w:p>
      <w:pPr>
        <w:pStyle w:val="Heading1"/>
      </w:pPr>
      <w:r>
        <w:rPr>
          <w:rFonts w:hint="eastAsia"/>
        </w:rPr>
        <w:t xml:space="preserve">模型评价</w:t>
      </w:r>
    </w:p>
    <w:bookmarkStart w:id="179" w:name="优点"/>
    <w:p>
      <w:pPr>
        <w:pStyle w:val="Heading2"/>
      </w:pPr>
      <w:r>
        <w:rPr>
          <w:rFonts w:hint="eastAsia"/>
        </w:rPr>
        <w:t xml:space="preserve">优点</w:t>
      </w:r>
    </w:p>
    <w:p>
      <w:pPr>
        <w:numPr>
          <w:ilvl w:val="0"/>
          <w:numId w:val="1006"/>
        </w:numPr>
      </w:pPr>
      <w:r>
        <w:rPr>
          <w:rFonts w:hint="eastAsia"/>
        </w:rPr>
        <w:t xml:space="preserve">证据链完整：从附件数据清洗、传统供需基准、动态模型、校准、鲁棒性检验、三情景预测到敏感性分析均可复现。</w:t>
      </w:r>
    </w:p>
    <w:p>
      <w:pPr>
        <w:numPr>
          <w:ilvl w:val="0"/>
          <w:numId w:val="1006"/>
        </w:numPr>
      </w:pPr>
      <w:r>
        <w:rPr>
          <w:rFonts w:hint="eastAsia"/>
        </w:rPr>
        <w:t xml:space="preserve">机制解释清晰：价格平台由供应缺口、风险溢价和缓冲折价共同递推形成，而非外生给定的价格上限。</w:t>
      </w:r>
    </w:p>
    <w:p>
      <w:pPr>
        <w:numPr>
          <w:ilvl w:val="0"/>
          <w:numId w:val="1006"/>
        </w:numPr>
      </w:pPr>
      <w:r>
        <w:rPr>
          <w:rFonts w:hint="eastAsia"/>
        </w:rPr>
        <w:t xml:space="preserve">检验体系较完整：本文设置</w:t>
      </w:r>
      <w:r>
        <w:t xml:space="preserve"> Random Walk </w:t>
      </w:r>
      <w:r>
        <w:rPr>
          <w:rFonts w:hint="eastAsia"/>
        </w:rPr>
        <w:t xml:space="preserve">基准、ARIMA</w:t>
      </w:r>
      <w:r>
        <w:t xml:space="preserve"> </w:t>
      </w:r>
      <w:r>
        <w:rPr>
          <w:rFonts w:hint="eastAsia"/>
        </w:rPr>
        <w:t xml:space="preserve">基准、DM</w:t>
      </w:r>
      <w:r>
        <w:t xml:space="preserve"> </w:t>
      </w:r>
      <w:r>
        <w:rPr>
          <w:rFonts w:hint="eastAsia"/>
        </w:rPr>
        <w:t xml:space="preserve">统计检验、滞后平移检验、机制消融、参数扰动和历史同长度窗口检验。</w:t>
      </w:r>
    </w:p>
    <w:p>
      <w:pPr>
        <w:numPr>
          <w:ilvl w:val="0"/>
          <w:numId w:val="1006"/>
        </w:numPr>
      </w:pPr>
      <w:r>
        <w:rPr>
          <w:rFonts w:hint="eastAsia"/>
        </w:rPr>
        <w:t xml:space="preserve">数据口径保守：所有真实价格均来自附件</w:t>
      </w:r>
      <w:r>
        <w:t xml:space="preserve"> </w:t>
      </w:r>
      <w:r>
        <w:rPr>
          <w:rFonts w:hint="eastAsia"/>
        </w:rPr>
        <w:t xml:space="preserve">CSV；外推阶段明确标注为情景预测，不作为真实观测。</w:t>
      </w:r>
    </w:p>
    <w:p>
      <w:pPr>
        <w:numPr>
          <w:ilvl w:val="0"/>
          <w:numId w:val="1006"/>
        </w:numPr>
      </w:pPr>
      <w:r>
        <w:rPr>
          <w:rFonts w:hint="eastAsia"/>
        </w:rPr>
        <w:t xml:space="preserve">长期表述审慎：三情景中心线与蒙特卡洛扇形区间、状态转移情景树合读，把长期结果定位为条件中心路径、状态切换和尾部风险，而非精确日度点预测。</w:t>
      </w:r>
    </w:p>
    <w:bookmarkEnd w:id="179"/>
    <w:bookmarkStart w:id="180" w:name="局限性"/>
    <w:p>
      <w:pPr>
        <w:pStyle w:val="Heading2"/>
      </w:pPr>
      <w:r>
        <w:rPr>
          <w:rFonts w:hint="eastAsia"/>
        </w:rPr>
        <w:t xml:space="preserve">局限性</w:t>
      </w:r>
    </w:p>
    <w:p>
      <w:pPr>
        <w:numPr>
          <w:ilvl w:val="0"/>
          <w:numId w:val="1007"/>
        </w:numPr>
      </w:pPr>
      <w:r>
        <w:rPr>
          <w:rFonts w:hint="eastAsia"/>
        </w:rPr>
        <w:t xml:space="preserve">冲突窗口只有</w:t>
      </w:r>
      <w:r>
        <w:t xml:space="preserve"> 46 </w:t>
      </w:r>
      <w:r>
        <w:rPr>
          <w:rFonts w:hint="eastAsia"/>
        </w:rPr>
        <w:t xml:space="preserve">个交易日，参数自由度相对较高，尽管有压力测试和边界检验，仍不宜把模型包装为通用油价交易预测器。</w:t>
      </w:r>
    </w:p>
    <w:p>
      <w:pPr>
        <w:numPr>
          <w:ilvl w:val="0"/>
          <w:numId w:val="1007"/>
        </w:numPr>
      </w:pPr>
      <w:r>
        <w:rPr>
          <w:rFonts w:hint="eastAsia"/>
        </w:rPr>
        <w:t xml:space="preserve">本文已补充</w:t>
      </w:r>
      <w:r>
        <w:t xml:space="preserve"> EIA </w:t>
      </w:r>
      <w:r>
        <w:rPr>
          <w:rFonts w:hint="eastAsia"/>
        </w:rPr>
        <w:t xml:space="preserve">美国口径</w:t>
      </w:r>
      <w:r>
        <w:t xml:space="preserve"> </w:t>
      </w:r>
      <w:r>
        <w:rPr>
          <w:rFonts w:hint="eastAsia"/>
        </w:rPr>
        <w:t xml:space="preserve">SPR、商业库存和原油产量周度数据，接入</w:t>
      </w:r>
      <w:r>
        <w:t xml:space="preserve"> JODI </w:t>
      </w:r>
      <w:r>
        <w:rPr>
          <w:rFonts w:hint="eastAsia"/>
        </w:rPr>
        <w:t xml:space="preserve">多国月度产量、库存、进出口、需求和炼厂产出，整理</w:t>
      </w:r>
      <w:r>
        <w:t xml:space="preserve"> OPEC </w:t>
      </w:r>
      <w:r>
        <w:rPr>
          <w:rFonts w:hint="eastAsia"/>
        </w:rPr>
        <w:t xml:space="preserve">公开全球供需平衡表作为长期外生约束，并进一步接入</w:t>
      </w:r>
      <w:r>
        <w:t xml:space="preserve"> OVX </w:t>
      </w:r>
      <w:r>
        <w:rPr>
          <w:rFonts w:hint="eastAsia"/>
        </w:rPr>
        <w:t xml:space="preserve">原油隐含波动率约束长期风险权重和不确定性强度；同时接入</w:t>
      </w:r>
      <w:r>
        <w:t xml:space="preserve"> GPR </w:t>
      </w:r>
      <w:r>
        <w:rPr>
          <w:rFonts w:hint="eastAsia"/>
        </w:rPr>
        <w:t xml:space="preserve">月度指数和历史滚动窗口校验地缘风险与事件极端性。但</w:t>
      </w:r>
      <w:r>
        <w:t xml:space="preserve"> JODI </w:t>
      </w:r>
      <w:r>
        <w:rPr>
          <w:rFonts w:hint="eastAsia"/>
        </w:rPr>
        <w:t xml:space="preserve">存在上报滞后和覆盖差异，OPEC</w:t>
      </w:r>
      <w:r>
        <w:t xml:space="preserve"> </w:t>
      </w:r>
      <w:r>
        <w:rPr>
          <w:rFonts w:hint="eastAsia"/>
        </w:rPr>
        <w:t xml:space="preserve">表属于正常基线预测而非封锁情景实测，OVX</w:t>
      </w:r>
      <w:r>
        <w:t xml:space="preserve"> </w:t>
      </w:r>
      <w:r>
        <w:rPr>
          <w:rFonts w:hint="eastAsia"/>
        </w:rPr>
        <w:t xml:space="preserve">反映波动率而非方向收益，仍不能替代</w:t>
      </w:r>
      <w:r>
        <w:t xml:space="preserve"> IEA </w:t>
      </w:r>
      <w:r>
        <w:rPr>
          <w:rFonts w:hint="eastAsia"/>
        </w:rPr>
        <w:t xml:space="preserve">完整授权数据库、油轮保险费、期货期限结构或高频新闻情绪等变量。</w:t>
      </w:r>
    </w:p>
    <w:p>
      <w:pPr>
        <w:numPr>
          <w:ilvl w:val="0"/>
          <w:numId w:val="1007"/>
        </w:numPr>
      </w:pPr>
      <w:r>
        <w:rPr>
          <w:rFonts w:hint="eastAsia"/>
        </w:rPr>
        <w:t xml:space="preserve">蒙特卡洛情景树和状态转移情景树已经刻画了部分参数联动风险与事件状态切换风险，但其联合分布仍来自模型设定而非未来观测，因此尾部概率应解释为条件概率而非真实市场概率。</w:t>
      </w:r>
    </w:p>
    <w:bookmarkEnd w:id="180"/>
    <w:bookmarkStart w:id="181" w:name="改进方向"/>
    <w:p>
      <w:pPr>
        <w:pStyle w:val="Heading2"/>
      </w:pPr>
      <w:r>
        <w:rPr>
          <w:rFonts w:hint="eastAsia"/>
        </w:rPr>
        <w:t xml:space="preserve">改进方向</w:t>
      </w:r>
    </w:p>
    <w:p>
      <w:pPr>
        <w:pStyle w:val="FirstParagraph"/>
      </w:pPr>
      <w:r>
        <w:rPr>
          <w:rFonts w:hint="eastAsia"/>
        </w:rPr>
        <w:t xml:space="preserve">若后续继续深化，可以从三个方向提高模型外推能力：第一，在现有</w:t>
      </w:r>
      <w:r>
        <w:t xml:space="preserve"> EIA、JODI </w:t>
      </w:r>
      <w:r>
        <w:rPr>
          <w:rFonts w:hint="eastAsia"/>
        </w:rPr>
        <w:t xml:space="preserve">与</w:t>
      </w:r>
      <w:r>
        <w:t xml:space="preserve"> OPEC </w:t>
      </w:r>
      <w:r>
        <w:rPr>
          <w:rFonts w:hint="eastAsia"/>
        </w:rPr>
        <w:t xml:space="preserve">校验基础上，若获得</w:t>
      </w:r>
      <w:r>
        <w:t xml:space="preserve"> IEA MODS </w:t>
      </w:r>
      <w:r>
        <w:rPr>
          <w:rFonts w:hint="eastAsia"/>
        </w:rPr>
        <w:t xml:space="preserve">等授权数据库，可进一步约束全球库存消耗速度和炼厂吞吐路径；第二，在现有</w:t>
      </w:r>
      <w:r>
        <w:t xml:space="preserve"> GPR </w:t>
      </w:r>
      <w:r>
        <w:rPr>
          <w:rFonts w:hint="eastAsia"/>
        </w:rPr>
        <w:t xml:space="preserve">和</w:t>
      </w:r>
      <w:r>
        <w:t xml:space="preserve"> OVX </w:t>
      </w:r>
      <w:r>
        <w:rPr>
          <w:rFonts w:hint="eastAsia"/>
        </w:rPr>
        <w:t xml:space="preserve">检验基础上，继续探索油轮保险费、BDTI/TD3C、期货期限结构等更接近霍尔木兹运输风险和期限定价的变量；第三，把状态转移概率从当前</w:t>
      </w:r>
      <w:r>
        <w:t xml:space="preserve"> GPR/OVX </w:t>
      </w:r>
      <w:r>
        <w:rPr>
          <w:rFonts w:hint="eastAsia"/>
        </w:rPr>
        <w:t xml:space="preserve">风险约束继续推进为由历史地缘风险、隐含波动率、期限结构和运输保险价格共同驱动的时变概率。R</w:t>
      </w:r>
      <w:r>
        <w:t xml:space="preserve"> </w:t>
      </w:r>
      <w:r>
        <w:rPr>
          <w:rFonts w:hint="eastAsia"/>
        </w:rPr>
        <w:t xml:space="preserve">语言可用于后续</w:t>
      </w:r>
      <w:r>
        <w:t xml:space="preserve"> GARCH、VAR、Granger </w:t>
      </w:r>
      <w:r>
        <w:rPr>
          <w:rFonts w:hint="eastAsia"/>
        </w:rPr>
        <w:t xml:space="preserve">和稳健标准误等计量检验，C++</w:t>
      </w:r>
      <w:r>
        <w:t xml:space="preserve"> </w:t>
      </w:r>
      <w:r>
        <w:rPr>
          <w:rFonts w:hint="eastAsia"/>
        </w:rPr>
        <w:t xml:space="preserve">多智能体仿真则只有在获得主体级行为数据时才有必要进入主线。</w:t>
      </w:r>
    </w:p>
    <w:bookmarkEnd w:id="181"/>
    <w:bookmarkEnd w:id="182"/>
    <w:bookmarkStart w:id="18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本文围绕霍尔木兹海峡封锁对国际原油价格的影响，建立了一套从传统供需上界到动态缓冲解释、再到</w:t>
      </w:r>
      <w:r>
        <w:t xml:space="preserve"> 60–180 </w:t>
      </w:r>
      <w:r>
        <w:rPr>
          <w:rFonts w:hint="eastAsia"/>
        </w:rPr>
        <w:t xml:space="preserve">天情景预测与敏感性分析的完整模型。研究表明：</w:t>
      </w:r>
    </w:p>
    <w:p>
      <w:pPr>
        <w:numPr>
          <w:ilvl w:val="0"/>
          <w:numId w:val="1008"/>
        </w:numPr>
      </w:pPr>
      <w:r>
        <w:rPr>
          <w:rFonts w:hint="eastAsia"/>
        </w:rPr>
        <w:t xml:space="preserve">在赛题低短期弹性假设下，线性需求反事实基准会给出约</w:t>
      </w:r>
      <w:r>
        <w:t xml:space="preserve"> 278–337 </w:t>
      </w:r>
      <w:r>
        <w:rPr>
          <w:rFonts w:hint="eastAsia"/>
        </w:rPr>
        <w:t xml:space="preserve">美元/桶的理论压力，常弹性需求口径给出更高机械上界。该结果只表示静态低弹性框架的压力上界，不表示现实市场会到达该价格。</w:t>
      </w:r>
    </w:p>
    <w:p>
      <w:pPr>
        <w:numPr>
          <w:ilvl w:val="0"/>
          <w:numId w:val="1008"/>
        </w:numPr>
      </w:pPr>
      <w:r>
        <w:rPr>
          <w:rFonts w:hint="eastAsia"/>
        </w:rPr>
        <w:t xml:space="preserve">加入</w:t>
      </w:r>
      <w:r>
        <w:t xml:space="preserve"> </w:t>
      </w:r>
      <w:r>
        <w:rPr>
          <w:rFonts w:hint="eastAsia"/>
        </w:rPr>
        <w:t xml:space="preserve">SPR、商业库存、绕道运输、需求收缩、恐慌衰减、地缘风险溢价和预期修复后，短期动态模型可将冲突窗口</w:t>
      </w:r>
      <w:r>
        <w:t xml:space="preserve"> RMSE </w:t>
      </w:r>
      <w:r>
        <w:rPr>
          <w:rFonts w:hint="eastAsia"/>
        </w:rPr>
        <w:t xml:space="preserve">控制在</w:t>
      </w:r>
      <w:r>
        <w:t xml:space="preserve"> 3.44 </w:t>
      </w:r>
      <w:r>
        <w:rPr>
          <w:rFonts w:hint="eastAsia"/>
        </w:rPr>
        <w:t xml:space="preserve">美元/桶，MAE</w:t>
      </w:r>
      <w:r>
        <w:t xml:space="preserve"> </w:t>
      </w:r>
      <w:r>
        <w:rPr>
          <w:rFonts w:hint="eastAsia"/>
        </w:rPr>
        <w:t xml:space="preserve">控制在</w:t>
      </w:r>
      <w:r>
        <w:t xml:space="preserve"> 2.85 </w:t>
      </w:r>
      <w:r>
        <w:rPr>
          <w:rFonts w:hint="eastAsia"/>
        </w:rPr>
        <w:t xml:space="preserve">美元/桶。</w:t>
      </w:r>
    </w:p>
    <w:p>
      <w:pPr>
        <w:numPr>
          <w:ilvl w:val="0"/>
          <w:numId w:val="1008"/>
        </w:numPr>
      </w:pPr>
      <w:r>
        <w:rPr>
          <w:rFonts w:hint="eastAsia"/>
        </w:rPr>
        <w:t xml:space="preserve">模型优于朴素上一日基准和滚动</w:t>
      </w:r>
      <w:r>
        <w:t xml:space="preserve"> ARIMA </w:t>
      </w:r>
      <w:r>
        <w:rPr>
          <w:rFonts w:hint="eastAsia"/>
        </w:rPr>
        <w:t xml:space="preserve">基准，DM</w:t>
      </w:r>
      <w:r>
        <w:t xml:space="preserve"> </w:t>
      </w:r>
      <w:r>
        <w:rPr>
          <w:rFonts w:hint="eastAsia"/>
        </w:rPr>
        <w:t xml:space="preserve">平方损失检验和方向命中检验提供支持性统计证据，且通过滞后平移检验、机制消融和参数扰动检验，具备较好的解释力和稳定性。</w:t>
      </w:r>
    </w:p>
    <w:p>
      <w:pPr>
        <w:numPr>
          <w:ilvl w:val="0"/>
          <w:numId w:val="1008"/>
        </w:numPr>
      </w:pPr>
      <w:r>
        <w:t xml:space="preserve">60–180 </w:t>
      </w:r>
      <w:r>
        <w:rPr>
          <w:rFonts w:hint="eastAsia"/>
        </w:rPr>
        <w:t xml:space="preserve">天情景预测显示，中性情景第</w:t>
      </w:r>
      <w:r>
        <w:t xml:space="preserve"> 180 </w:t>
      </w:r>
      <w:r>
        <w:rPr>
          <w:rFonts w:hint="eastAsia"/>
        </w:rPr>
        <w:t xml:space="preserve">天价格约为</w:t>
      </w:r>
      <w:r>
        <w:t xml:space="preserve"> 94.15 </w:t>
      </w:r>
      <w:r>
        <w:rPr>
          <w:rFonts w:hint="eastAsia"/>
        </w:rPr>
        <w:t xml:space="preserve">美元/桶；悲观情景第</w:t>
      </w:r>
      <w:r>
        <w:t xml:space="preserve"> 180 </w:t>
      </w:r>
      <w:r>
        <w:rPr>
          <w:rFonts w:hint="eastAsia"/>
        </w:rPr>
        <w:t xml:space="preserve">天约为</w:t>
      </w:r>
      <w:r>
        <w:t xml:space="preserve"> 110.16 </w:t>
      </w:r>
      <w:r>
        <w:rPr>
          <w:rFonts w:hint="eastAsia"/>
        </w:rPr>
        <w:t xml:space="preserve">美元/桶，并存在二次跳涨风险。</w:t>
      </w:r>
    </w:p>
    <w:p>
      <w:pPr>
        <w:numPr>
          <w:ilvl w:val="0"/>
          <w:numId w:val="1008"/>
        </w:numPr>
      </w:pPr>
      <w:r>
        <w:rPr>
          <w:rFonts w:hint="eastAsia"/>
        </w:rPr>
        <w:t xml:space="preserve">敏感性分析显示，封锁风险衰减速度、地缘风险权重和不确定性与制度风险强度是综合敏感度最高的三个因素；SPR</w:t>
      </w:r>
      <w:r>
        <w:t xml:space="preserve"> </w:t>
      </w:r>
      <w:r>
        <w:rPr>
          <w:rFonts w:hint="eastAsia"/>
        </w:rPr>
        <w:t xml:space="preserve">和绕道运输更偏向削峰、缺口闭合和争取恢复时间。</w:t>
      </w:r>
    </w:p>
    <w:p>
      <w:pPr>
        <w:numPr>
          <w:ilvl w:val="0"/>
          <w:numId w:val="1008"/>
        </w:numPr>
      </w:pPr>
      <w:r>
        <w:rPr>
          <w:rFonts w:hint="eastAsia"/>
        </w:rPr>
        <w:t xml:space="preserve">蒙特卡洛情景树显示，第</w:t>
      </w:r>
      <w:r>
        <w:t xml:space="preserve"> 180 </w:t>
      </w:r>
      <w:r>
        <w:rPr>
          <w:rFonts w:hint="eastAsia"/>
        </w:rPr>
        <w:t xml:space="preserve">天价格</w:t>
      </w:r>
      <w:r>
        <w:t xml:space="preserve"> 5%–95% </w:t>
      </w:r>
      <w:r>
        <w:rPr>
          <w:rFonts w:hint="eastAsia"/>
        </w:rPr>
        <w:t xml:space="preserve">区间为</w:t>
      </w:r>
      <w:r>
        <w:t xml:space="preserve"> 89.58–106.44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16.3%，尾部风险主要来自多因素同时恶化；状态转移情景树进一步说明，若未来冲突状态在缓和、维持和升级之间切换，并受到</w:t>
      </w:r>
      <w:r>
        <w:t xml:space="preserve"> GPR/OVX </w:t>
      </w:r>
      <w:r>
        <w:rPr>
          <w:rFonts w:hint="eastAsia"/>
        </w:rPr>
        <w:t xml:space="preserve">风险读数约束，外推期最高价</w:t>
      </w:r>
      <w:r>
        <w:t xml:space="preserve"> P95 </w:t>
      </w:r>
      <w:r>
        <w:rPr>
          <w:rFonts w:hint="eastAsia"/>
        </w:rPr>
        <w:t xml:space="preserve">约为</w:t>
      </w:r>
      <w:r>
        <w:t xml:space="preserve"> 130.51 </w:t>
      </w:r>
      <w:r>
        <w:rPr>
          <w:rFonts w:hint="eastAsia"/>
        </w:rPr>
        <w:t xml:space="preserve">美元/桶，突破</w:t>
      </w:r>
      <w:r>
        <w:t xml:space="preserve"> 120 </w:t>
      </w:r>
      <w:r>
        <w:rPr>
          <w:rFonts w:hint="eastAsia"/>
        </w:rPr>
        <w:t xml:space="preserve">美元/桶的条件概率约为</w:t>
      </w:r>
      <w:r>
        <w:t xml:space="preserve"> 38.3%。</w:t>
      </w:r>
    </w:p>
    <w:p>
      <w:pPr>
        <w:numPr>
          <w:ilvl w:val="0"/>
          <w:numId w:val="1008"/>
        </w:numPr>
      </w:pPr>
      <w:r>
        <w:t xml:space="preserve">GPR </w:t>
      </w:r>
      <w:r>
        <w:rPr>
          <w:rFonts w:hint="eastAsia"/>
        </w:rPr>
        <w:t xml:space="preserve">滞后检验显示，2026</w:t>
      </w:r>
      <w:r>
        <w:t xml:space="preserve">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检验显示冲突窗口隐含波动率均值处于同长度历史窗口约</w:t>
      </w:r>
      <w:r>
        <w:t xml:space="preserve"> 97.3% </w:t>
      </w:r>
      <w:r>
        <w:rPr>
          <w:rFonts w:hint="eastAsia"/>
        </w:rPr>
        <w:t xml:space="preserve">分位。二者支持风险溢价机制，但都不应包装成短期点预测因子。</w:t>
      </w:r>
    </w:p>
    <w:p>
      <w:pPr>
        <w:numPr>
          <w:ilvl w:val="0"/>
          <w:numId w:val="1008"/>
        </w:numPr>
      </w:pPr>
      <w:r>
        <w:t xml:space="preserve">2017–2026 </w:t>
      </w:r>
      <w:r>
        <w:rPr>
          <w:rFonts w:hint="eastAsia"/>
        </w:rPr>
        <w:t xml:space="preserve">历史同长度窗口检验显示，冲突窗口累计收益率、波动率和朴素基准误差均处于历史高分位，说明完整历史数据支持</w:t>
      </w:r>
      <w:r>
        <w:rPr>
          <w:rFonts w:hint="eastAsia"/>
        </w:rPr>
        <w:t xml:space="preserve">“该事件窗口确实特殊”</w:t>
      </w:r>
      <w:r>
        <w:rPr>
          <w:rFonts w:hint="eastAsia"/>
        </w:rPr>
        <w:t xml:space="preserve">的判断。</w:t>
      </w:r>
    </w:p>
    <w:p>
      <w:pPr>
        <w:pStyle w:val="FirstParagraph"/>
      </w:pPr>
      <w:r>
        <w:rPr>
          <w:rFonts w:hint="eastAsia"/>
        </w:rPr>
        <w:t xml:space="preserve">因此，霍尔木兹封锁对国际油价的影响不应被理解为简单的</w:t>
      </w:r>
      <w:r>
        <w:rPr>
          <w:rFonts w:hint="eastAsia"/>
        </w:rPr>
        <w:t xml:space="preserve">“供应缺口乘以低弹性”</w:t>
      </w:r>
      <w:r>
        <w:rPr>
          <w:rFonts w:hint="eastAsia"/>
        </w:rPr>
        <w:t xml:space="preserve">问题，而应被理解为物理缺口、政策缓冲、库存约束、替代运输和市场风险预期共同作用下的动态系统。短期价格平台来自政策缓冲与预期修复对低弹性供需压力的再定价；长期风险则不在于中性路径本身，而在于供应中断偏大、SPR</w:t>
      </w:r>
      <w:r>
        <w:t xml:space="preserve"> </w:t>
      </w:r>
      <w:r>
        <w:rPr>
          <w:rFonts w:hint="eastAsia"/>
        </w:rPr>
        <w:t xml:space="preserve">不足、绕道恢复缓慢和制度风险溢价持续时形成的尾部组合。</w:t>
      </w:r>
    </w:p>
    <w:p>
      <w:pPr>
        <w:pStyle w:val="BodyText"/>
      </w:pPr>
      <w:r>
        <w:rPr>
          <w:rFonts w:hint="eastAsia"/>
          <w:b/>
          <w:bCs/>
        </w:rPr>
        <w:t xml:space="preserve">关键结论</w:t>
      </w:r>
      <w:r>
        <w:rPr>
          <w:rFonts w:hint="eastAsia"/>
        </w:rPr>
        <w:t xml:space="preserve">本文最终结论可以概括为：短期看，价格平台是低弹性冲击、政策缓冲和预期修复共同递推形成的结果；长期看，决定风险上界的不是单一路径预测，而是封锁持续、缓冲失效和制度风险高位叠加时的尾部组合。</w:t>
      </w:r>
    </w:p>
    <w:bookmarkEnd w:id="183"/>
    <w:bookmarkStart w:id="1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18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18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18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18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18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18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19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191">
        <w:r>
          <w:rPr>
            <w:rStyle w:val="Hyperlink"/>
          </w:rPr>
          <w:t xml:space="preserve">FRED data page</w:t>
        </w:r>
      </w:hyperlink>
      <w:r>
        <w:t xml:space="preserve">.</w:t>
      </w:r>
    </w:p>
    <w:bookmarkEnd w:id="192"/>
    <w:bookmarkStart w:id="199" w:name="附录"/>
    <w:p>
      <w:pPr>
        <w:pStyle w:val="Heading1"/>
      </w:pPr>
      <w:r>
        <w:rPr>
          <w:rFonts w:hint="eastAsia"/>
        </w:rPr>
        <w:t xml:space="preserve">附录</w:t>
      </w:r>
    </w:p>
    <w:p>
      <w:pPr>
        <w:pStyle w:val="FirstParagraph"/>
      </w:pPr>
      <w:r>
        <w:rPr>
          <w:rFonts w:hint="eastAsia"/>
          <w:b/>
          <w:bCs/>
        </w:rPr>
        <w:t xml:space="preserve">关键结论</w:t>
      </w:r>
      <w:r>
        <w:rPr>
          <w:rFonts w:hint="eastAsia"/>
        </w:rPr>
        <w:t xml:space="preserve">附录只保留复现路径、核心递推伪代码和关键结果核查表，完整</w:t>
      </w:r>
      <w:r>
        <w:t xml:space="preserve"> Python/R </w:t>
      </w:r>
      <w:r>
        <w:rPr>
          <w:rFonts w:hint="eastAsia"/>
        </w:rPr>
        <w:t xml:space="preserve">程序随项目文件提交，避免正文后部被大段源码冲淡。</w:t>
      </w:r>
    </w:p>
    <w:bookmarkStart w:id="193" w:name="a.0-项目结构总览"/>
    <w:p>
      <w:pPr>
        <w:pStyle w:val="Heading2"/>
      </w:pPr>
      <w:r>
        <w:t xml:space="preserve">A.0 </w:t>
      </w:r>
      <w:r>
        <w:rPr>
          <w:rFonts w:hint="eastAsia"/>
        </w:rPr>
        <w:t xml:space="preserve">项目结构总览</w:t>
      </w:r>
    </w:p>
    <w:p>
      <w:pPr>
        <w:pStyle w:val="FirstParagraph"/>
      </w:pPr>
      <w:r>
        <w:rPr>
          <w:rFonts w:hint="eastAsia"/>
        </w:rPr>
        <w:t xml:space="preserve">本文的建模、校验、绘图和论文生成均保存在同一项目目录中。核心目录结构如下，未列出的缓存文件、临时渲染文件和历史实验文件不影响最终复现。</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 raw/              </w:t>
      </w:r>
      <w:r>
        <w:rPr>
          <w:rStyle w:val="VerbatimChar"/>
          <w:rFonts w:hint="eastAsia"/>
        </w:rPr>
        <w:t xml:space="preserve">赛题附件原始</w:t>
      </w:r>
      <w:r>
        <w:rPr>
          <w:rStyle w:val="VerbatimChar"/>
        </w:rPr>
        <w:t xml:space="preserve"> CSV</w:t>
      </w:r>
      <w:r>
        <w:br/>
      </w:r>
      <w:r>
        <w:rPr>
          <w:rStyle w:val="VerbatimChar"/>
        </w:rPr>
        <w:t xml:space="preserve">|   |-- processed/        </w:t>
      </w:r>
      <w:r>
        <w:rPr>
          <w:rStyle w:val="VerbatimChar"/>
          <w:rFonts w:hint="eastAsia"/>
        </w:rPr>
        <w:t xml:space="preserve">清洗后完整序列与冲突窗口数据</w:t>
      </w:r>
      <w:r>
        <w:br/>
      </w:r>
      <w:r>
        <w:rPr>
          <w:rStyle w:val="VerbatimChar"/>
        </w:rPr>
        <w:t xml:space="preserve">|   |-- external/         EIA、JODI、OPEC、GPR、OVX </w:t>
      </w:r>
      <w:r>
        <w:rPr>
          <w:rStyle w:val="VerbatimChar"/>
          <w:rFonts w:hint="eastAsia"/>
        </w:rPr>
        <w:t xml:space="preserve">等外部校验数据</w:t>
      </w:r>
      <w:r>
        <w:br/>
      </w:r>
      <w:r>
        <w:rPr>
          <w:rStyle w:val="VerbatimChar"/>
        </w:rPr>
        <w:t xml:space="preserve">|-- src/                  Python </w:t>
      </w:r>
      <w:r>
        <w:rPr>
          <w:rStyle w:val="VerbatimChar"/>
          <w:rFonts w:hint="eastAsia"/>
        </w:rPr>
        <w:t xml:space="preserve">建模与分析源码</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传统供需基准与短期动态模型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w:t>
      </w:r>
      <w:r>
        <w:br/>
      </w:r>
      <w:r>
        <w:rPr>
          <w:rStyle w:val="VerbatimChar"/>
        </w:rPr>
        <w:t xml:space="preserve">|   |-- build/            PDF/DOCX </w:t>
      </w:r>
      <w:r>
        <w:rPr>
          <w:rStyle w:val="VerbatimChar"/>
          <w:rFonts w:hint="eastAsia"/>
        </w:rPr>
        <w:t xml:space="preserve">一键构建脚本</w:t>
      </w:r>
      <w:r>
        <w:br/>
      </w:r>
      <w:r>
        <w:rPr>
          <w:rStyle w:val="VerbatimChar"/>
        </w:rPr>
        <w:t xml:space="preserve">|   |-- audit/            R </w:t>
      </w:r>
      <w:r>
        <w:rPr>
          <w:rStyle w:val="VerbatimChar"/>
          <w:rFonts w:hint="eastAsia"/>
        </w:rPr>
        <w:t xml:space="preserve">语言计量检验与学术图表脚本</w:t>
      </w:r>
      <w:r>
        <w:br/>
      </w:r>
      <w:r>
        <w:rPr>
          <w:rStyle w:val="VerbatimChar"/>
        </w:rPr>
        <w:t xml:space="preserve">|   |-- postprocess/      DOCX </w:t>
      </w:r>
      <w:r>
        <w:rPr>
          <w:rStyle w:val="VerbatimChar"/>
          <w:rFonts w:hint="eastAsia"/>
        </w:rPr>
        <w:t xml:space="preserve">后处理脚本</w:t>
      </w:r>
      <w:r>
        <w:br/>
      </w:r>
      <w:r>
        <w:rPr>
          <w:rStyle w:val="VerbatimChar"/>
        </w:rPr>
        <w:t xml:space="preserve">|-- paper/</w:t>
      </w:r>
      <w:r>
        <w:br/>
      </w:r>
      <w:r>
        <w:rPr>
          <w:rStyle w:val="VerbatimChar"/>
        </w:rPr>
        <w:t xml:space="preserve">|   |-- </w:t>
      </w:r>
      <w:r>
        <w:rPr>
          <w:rStyle w:val="VerbatimChar"/>
          <w:rFonts w:hint="eastAsia"/>
        </w:rPr>
        <w:t xml:space="preserve">总论文.tex</w:t>
      </w:r>
      <w:r>
        <w:rPr>
          <w:rStyle w:val="VerbatimChar"/>
        </w:rPr>
        <w:t xml:space="preserve">        </w:t>
      </w:r>
      <w:r>
        <w:rPr>
          <w:rStyle w:val="VerbatimChar"/>
          <w:rFonts w:hint="eastAsia"/>
        </w:rPr>
        <w:t xml:space="preserve">最终论文主控文件</w:t>
      </w:r>
      <w:r>
        <w:br/>
      </w:r>
      <w:r>
        <w:rPr>
          <w:rStyle w:val="VerbatimChar"/>
        </w:rPr>
        <w:t xml:space="preserve">|   |-- sections/         </w:t>
      </w:r>
      <w:r>
        <w:rPr>
          <w:rStyle w:val="VerbatimChar"/>
          <w:rFonts w:hint="eastAsia"/>
        </w:rPr>
        <w:t xml:space="preserve">总论文章节源码</w:t>
      </w:r>
      <w:r>
        <w:br/>
      </w:r>
      <w:r>
        <w:rPr>
          <w:rStyle w:val="VerbatimChar"/>
        </w:rPr>
        <w:t xml:space="preserve">|   |-- figures/          </w:t>
      </w:r>
      <w:r>
        <w:rPr>
          <w:rStyle w:val="VerbatimChar"/>
          <w:rFonts w:hint="eastAsia"/>
        </w:rPr>
        <w:t xml:space="preserve">论文正式引用图表</w:t>
      </w:r>
      <w:r>
        <w:br/>
      </w:r>
      <w:r>
        <w:rPr>
          <w:rStyle w:val="VerbatimChar"/>
        </w:rPr>
        <w:t xml:space="preserve">|   |-- diagrams/         Mermaid </w:t>
      </w:r>
      <w:r>
        <w:rPr>
          <w:rStyle w:val="VerbatimChar"/>
          <w:rFonts w:hint="eastAsia"/>
        </w:rPr>
        <w:t xml:space="preserve">结构图源码</w:t>
      </w:r>
      <w:r>
        <w:br/>
      </w:r>
      <w:r>
        <w:rPr>
          <w:rStyle w:val="VerbatimChar"/>
        </w:rPr>
        <w:t xml:space="preserve">|-- output/               </w:t>
      </w:r>
      <w:r>
        <w:rPr>
          <w:rStyle w:val="VerbatimChar"/>
          <w:rFonts w:hint="eastAsia"/>
        </w:rPr>
        <w:t xml:space="preserve">模型结果、校验报告和最终交付物</w:t>
      </w:r>
      <w:r>
        <w:br/>
      </w:r>
      <w:r>
        <w:rPr>
          <w:rStyle w:val="VerbatimChar"/>
        </w:rPr>
        <w:t xml:space="preserve">|   |-- calibration/      </w:t>
      </w:r>
      <w:r>
        <w:rPr>
          <w:rStyle w:val="VerbatimChar"/>
          <w:rFonts w:hint="eastAsia"/>
        </w:rPr>
        <w:t xml:space="preserve">短期模型校准结果</w:t>
      </w:r>
      <w:r>
        <w:br/>
      </w:r>
      <w:r>
        <w:rPr>
          <w:rStyle w:val="VerbatimChar"/>
        </w:rPr>
        <w:t xml:space="preserve">|   |-- scenarios/        </w:t>
      </w:r>
      <w:r>
        <w:rPr>
          <w:rStyle w:val="VerbatimChar"/>
          <w:rFonts w:hint="eastAsia"/>
        </w:rPr>
        <w:t xml:space="preserve">长期情景预测与状态转移结果</w:t>
      </w:r>
      <w:r>
        <w:br/>
      </w:r>
      <w:r>
        <w:rPr>
          <w:rStyle w:val="VerbatimChar"/>
        </w:rPr>
        <w:t xml:space="preserve">|   |-- sensitivity/      </w:t>
      </w:r>
      <w:r>
        <w:rPr>
          <w:rStyle w:val="VerbatimChar"/>
          <w:rFonts w:hint="eastAsia"/>
        </w:rPr>
        <w:t xml:space="preserve">敏感性分析与参数排序</w:t>
      </w:r>
      <w:r>
        <w:br/>
      </w:r>
      <w:r>
        <w:rPr>
          <w:rStyle w:val="VerbatimChar"/>
        </w:rPr>
        <w:t xml:space="preserve">|   |-- reports/          </w:t>
      </w:r>
      <w:r>
        <w:rPr>
          <w:rStyle w:val="VerbatimChar"/>
          <w:rFonts w:hint="eastAsia"/>
        </w:rPr>
        <w:t xml:space="preserve">自动生成的校验报告</w:t>
      </w:r>
      <w:r>
        <w:br/>
      </w:r>
      <w:r>
        <w:rPr>
          <w:rStyle w:val="VerbatimChar"/>
        </w:rPr>
        <w:t xml:space="preserve">|   |-- final/            </w:t>
      </w:r>
      <w:r>
        <w:rPr>
          <w:rStyle w:val="VerbatimChar"/>
          <w:rFonts w:hint="eastAsia"/>
        </w:rPr>
        <w:t xml:space="preserve">最终</w:t>
      </w:r>
      <w:r>
        <w:rPr>
          <w:rStyle w:val="VerbatimChar"/>
        </w:rPr>
        <w:t xml:space="preserve"> PDF </w:t>
      </w:r>
      <w:r>
        <w:rPr>
          <w:rStyle w:val="VerbatimChar"/>
          <w:rFonts w:hint="eastAsia"/>
        </w:rPr>
        <w:t xml:space="preserve">和</w:t>
      </w:r>
      <w:r>
        <w:rPr>
          <w:rStyle w:val="VerbatimChar"/>
        </w:rPr>
        <w:t xml:space="preserve"> DOCX</w:t>
      </w:r>
      <w:r>
        <w:br/>
      </w:r>
      <w:r>
        <w:rPr>
          <w:rStyle w:val="VerbatimChar"/>
        </w:rPr>
        <w:t xml:space="preserve">|-- docs/                 </w:t>
      </w:r>
      <w:r>
        <w:rPr>
          <w:rStyle w:val="VerbatimChar"/>
          <w:rFonts w:hint="eastAsia"/>
        </w:rPr>
        <w:t xml:space="preserve">项目总览、建模方案和交付物索引</w:t>
      </w:r>
      <w:r>
        <w:br/>
      </w:r>
      <w:r>
        <w:rPr>
          <w:rStyle w:val="VerbatimChar"/>
        </w:rPr>
        <w:t xml:space="preserve">|-- figures/              </w:t>
      </w:r>
      <w:r>
        <w:rPr>
          <w:rStyle w:val="VerbatimChar"/>
          <w:rFonts w:hint="eastAsia"/>
        </w:rPr>
        <w:t xml:space="preserve">中间图表与可视化生成结果</w:t>
      </w:r>
      <w:r>
        <w:br/>
      </w:r>
      <w:r>
        <w:rPr>
          <w:rStyle w:val="VerbatimChar"/>
        </w:rPr>
        <w:t xml:space="preserve">|-- </w:t>
      </w:r>
      <w:r>
        <w:rPr>
          <w:rStyle w:val="VerbatimChar"/>
          <w:rFonts w:hint="eastAsia"/>
        </w:rPr>
        <w:t xml:space="preserve">审计报告/</w:t>
      </w:r>
      <w:r>
        <w:rPr>
          <w:rStyle w:val="VerbatimChar"/>
        </w:rPr>
        <w:t xml:space="preserve">             </w:t>
      </w:r>
      <w:r>
        <w:rPr>
          <w:rStyle w:val="VerbatimChar"/>
          <w:rFonts w:hint="eastAsia"/>
        </w:rPr>
        <w:t xml:space="preserve">外部评审意见和修改记录</w:t>
      </w:r>
    </w:p>
    <w:bookmarkEnd w:id="193"/>
    <w:bookmarkStart w:id="194" w:name="a.1-数据口径"/>
    <w:p>
      <w:pPr>
        <w:pStyle w:val="Heading2"/>
      </w:pPr>
      <w:r>
        <w:t xml:space="preserve">A.1 </w:t>
      </w:r>
      <w:r>
        <w:rPr>
          <w:rFonts w:hint="eastAsia"/>
        </w:rPr>
        <w:t xml:space="preserve">数据口径</w:t>
      </w:r>
    </w:p>
    <w:p>
      <w:pPr>
        <w:pStyle w:val="FirstParagraph"/>
      </w:pPr>
      <w:r>
        <w:rPr>
          <w:rFonts w:hint="eastAsia"/>
        </w:rPr>
        <w:t xml:space="preserve">本文真实价格数据只来自赛题附件，并经清洗后形成中文命名数据文件。短期拟合使用附件中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194"/>
    <w:bookmarkStart w:id="195" w:name="a.2-综合机制递推模型伪代码"/>
    <w:p>
      <w:pPr>
        <w:pStyle w:val="Heading2"/>
      </w:pPr>
      <w:r>
        <w:t xml:space="preserve">A.2 </w:t>
      </w:r>
      <w:r>
        <w:rPr>
          <w:rFonts w:hint="eastAsia"/>
        </w:rPr>
        <w:t xml:space="preserve">综合机制递推模型伪代码</w:t>
      </w:r>
    </w:p>
    <w:p>
      <w:pPr>
        <w:pStyle w:val="FirstParagraph"/>
      </w:pPr>
      <w:r>
        <w:rPr>
          <w:rFonts w:hint="eastAsia"/>
        </w:rPr>
        <w:t xml:space="preserve">为避免在附录中堆叠大量源代码，本文只列出主模型的核心计算逻辑。完整程序随项目文件保存，若提交系统要求源程序，可作为单独附件提供。</w:t>
      </w:r>
    </w:p>
    <w:p>
      <w:pPr>
        <w:pStyle w:val="SourceCode"/>
      </w:pPr>
      <w:r>
        <w:rPr>
          <w:rStyle w:val="VerbatimChar"/>
          <w:rFonts w:hint="eastAsia"/>
        </w:rPr>
        <w:t xml:space="preserve">输入：</w:t>
      </w:r>
      <w:r>
        <w:br/>
      </w:r>
      <w:r>
        <w:rPr>
          <w:rStyle w:val="VerbatimChar"/>
        </w:rPr>
        <w:t xml:space="preserve">  </w:t>
      </w:r>
      <w:r>
        <w:rPr>
          <w:rStyle w:val="VerbatimChar"/>
          <w:rFonts w:hint="eastAsia"/>
        </w:rPr>
        <w:t xml:space="preserve">附件布伦特价格序列</w:t>
      </w:r>
      <w:r>
        <w:rPr>
          <w:rStyle w:val="VerbatimChar"/>
        </w:rPr>
        <w:t xml:space="preserve"> P_t</w:t>
      </w:r>
      <w:r>
        <w:br/>
      </w:r>
      <w:r>
        <w:rPr>
          <w:rStyle w:val="VerbatimChar"/>
        </w:rPr>
        <w:t xml:space="preserve">  </w:t>
      </w:r>
      <w:r>
        <w:rPr>
          <w:rStyle w:val="VerbatimChar"/>
          <w:rFonts w:hint="eastAsia"/>
        </w:rPr>
        <w:t xml:space="preserve">供应中断</w:t>
      </w:r>
      <w:r>
        <w:rPr>
          <w:rStyle w:val="VerbatimChar"/>
        </w:rPr>
        <w:t xml:space="preserve"> </w:t>
      </w:r>
      <w:r>
        <w:rPr>
          <w:rStyle w:val="VerbatimChar"/>
          <w:rFonts w:hint="eastAsia"/>
        </w:rPr>
        <w:t xml:space="preserve">I、基础需求</w:t>
      </w:r>
      <w:r>
        <w:rPr>
          <w:rStyle w:val="VerbatimChar"/>
        </w:rPr>
        <w:t xml:space="preserve"> </w:t>
      </w:r>
      <w:r>
        <w:rPr>
          <w:rStyle w:val="VerbatimChar"/>
          <w:rFonts w:hint="eastAsia"/>
        </w:rPr>
        <w:t xml:space="preserve">D_0、短期弹性</w:t>
      </w:r>
      <w:r>
        <w:rPr>
          <w:rStyle w:val="VerbatimChar"/>
        </w:rPr>
        <w:t xml:space="preserve"> epsilon_t</w:t>
      </w:r>
      <w:r>
        <w:br/>
      </w:r>
      <w:r>
        <w:rPr>
          <w:rStyle w:val="VerbatimChar"/>
        </w:rPr>
        <w:t xml:space="preserve">  SPR </w:t>
      </w:r>
      <w:r>
        <w:rPr>
          <w:rStyle w:val="VerbatimChar"/>
          <w:rFonts w:hint="eastAsia"/>
        </w:rPr>
        <w:t xml:space="preserve">释放</w:t>
      </w:r>
      <w:r>
        <w:rPr>
          <w:rStyle w:val="VerbatimChar"/>
        </w:rPr>
        <w:t xml:space="preserve"> </w:t>
      </w:r>
      <w:r>
        <w:rPr>
          <w:rStyle w:val="VerbatimChar"/>
          <w:rFonts w:hint="eastAsia"/>
        </w:rPr>
        <w:t xml:space="preserve">R_t、商业库存</w:t>
      </w:r>
      <w:r>
        <w:rPr>
          <w:rStyle w:val="VerbatimChar"/>
        </w:rPr>
        <w:t xml:space="preserve"> </w:t>
      </w:r>
      <w:r>
        <w:rPr>
          <w:rStyle w:val="VerbatimChar"/>
          <w:rFonts w:hint="eastAsia"/>
        </w:rPr>
        <w:t xml:space="preserve">B_t、绕道运输</w:t>
      </w:r>
      <w:r>
        <w:rPr>
          <w:rStyle w:val="VerbatimChar"/>
        </w:rPr>
        <w:t xml:space="preserve"> Q_t</w:t>
      </w:r>
      <w:r>
        <w:br/>
      </w:r>
      <w:r>
        <w:rPr>
          <w:rStyle w:val="VerbatimChar"/>
        </w:rPr>
        <w:t xml:space="preserve">  </w:t>
      </w:r>
      <w:r>
        <w:rPr>
          <w:rStyle w:val="VerbatimChar"/>
          <w:rFonts w:hint="eastAsia"/>
        </w:rPr>
        <w:t xml:space="preserve">恐慌强度</w:t>
      </w:r>
      <w:r>
        <w:rPr>
          <w:rStyle w:val="VerbatimChar"/>
        </w:rPr>
        <w:t xml:space="preserve"> </w:t>
      </w:r>
      <w:r>
        <w:rPr>
          <w:rStyle w:val="VerbatimChar"/>
          <w:rFonts w:hint="eastAsia"/>
        </w:rPr>
        <w:t xml:space="preserve">F_t、地缘风险权重</w:t>
      </w:r>
      <w:r>
        <w:rPr>
          <w:rStyle w:val="VerbatimChar"/>
        </w:rPr>
        <w:t xml:space="preserve"> </w:t>
      </w:r>
      <w:r>
        <w:rPr>
          <w:rStyle w:val="VerbatimChar"/>
          <w:rFonts w:hint="eastAsia"/>
        </w:rPr>
        <w:t xml:space="preserve">beta、调整速度</w:t>
      </w:r>
      <w:r>
        <w:rPr>
          <w:rStyle w:val="VerbatimChar"/>
        </w:rPr>
        <w:t xml:space="preserve"> v</w:t>
      </w:r>
      <w:r>
        <w:br/>
      </w:r>
      <w:r>
        <w:br/>
      </w:r>
      <w:r>
        <w:rPr>
          <w:rStyle w:val="VerbatimChar"/>
          <w:rFonts w:hint="eastAsia"/>
        </w:rPr>
        <w:t xml:space="preserve">初始化：</w:t>
      </w:r>
      <w:r>
        <w:br/>
      </w:r>
      <w:r>
        <w:rPr>
          <w:rStyle w:val="VerbatimChar"/>
        </w:rPr>
        <w:t xml:space="preserve">  </w:t>
      </w:r>
      <w:r>
        <w:rPr>
          <w:rStyle w:val="VerbatimChar"/>
          <w:rFonts w:hint="eastAsia"/>
        </w:rPr>
        <w:t xml:space="preserve">设定</w:t>
      </w:r>
      <w:r>
        <w:rPr>
          <w:rStyle w:val="VerbatimChar"/>
        </w:rPr>
        <w:t xml:space="preserve"> P_hat_0 = P_0</w:t>
      </w:r>
      <w:r>
        <w:br/>
      </w:r>
      <w:r>
        <w:rPr>
          <w:rStyle w:val="VerbatimChar"/>
        </w:rPr>
        <w:t xml:space="preserve">  </w:t>
      </w:r>
      <w:r>
        <w:rPr>
          <w:rStyle w:val="VerbatimChar"/>
          <w:rFonts w:hint="eastAsia"/>
        </w:rPr>
        <w:t xml:space="preserve">根据题面约束确定</w:t>
      </w:r>
      <w:r>
        <w:rPr>
          <w:rStyle w:val="VerbatimChar"/>
        </w:rPr>
        <w:t xml:space="preserve"> I、SPR </w:t>
      </w:r>
      <w:r>
        <w:rPr>
          <w:rStyle w:val="VerbatimChar"/>
          <w:rFonts w:hint="eastAsia"/>
        </w:rPr>
        <w:t xml:space="preserve">上限、绕道能力和短期弹性范围</w:t>
      </w:r>
      <w:r>
        <w:br/>
      </w:r>
      <w:r>
        <w:br/>
      </w:r>
      <w:r>
        <w:rPr>
          <w:rStyle w:val="VerbatimChar"/>
          <w:rFonts w:hint="eastAsia"/>
        </w:rPr>
        <w:t xml:space="preserve">对冲突窗口内每一日</w:t>
      </w:r>
      <w:r>
        <w:rPr>
          <w:rStyle w:val="VerbatimChar"/>
        </w:rPr>
        <w:t xml:space="preserve"> t = </w:t>
      </w:r>
      <w:r>
        <w:rPr>
          <w:rStyle w:val="VerbatimChar"/>
          <w:rFonts w:hint="eastAsia"/>
        </w:rPr>
        <w:t xml:space="preserve">1,2,...,T：</w:t>
      </w:r>
      <w:r>
        <w:br/>
      </w:r>
      <w:r>
        <w:rPr>
          <w:rStyle w:val="VerbatimChar"/>
        </w:rPr>
        <w:t xml:space="preserve">  1. </w:t>
      </w:r>
      <w:r>
        <w:rPr>
          <w:rStyle w:val="VerbatimChar"/>
          <w:rFonts w:hint="eastAsia"/>
        </w:rPr>
        <w:t xml:space="preserve">计算有效供应：</w:t>
      </w:r>
      <w:r>
        <w:br/>
      </w:r>
      <w:r>
        <w:rPr>
          <w:rStyle w:val="VerbatimChar"/>
        </w:rPr>
        <w:t xml:space="preserve">       S_t = S_0 - I + R_t + B_t + Q_t</w:t>
      </w:r>
      <w:r>
        <w:br/>
      </w:r>
      <w:r>
        <w:rPr>
          <w:rStyle w:val="VerbatimChar"/>
        </w:rPr>
        <w:t xml:space="preserve">  2. </w:t>
      </w:r>
      <w:r>
        <w:rPr>
          <w:rStyle w:val="VerbatimChar"/>
          <w:rFonts w:hint="eastAsia"/>
        </w:rPr>
        <w:t xml:space="preserve">计算有效需求：</w:t>
      </w:r>
      <w:r>
        <w:br/>
      </w:r>
      <w:r>
        <w:rPr>
          <w:rStyle w:val="VerbatimChar"/>
        </w:rPr>
        <w:t xml:space="preserve">       D_t = D_0 * (1 + </w:t>
      </w:r>
      <w:r>
        <w:rPr>
          <w:rStyle w:val="VerbatimChar"/>
          <w:rFonts w:hint="eastAsia"/>
        </w:rPr>
        <w:t xml:space="preserve">恐慌需求项</w:t>
      </w:r>
      <w:r>
        <w:rPr>
          <w:rStyle w:val="VerbatimChar"/>
        </w:rPr>
        <w:t xml:space="preserve"> + </w:t>
      </w:r>
      <w:r>
        <w:rPr>
          <w:rStyle w:val="VerbatimChar"/>
          <w:rFonts w:hint="eastAsia"/>
        </w:rPr>
        <w:t xml:space="preserve">需求收缩项)</w:t>
      </w:r>
      <w:r>
        <w:br/>
      </w:r>
      <w:r>
        <w:rPr>
          <w:rStyle w:val="VerbatimChar"/>
        </w:rPr>
        <w:t xml:space="preserve">  3. </w:t>
      </w:r>
      <w:r>
        <w:rPr>
          <w:rStyle w:val="VerbatimChar"/>
          <w:rFonts w:hint="eastAsia"/>
        </w:rPr>
        <w:t xml:space="preserve">得到剩余缺口：</w:t>
      </w:r>
      <w:r>
        <w:br/>
      </w:r>
      <w:r>
        <w:rPr>
          <w:rStyle w:val="VerbatimChar"/>
        </w:rPr>
        <w:t xml:space="preserve">       G_t = max(D_t - S_t, 0)</w:t>
      </w:r>
      <w:r>
        <w:br/>
      </w:r>
      <w:r>
        <w:rPr>
          <w:rStyle w:val="VerbatimChar"/>
        </w:rPr>
        <w:t xml:space="preserve">  4. </w:t>
      </w:r>
      <w:r>
        <w:rPr>
          <w:rStyle w:val="VerbatimChar"/>
          <w:rFonts w:hint="eastAsia"/>
        </w:rPr>
        <w:t xml:space="preserve">构造目标价格：</w:t>
      </w:r>
      <w:r>
        <w:br/>
      </w:r>
      <w:r>
        <w:rPr>
          <w:rStyle w:val="VerbatimChar"/>
        </w:rPr>
        <w:t xml:space="preserve">       P_t^* = </w:t>
      </w:r>
      <w:r>
        <w:rPr>
          <w:rStyle w:val="VerbatimChar"/>
          <w:rFonts w:hint="eastAsia"/>
        </w:rPr>
        <w:t xml:space="preserve">基准价格</w:t>
      </w:r>
      <w:r>
        <w:br/>
      </w:r>
      <w:r>
        <w:rPr>
          <w:rStyle w:val="VerbatimChar"/>
        </w:rPr>
        <w:t xml:space="preserve">             + </w:t>
      </w:r>
      <w:r>
        <w:rPr>
          <w:rStyle w:val="VerbatimChar"/>
          <w:rFonts w:hint="eastAsia"/>
        </w:rPr>
        <w:t xml:space="preserve">物理缺口压力</w:t>
      </w:r>
      <w:r>
        <w:br/>
      </w:r>
      <w:r>
        <w:rPr>
          <w:rStyle w:val="VerbatimChar"/>
        </w:rPr>
        <w:t xml:space="preserve">             + </w:t>
      </w:r>
      <w:r>
        <w:rPr>
          <w:rStyle w:val="VerbatimChar"/>
          <w:rFonts w:hint="eastAsia"/>
        </w:rPr>
        <w:t xml:space="preserve">地缘风险溢价</w:t>
      </w:r>
      <w:r>
        <w:br/>
      </w:r>
      <w:r>
        <w:rPr>
          <w:rStyle w:val="VerbatimChar"/>
        </w:rPr>
        <w:t xml:space="preserve">             + </w:t>
      </w:r>
      <w:r>
        <w:rPr>
          <w:rStyle w:val="VerbatimChar"/>
          <w:rFonts w:hint="eastAsia"/>
        </w:rPr>
        <w:t xml:space="preserve">冲击不确定性溢价</w:t>
      </w:r>
      <w:r>
        <w:br/>
      </w:r>
      <w:r>
        <w:rPr>
          <w:rStyle w:val="VerbatimChar"/>
        </w:rPr>
        <w:t xml:space="preserve">             + </w:t>
      </w:r>
      <w:r>
        <w:rPr>
          <w:rStyle w:val="VerbatimChar"/>
          <w:rFonts w:hint="eastAsia"/>
        </w:rPr>
        <w:t xml:space="preserve">恐慌溢价</w:t>
      </w:r>
      <w:r>
        <w:br/>
      </w:r>
      <w:r>
        <w:rPr>
          <w:rStyle w:val="VerbatimChar"/>
        </w:rPr>
        <w:t xml:space="preserve">             - </w:t>
      </w:r>
      <w:r>
        <w:rPr>
          <w:rStyle w:val="VerbatimChar"/>
          <w:rFonts w:hint="eastAsia"/>
        </w:rPr>
        <w:t xml:space="preserve">缓冲确认折价</w:t>
      </w:r>
      <w:r>
        <w:br/>
      </w:r>
      <w:r>
        <w:rPr>
          <w:rStyle w:val="VerbatimChar"/>
        </w:rPr>
        <w:t xml:space="preserve">             - </w:t>
      </w:r>
      <w:r>
        <w:rPr>
          <w:rStyle w:val="VerbatimChar"/>
          <w:rFonts w:hint="eastAsia"/>
        </w:rPr>
        <w:t xml:space="preserve">预期修复折价</w:t>
      </w:r>
      <w:r>
        <w:br/>
      </w:r>
      <w:r>
        <w:rPr>
          <w:rStyle w:val="VerbatimChar"/>
        </w:rPr>
        <w:t xml:space="preserve">  5. </w:t>
      </w:r>
      <w:r>
        <w:rPr>
          <w:rStyle w:val="VerbatimChar"/>
          <w:rFonts w:hint="eastAsia"/>
        </w:rPr>
        <w:t xml:space="preserve">日度递推：</w:t>
      </w:r>
      <w:r>
        <w:br/>
      </w:r>
      <w:r>
        <w:rPr>
          <w:rStyle w:val="VerbatimChar"/>
        </w:rPr>
        <w:t xml:space="preserve">       P_hat_t = P_hat_{t-1}</w:t>
      </w:r>
      <w:r>
        <w:br/>
      </w:r>
      <w:r>
        <w:rPr>
          <w:rStyle w:val="VerbatimChar"/>
        </w:rPr>
        <w:t xml:space="preserve">               + v * (P_t^* - P_hat_{t-1})</w:t>
      </w:r>
      <w:r>
        <w:br/>
      </w:r>
      <w:r>
        <w:rPr>
          <w:rStyle w:val="VerbatimChar"/>
        </w:rPr>
        <w:t xml:space="preserve">               + gamma_F * (F_t - F_{t-1})</w:t>
      </w:r>
      <w:r>
        <w:br/>
      </w:r>
      <w:r>
        <w:rPr>
          <w:rStyle w:val="VerbatimChar"/>
        </w:rPr>
        <w:t xml:space="preserve">  6. </w:t>
      </w:r>
      <w:r>
        <w:rPr>
          <w:rStyle w:val="VerbatimChar"/>
          <w:rFonts w:hint="eastAsia"/>
        </w:rPr>
        <w:t xml:space="preserve">记录预测值、误差和各机制贡献</w:t>
      </w:r>
      <w:r>
        <w:br/>
      </w:r>
      <w:r>
        <w:br/>
      </w:r>
      <w:r>
        <w:rPr>
          <w:rStyle w:val="VerbatimChar"/>
          <w:rFonts w:hint="eastAsia"/>
        </w:rPr>
        <w:t xml:space="preserve">输出：</w:t>
      </w:r>
      <w:r>
        <w:br/>
      </w:r>
      <w:r>
        <w:rPr>
          <w:rStyle w:val="VerbatimChar"/>
        </w:rPr>
        <w:t xml:space="preserve">  </w:t>
      </w:r>
      <w:r>
        <w:rPr>
          <w:rStyle w:val="VerbatimChar"/>
          <w:rFonts w:hint="eastAsia"/>
        </w:rPr>
        <w:t xml:space="preserve">短期拟合路径、误差指标、机制贡献、消融结果和长期情景初始状态</w:t>
      </w:r>
    </w:p>
    <w:bookmarkEnd w:id="195"/>
    <w:bookmarkStart w:id="196" w:name="a.3-关键结果核查表"/>
    <w:p>
      <w:pPr>
        <w:pStyle w:val="Heading2"/>
      </w:pPr>
      <w:r>
        <w:t xml:space="preserve">A.3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所有真实价格均来自赛题附件</w:t>
            </w:r>
            <w:r>
              <w:t xml:space="preserve"> </w:t>
            </w:r>
            <w:r>
              <w:rPr>
                <w:rFonts w:hint="eastAsia"/>
              </w:rPr>
              <w:t xml:space="preserve">CSV，外部数据只用于合理性校验</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3.44 </w:t>
            </w:r>
            <w:r>
              <w:rPr>
                <w:rFonts w:hint="eastAsia"/>
              </w:rPr>
              <w:t xml:space="preserve">美元/桶，MAE</w:t>
            </w:r>
            <w:r>
              <w:t xml:space="preserve"> = 2.85 </w:t>
            </w:r>
            <w:r>
              <w:rPr>
                <w:rFonts w:hint="eastAsia"/>
              </w:rPr>
              <w:t xml:space="preserve">美元/桶，MAPE</w:t>
            </w:r>
            <w:r>
              <w:t xml:space="preserve"> = 2.86%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94.15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110.16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蒙特卡洛显示外推期最高价突破</w:t>
            </w:r>
            <w:r>
              <w:t xml:space="preserve"> 120 </w:t>
            </w:r>
            <w:r>
              <w:rPr>
                <w:rFonts w:hint="eastAsia"/>
              </w:rPr>
              <w:t xml:space="preserve">美元/桶的条件概率约</w:t>
            </w:r>
            <w:r>
              <w:t xml:space="preserve"> 16.3%</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封锁风险衰减速度、地缘风险权重、不确定性与制度风险强度</w:t>
            </w:r>
          </w:p>
        </w:tc>
      </w:tr>
    </w:tbl>
    <w:bookmarkEnd w:id="196"/>
    <w:bookmarkStart w:id="197" w:name="a.4-稳健性检验补充"/>
    <w:p>
      <w:pPr>
        <w:pStyle w:val="Heading2"/>
      </w:pPr>
      <w:r>
        <w:t xml:space="preserve">A.4 </w:t>
      </w:r>
      <w:r>
        <w:rPr>
          <w:rFonts w:hint="eastAsia"/>
        </w:rPr>
        <w:t xml:space="preserve">稳健性检验补充</w:t>
      </w:r>
    </w:p>
    <w:p>
      <w:pPr>
        <w:numPr>
          <w:ilvl w:val="0"/>
          <w:numId w:val="1009"/>
        </w:numPr>
      </w:pPr>
      <w:r>
        <w:rPr>
          <w:rFonts w:hint="eastAsia"/>
        </w:rPr>
        <w:t xml:space="preserve">基准检验：与上一日价格、漂移随机游走和滚动</w:t>
      </w:r>
      <w:r>
        <w:t xml:space="preserve"> ARIMA </w:t>
      </w:r>
      <w:r>
        <w:rPr>
          <w:rFonts w:hint="eastAsia"/>
        </w:rPr>
        <w:t xml:space="preserve">比较，防止模型只是复杂但无效的随机游走复制。</w:t>
      </w:r>
    </w:p>
    <w:p>
      <w:pPr>
        <w:numPr>
          <w:ilvl w:val="0"/>
          <w:numId w:val="1009"/>
        </w:numPr>
      </w:pPr>
      <w:r>
        <w:rPr>
          <w:rFonts w:hint="eastAsia"/>
        </w:rPr>
        <w:t xml:space="preserve">滞后检验：检查预测曲线是否简单滞后真实价格，避免</w:t>
      </w:r>
      <w:r>
        <w:rPr>
          <w:rFonts w:hint="eastAsia"/>
        </w:rPr>
        <w:t xml:space="preserve">“马后炮曲线”</w:t>
      </w:r>
      <w:r>
        <w:rPr>
          <w:rFonts w:hint="eastAsia"/>
        </w:rPr>
        <w:t xml:space="preserve">问题。</w:t>
      </w:r>
    </w:p>
    <w:p>
      <w:pPr>
        <w:numPr>
          <w:ilvl w:val="0"/>
          <w:numId w:val="1009"/>
        </w:numPr>
      </w:pPr>
      <w:r>
        <w:rPr>
          <w:rFonts w:hint="eastAsia"/>
        </w:rPr>
        <w:t xml:space="preserve">消融检验：逐项移除风险溢价、缓冲折价、预期修复等机制，验证各因素的边际贡献。</w:t>
      </w:r>
    </w:p>
    <w:p>
      <w:pPr>
        <w:numPr>
          <w:ilvl w:val="0"/>
          <w:numId w:val="1009"/>
        </w:numPr>
      </w:pPr>
      <w:r>
        <w:rPr>
          <w:rFonts w:hint="eastAsia"/>
        </w:rPr>
        <w:t xml:space="preserve">参数压力测试：扰动价格传导、风险权重和长期机制参数，检验结论是否依赖唯一一组参数。</w:t>
      </w:r>
    </w:p>
    <w:p>
      <w:pPr>
        <w:numPr>
          <w:ilvl w:val="0"/>
          <w:numId w:val="1009"/>
        </w:numPr>
      </w:pPr>
      <w:r>
        <w:rPr>
          <w:rFonts w:hint="eastAsia"/>
        </w:rPr>
        <w:t xml:space="preserve">外部校验：EIA</w:t>
      </w:r>
      <w:r>
        <w:t xml:space="preserve"> </w:t>
      </w:r>
      <w:r>
        <w:rPr>
          <w:rFonts w:hint="eastAsia"/>
        </w:rPr>
        <w:t xml:space="preserve">周度数据、JODI</w:t>
      </w:r>
      <w:r>
        <w:t xml:space="preserve"> </w:t>
      </w:r>
      <w:r>
        <w:rPr>
          <w:rFonts w:hint="eastAsia"/>
        </w:rPr>
        <w:t xml:space="preserve">多国月度石油数据、OPEC</w:t>
      </w:r>
      <w:r>
        <w:t xml:space="preserve"> </w:t>
      </w:r>
      <w:r>
        <w:rPr>
          <w:rFonts w:hint="eastAsia"/>
        </w:rPr>
        <w:t xml:space="preserve">全球供需平衡表、GPR</w:t>
      </w:r>
      <w:r>
        <w:t xml:space="preserve"> </w:t>
      </w:r>
      <w:r>
        <w:rPr>
          <w:rFonts w:hint="eastAsia"/>
        </w:rPr>
        <w:t xml:space="preserve">月度指数、OVX</w:t>
      </w:r>
      <w:r>
        <w:t xml:space="preserve"> </w:t>
      </w:r>
      <w:r>
        <w:rPr>
          <w:rFonts w:hint="eastAsia"/>
        </w:rPr>
        <w:t xml:space="preserve">隐含波动率和</w:t>
      </w:r>
      <w:r>
        <w:t xml:space="preserve"> 2017–2026 </w:t>
      </w:r>
      <w:r>
        <w:rPr>
          <w:rFonts w:hint="eastAsia"/>
        </w:rPr>
        <w:t xml:space="preserve">历史同长度窗口用于验证数量级、风险定价和事件极端性。</w:t>
      </w:r>
    </w:p>
    <w:bookmarkEnd w:id="197"/>
    <w:bookmarkStart w:id="198" w:name="a.5-程序材料说明"/>
    <w:p>
      <w:pPr>
        <w:pStyle w:val="Heading2"/>
      </w:pPr>
      <w:r>
        <w:t xml:space="preserve">A.5 </w:t>
      </w:r>
      <w:r>
        <w:rPr>
          <w:rFonts w:hint="eastAsia"/>
        </w:rPr>
        <w:t xml:space="preserve">程序材料说明</w:t>
      </w:r>
    </w:p>
    <w:p>
      <w:pPr>
        <w:pStyle w:val="FirstParagraph"/>
      </w:pPr>
      <w:r>
        <w:rPr>
          <w:rFonts w:hint="eastAsia"/>
        </w:rPr>
        <w:t xml:space="preserve">本文不在正文附录中展开完整</w:t>
      </w:r>
      <w:r>
        <w:t xml:space="preserve"> Python </w:t>
      </w:r>
      <w:r>
        <w:rPr>
          <w:rFonts w:hint="eastAsia"/>
        </w:rPr>
        <w:t xml:space="preserve">或</w:t>
      </w:r>
      <w:r>
        <w:t xml:space="preserve"> R </w:t>
      </w:r>
      <w:r>
        <w:rPr>
          <w:rFonts w:hint="eastAsia"/>
        </w:rPr>
        <w:t xml:space="preserve">源代码。原因是完整源程序较长，直接粘贴会削弱论文主体的可读性；同时，数学建模论文更应突出模型假设、递推公式、参数解释和结果检验。若比赛提交系统要求源程序，完整代码可作为独立附件提交，正文附录仅保留项目结构、核心算法伪代码和关键结果核查。</w:t>
      </w:r>
    </w:p>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90" Target="media/rId90.png" /><Relationship Type="http://schemas.openxmlformats.org/officeDocument/2006/relationships/image" Id="rId156" Target="media/rId156.png" /><Relationship Type="http://schemas.openxmlformats.org/officeDocument/2006/relationships/image" Id="rId38" Target="media/rId38.png" /><Relationship Type="http://schemas.openxmlformats.org/officeDocument/2006/relationships/image" Id="rId148" Target="media/rId148.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145" Target="media/rId145.png" /><Relationship Type="http://schemas.openxmlformats.org/officeDocument/2006/relationships/image" Id="rId171" Target="media/rId171.png" /><Relationship Type="http://schemas.openxmlformats.org/officeDocument/2006/relationships/image" Id="rId136" Target="media/rId136.png" /><Relationship Type="http://schemas.openxmlformats.org/officeDocument/2006/relationships/image" Id="rId160" Target="media/rId160.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130" Target="media/rId130.png" /><Relationship Type="http://schemas.openxmlformats.org/officeDocument/2006/relationships/image" Id="rId163" Target="media/rId163.png" /><Relationship Type="http://schemas.openxmlformats.org/officeDocument/2006/relationships/image" Id="rId122" Target="media/rId122.png" /><Relationship Type="http://schemas.openxmlformats.org/officeDocument/2006/relationships/image" Id="rId67" Target="media/rId67.png" /><Relationship Type="http://schemas.openxmlformats.org/officeDocument/2006/relationships/image" Id="rId97" Target="media/rId97.png" /><Relationship Type="http://schemas.openxmlformats.org/officeDocument/2006/relationships/image" Id="rId55" Target="media/rId55.png" /><Relationship Type="http://schemas.openxmlformats.org/officeDocument/2006/relationships/image" Id="rId83" Target="media/rId83.png" /><Relationship Type="http://schemas.openxmlformats.org/officeDocument/2006/relationships/image" Id="rId104" Target="media/rId104.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0" Target="media/rId70.png" /><Relationship Type="http://schemas.openxmlformats.org/officeDocument/2006/relationships/image" Id="rId101" Target="media/rId101.png" /><Relationship Type="http://schemas.openxmlformats.org/officeDocument/2006/relationships/image" Id="rId87" Target="media/rId87.png" /><Relationship Type="http://schemas.openxmlformats.org/officeDocument/2006/relationships/image" Id="rId75" Target="media/rId75.png" /><Relationship Type="http://schemas.openxmlformats.org/officeDocument/2006/relationships/image" Id="rId43" Target="media/rId43.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0" Target="media/rId10.png" /><Relationship Type="http://schemas.openxmlformats.org/officeDocument/2006/relationships/image" Id="rId64" Target="media/rId64.png" /><Relationship Type="http://schemas.openxmlformats.org/officeDocument/2006/relationships/image" Id="rId140" Target="media/rId140.png" /><Relationship Type="http://schemas.openxmlformats.org/officeDocument/2006/relationships/image" Id="rId126" Target="media/rId126.png" /><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191" Target="https://fred.stlouisfed.org/series/OVXCLS" TargetMode="External" /><Relationship Type="http://schemas.openxmlformats.org/officeDocument/2006/relationships/hyperlink" Id="rId189" Target="https://publications.opec.org/momr/chapter/147/2738" TargetMode="External" /><Relationship Type="http://schemas.openxmlformats.org/officeDocument/2006/relationships/hyperlink" Id="rId187" Target="https://www.eia.gov/dnav/pet/pet_sum_sndw_dcus_nus_w.htm" TargetMode="External" /><Relationship Type="http://schemas.openxmlformats.org/officeDocument/2006/relationships/hyperlink" Id="rId184" Target="https://www.eia.gov/international/analysis/special-topics/World_Oil_Transit_Chokepoints" TargetMode="External" /><Relationship Type="http://schemas.openxmlformats.org/officeDocument/2006/relationships/hyperlink" Id="rId185" Target="https://www.iea.org/about/oil-security-and-emergency-response/strait-of-hormuz" TargetMode="External" /><Relationship Type="http://schemas.openxmlformats.org/officeDocument/2006/relationships/hyperlink" Id="rId186" Target="https://www.iea.org/news/iea-governing-board-concludes-2022-collective-actions" TargetMode="External" /><Relationship Type="http://schemas.openxmlformats.org/officeDocument/2006/relationships/hyperlink" Id="rId188" Target="https://www.jodidata.org/oil/" TargetMode="External" /><Relationship Type="http://schemas.openxmlformats.org/officeDocument/2006/relationships/hyperlink" Id="rId19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2026-05-13T11:02:43Z</dcterms:created>
  <dcterms:modified xsi:type="dcterms:W3CDTF">2026-05-13T11:02:43Z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