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32.png" ContentType="image/png"/>
  <Override PartName="/word/media/rId117.png" ContentType="image/png"/>
  <Override PartName="/word/media/rId18.png" ContentType="image/png"/>
  <Override PartName="/word/media/rId114.png" ContentType="image/png"/>
  <Override PartName="/word/media/rId129.png" ContentType="image/png"/>
  <Override PartName="/word/media/rId67.png" ContentType="image/png"/>
  <Override PartName="/word/media/rId120.png" ContentType="image/png"/>
  <Override PartName="/word/media/rId15.png" ContentType="image/png"/>
  <Override PartName="/word/media/rId22.png" ContentType="image/png"/>
  <Override PartName="/word/media/rId135.png" ContentType="image/png"/>
  <Override PartName="/word/media/rId123.png" ContentType="image/png"/>
  <Override PartName="/word/media/rId55.png" ContentType="image/png"/>
  <Override PartName="/word/media/rId101.png" ContentType="image/png"/>
  <Override PartName="/word/media/rId98.png" ContentType="image/png"/>
  <Override PartName="/word/media/rId41.png" ContentType="image/png"/>
  <Override PartName="/word/media/rId95.png" ContentType="image/png"/>
  <Override PartName="/word/media/rId104.png" ContentType="image/png"/>
  <Override PartName="/word/media/rId110.png" ContentType="image/png"/>
  <Override PartName="/word/media/rId107.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释放、商业库存、绕道运输、需求收缩和恐慌衰减，市场价格形成层纳入地缘风险溢价、冲击不确定性、持续封锁制度风险、缓冲确认折价和预期修复折价。其中，缓冲确认与预期修复由</w:t>
      </w:r>
      <w:r>
        <w:t xml:space="preserve"> </w:t>
      </w:r>
      <w:r>
        <w:rPr>
          <w:rFonts w:hint="eastAsia"/>
        </w:rPr>
        <w:t xml:space="preserve">SPR、库存和绕道对总短缺压力的覆盖率触发，而不是单纯按日历时间外生扣减。短期冲击模型在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3.38 </w:t>
      </w:r>
      <w:r>
        <w:rPr>
          <w:rFonts w:hint="eastAsia"/>
        </w:rPr>
        <w:t xml:space="preserve">美元/桶、MAE</w:t>
      </w:r>
      <w:r>
        <w:t xml:space="preserve"> </w:t>
      </w:r>
      <w:r>
        <w:rPr>
          <w:rFonts w:hint="eastAsia"/>
        </w:rPr>
        <w:t xml:space="preserve">为</w:t>
      </w:r>
      <w:r>
        <w:t xml:space="preserve"> 2.76 </w:t>
      </w:r>
      <w:r>
        <w:rPr>
          <w:rFonts w:hint="eastAsia"/>
        </w:rPr>
        <w:t xml:space="preserve">美元/桶、MAPE</w:t>
      </w:r>
      <w:r>
        <w:t xml:space="preserve"> </w:t>
      </w:r>
      <w:r>
        <w:rPr>
          <w:rFonts w:hint="eastAsia"/>
        </w:rPr>
        <w:t xml:space="preserve">为</w:t>
      </w:r>
      <w:r>
        <w:t xml:space="preserve"> 2.76%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3.18 </w:t>
      </w:r>
      <w:r>
        <w:rPr>
          <w:rFonts w:hint="eastAsia"/>
        </w:rPr>
        <w:t xml:space="preserve">美元/桶、方向命中率为</w:t>
      </w:r>
      <w:r>
        <w:t xml:space="preserve"> </w:t>
      </w:r>
      <w:r>
        <w:rPr>
          <w:rFonts w:hint="eastAsia"/>
        </w:rPr>
        <w:t xml:space="preserve">68.9%。滞后平移、拐点、机制消融和结构稳定性检验表明，模型不是简单滞后复制，110–120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93.26 </w:t>
      </w:r>
      <w:r>
        <w:rPr>
          <w:rFonts w:hint="eastAsia"/>
        </w:rPr>
        <w:t xml:space="preserve">美元/桶，悲观情景第</w:t>
      </w:r>
      <w:r>
        <w:t xml:space="preserve"> 180 </w:t>
      </w:r>
      <w:r>
        <w:rPr>
          <w:rFonts w:hint="eastAsia"/>
        </w:rPr>
        <w:t xml:space="preserve">天约为</w:t>
      </w:r>
      <w:r>
        <w:t xml:space="preserve"> 111.71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地缘风险权重和不确定性与制度风险强度是综合敏感度最高的三个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共同约束的三状态转移扰动后，第</w:t>
      </w:r>
      <w:r>
        <w:t xml:space="preserve"> 180 </w:t>
      </w:r>
      <w:r>
        <w:rPr>
          <w:rFonts w:hint="eastAsia"/>
        </w:rPr>
        <w:t xml:space="preserve">天价格中位数为</w:t>
      </w:r>
      <w:r>
        <w:t xml:space="preserve"> 95.72 </w:t>
      </w:r>
      <w:r>
        <w:rPr>
          <w:rFonts w:hint="eastAsia"/>
        </w:rPr>
        <w:t xml:space="preserve">美元/桶，5%–95%</w:t>
      </w:r>
      <w:r>
        <w:t xml:space="preserve"> </w:t>
      </w:r>
      <w:r>
        <w:rPr>
          <w:rFonts w:hint="eastAsia"/>
        </w:rPr>
        <w:t xml:space="preserve">条件区间为</w:t>
      </w:r>
      <w:r>
        <w:t xml:space="preserve"> 90.15–107.61 </w:t>
      </w:r>
      <w:r>
        <w:rPr>
          <w:rFonts w:hint="eastAsia"/>
        </w:rPr>
        <w:t xml:space="preserve">美元/桶，外推期最高价</w:t>
      </w:r>
      <w:r>
        <w:t xml:space="preserve"> P95 </w:t>
      </w:r>
      <w:r>
        <w:rPr>
          <w:rFonts w:hint="eastAsia"/>
        </w:rPr>
        <w:t xml:space="preserve">为</w:t>
      </w:r>
      <w:r>
        <w:t xml:space="preserve"> 128.81 </w:t>
      </w:r>
      <w:r>
        <w:rPr>
          <w:rFonts w:hint="eastAsia"/>
        </w:rPr>
        <w:t xml:space="preserve">美元/桶，突破</w:t>
      </w:r>
      <w:r>
        <w:t xml:space="preserve"> 120 </w:t>
      </w:r>
      <w:r>
        <w:rPr>
          <w:rFonts w:hint="eastAsia"/>
        </w:rPr>
        <w:t xml:space="preserve">美元/桶的条件概率为</w:t>
      </w:r>
      <w:r>
        <w:t xml:space="preserve"> 44.0%。GPR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短期冲击层：引入</w:t>
      </w:r>
      <w:r>
        <w:t xml:space="preserve"> </w:t>
      </w:r>
      <w:r>
        <w:rPr>
          <w:rFonts w:hint="eastAsia"/>
        </w:rPr>
        <w:t xml:space="preserve">SPR、库存、绕道、需求调整、恐慌衰减和预期修复，解释</w:t>
      </w:r>
      <w:r>
        <w:t xml:space="preserve"> 0–60 </w:t>
      </w:r>
      <w:r>
        <w:rPr>
          <w:rFonts w:hint="eastAsia"/>
        </w:rPr>
        <w:t xml:space="preserve">天现实价格路径。</w:t>
      </w:r>
    </w:p>
    <w:p>
      <w:pPr>
        <w:numPr>
          <w:ilvl w:val="0"/>
          <w:numId w:val="1001"/>
        </w:numPr>
      </w:pPr>
      <w:r>
        <w:rPr>
          <w:rFonts w:hint="eastAsia"/>
        </w:rPr>
        <w:t xml:space="preserve">中长期调节层：构建</w:t>
      </w:r>
      <w:r>
        <w:t xml:space="preserve"> 60–180 </w:t>
      </w:r>
      <w:r>
        <w:rPr>
          <w:rFonts w:hint="eastAsia"/>
        </w:rPr>
        <w:t xml:space="preserve">天中长期油价调节模型，并通过敏感性分析识别关键变量。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再建立短期冲击模型，把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最后建立中长期油价调节模型，并通过三情景预测、敏感性分析、蒙特卡洛情景树、滞后地缘风险指数检验和历史样本稳健性检验识别影响长期价格平衡点和二次跳涨风险的关键变量。</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围绕赛题目标，本文重点回答三个问题：传统供需模型为什么给出高理论压力；哪些缓冲机制能把价格压回现实平台；封锁延长至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与描述性分析"/>
    <w:p>
      <w:pPr>
        <w:pStyle w:val="Heading1"/>
      </w:pPr>
      <w:r>
        <w:rPr>
          <w:rFonts w:hint="eastAsia"/>
        </w:rPr>
        <w:t xml:space="preserve">数据处理与描述性分析</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本章的数据处理逻辑是：附件价格用于拟合和评价，EIA、JODI、OPEC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为避免将政策与物流缓冲写成纯时间函数，本文进一步定义缓冲覆盖率</w:t>
      </w:r>
    </w:p>
    <w:p>
      <w:pPr>
        <w:pStyle w:val="BodyText"/>
      </w:pPr>
      <m:oMathPara>
        <m:oMathParaPr>
          <m:jc m:val="center"/>
        </m:oMathParaPr>
        <m:oMath>
          <m:sSub>
            <m:e>
              <m:r>
                <m:t>η</m:t>
              </m:r>
            </m:e>
            <m:sub>
              <m:r>
                <m:t>t</m:t>
              </m:r>
            </m:sub>
          </m:sSub>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w:t>
      </w:r>
      <m:oMath>
        <m:sSub>
          <m:e>
            <m:r>
              <m:t>η</m:t>
            </m:r>
          </m:e>
          <m:sub>
            <m:r>
              <m:t>t</m:t>
            </m:r>
          </m:sub>
        </m:sSub>
      </m:oMath>
      <w:r>
        <w:t xml:space="preserve"> </w:t>
      </w:r>
      <w:r>
        <w:rPr>
          <w:rFonts w:hint="eastAsia"/>
        </w:rPr>
        <w:t xml:space="preserve">越高，说明市场越容易观察到缺口被覆盖，缓冲确认和预期修复越容易形成。实际计算中将</w:t>
      </w:r>
      <w:r>
        <w:t xml:space="preserve"> </w:t>
      </w:r>
      <m:oMath>
        <m:sSub>
          <m:e>
            <m:r>
              <m:t>η</m:t>
            </m:r>
          </m:e>
          <m:sub>
            <m:r>
              <m:t>t</m:t>
            </m:r>
          </m:sub>
        </m:sSub>
      </m:oMath>
      <w:r>
        <w:t xml:space="preserve"> </w:t>
      </w:r>
      <w:r>
        <w:rPr>
          <w:rFonts w:hint="eastAsia"/>
        </w:rPr>
        <w:t xml:space="preserve">限制在合理区间内，避免极小分母造成异常放大。</w:t>
      </w:r>
    </w:p>
    <w:bookmarkEnd w:id="38"/>
    <w:bookmarkStart w:id="3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缓冲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计算缓冲覆盖率</w:t>
      </w:r>
      <w:r>
        <w:t xml:space="preserve"> </w:t>
      </w:r>
      <m:oMath>
        <m:sSub>
          <m:e>
            <m:r>
              <m:t>η</m:t>
            </m:r>
          </m:e>
          <m:sub>
            <m:r>
              <m:t>t</m:t>
            </m:r>
          </m:sub>
        </m:sSub>
        <m:r>
          <m:rPr>
            <m:sty m:val="p"/>
          </m:rPr>
          <m:t>=</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r>
          <m:rPr>
            <m:sty m:val="p"/>
          </m:rPr>
          <m:t>/</m:t>
        </m:r>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1</m:t>
        </m:r>
        <m:r>
          <m:rPr>
            <m:sty m:val="p"/>
          </m:rPr>
          <m:t>}</m:t>
        </m:r>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校准与模型检验"/>
    <w:p>
      <w:pPr>
        <w:pStyle w:val="Heading1"/>
      </w:pPr>
      <w:r>
        <w:rPr>
          <w:rFonts w:hint="eastAsia"/>
        </w:rPr>
        <w:t xml:space="preserve">参数校准与模型检验</w:t>
      </w:r>
    </w:p>
    <w:p>
      <w:pPr>
        <w:pStyle w:val="FirstParagraph"/>
      </w:pPr>
      <w:r>
        <w:rPr>
          <w:rFonts w:hint="eastAsia"/>
        </w:rPr>
        <w:t xml:space="preserve">第六章给出短期冲击模型结构，本章说明参数校准、基准对比和鲁棒性检验。正文保留关键结果；参数剖面、残差分布、R</w:t>
      </w:r>
      <w:r>
        <w:t xml:space="preserve"> </w:t>
      </w:r>
      <w:r>
        <w:rPr>
          <w:rFonts w:hint="eastAsia"/>
        </w:rPr>
        <w:t xml:space="preserve">语言复核和事件窗口明细放入附录。</w:t>
      </w:r>
    </w:p>
    <w:bookmarkStart w:id="45" w:name="校准结果与拟合表现"/>
    <w:p>
      <w:pPr>
        <w:pStyle w:val="Heading2"/>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1493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3.38 </w:t>
      </w:r>
      <w:r>
        <w:rPr>
          <w:rFonts w:hint="eastAsia"/>
        </w:rPr>
        <w:t xml:space="preserve">美元/桶、MAE</w:t>
      </w:r>
      <w:r>
        <w:t xml:space="preserve"> 2.76 </w:t>
      </w:r>
      <w:r>
        <w:rPr>
          <w:rFonts w:hint="eastAsia"/>
        </w:rPr>
        <w:t xml:space="preserve">美元/桶。模拟峰值为</w:t>
      </w:r>
      <w:r>
        <w:t xml:space="preserve"> 110.32 </w:t>
      </w:r>
      <w:r>
        <w:rPr>
          <w:rFonts w:hint="eastAsia"/>
        </w:rPr>
        <w:t xml:space="preserve">美元/桶，实际最高收盘价为</w:t>
      </w:r>
      <w:r>
        <w:t xml:space="preserve"> 114.06 </w:t>
      </w:r>
      <w:r>
        <w:rPr>
          <w:rFonts w:hint="eastAsia"/>
        </w:rPr>
        <w:t xml:space="preserve">美元/桶；期末模拟价格为</w:t>
      </w:r>
      <w:r>
        <w:t xml:space="preserve"> 110.32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3.18 </w:t>
      </w:r>
      <w:r>
        <w:rPr>
          <w:rFonts w:hint="eastAsia"/>
        </w:rPr>
        <w:t xml:space="preserve">美元/桶，MAE</w:t>
      </w:r>
      <w:r>
        <w:t xml:space="preserve"> </w:t>
      </w:r>
      <w:r>
        <w:rPr>
          <w:rFonts w:hint="eastAsia"/>
        </w:rPr>
        <w:t xml:space="preserve">降至</w:t>
      </w:r>
      <w:r>
        <w:t xml:space="preserve"> 2.69 </w:t>
      </w:r>
      <w:r>
        <w:rPr>
          <w:rFonts w:hint="eastAsia"/>
        </w:rPr>
        <w:t xml:space="preserve">美元/桶，MAPE</w:t>
      </w:r>
      <w:r>
        <w:t xml:space="preserve"> </w:t>
      </w:r>
      <w:r>
        <w:rPr>
          <w:rFonts w:hint="eastAsia"/>
        </w:rPr>
        <w:t xml:space="preserve">为</w:t>
      </w:r>
      <w:r>
        <w:t xml:space="preserve"> </w:t>
      </w:r>
      <w:r>
        <w:rPr>
          <w:rFonts w:hint="eastAsia"/>
        </w:rPr>
        <w:t xml:space="preserve">2.69%，方向命中率为</w:t>
      </w:r>
      <w:r>
        <w:t xml:space="preserve"> 68.9%。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3.38 &amp; 2.76 &amp; 7.24</w:t>
      </w:r>
      <w:r>
        <w:br/>
      </w:r>
      <w:r>
        <w:rPr>
          <w:rFonts w:hint="eastAsia"/>
        </w:rPr>
        <w:t xml:space="preserve">前期冲击</w:t>
      </w:r>
      <w:r>
        <w:t xml:space="preserve"> &amp; 11 &amp; 3.17 &amp; 2.73 &amp; 5.79</w:t>
      </w:r>
      <w:r>
        <w:br/>
      </w:r>
      <w:r>
        <w:rPr>
          <w:rFonts w:hint="eastAsia"/>
        </w:rPr>
        <w:t xml:space="preserve">中期平台</w:t>
      </w:r>
      <w:r>
        <w:t xml:space="preserve"> &amp; 14 &amp; 4.21 &amp; 3.52 &amp; 7.24</w:t>
      </w:r>
      <w:r>
        <w:br/>
      </w:r>
      <w:r>
        <w:rPr>
          <w:rFonts w:hint="eastAsia"/>
        </w:rPr>
        <w:t xml:space="preserve">后期再定价</w:t>
      </w:r>
      <w:r>
        <w:t xml:space="preserve"> &amp; 21 &amp; 2.82 &amp; 2.27 &amp; 5.37</w:t>
      </w:r>
      <w:r>
        <w:br/>
      </w:r>
      <w:r>
        <w:rPr>
          <w:rFonts w:hint="eastAsia"/>
        </w:rPr>
        <w:t xml:space="preserve">高价平台</w:t>
      </w:r>
      <w:r>
        <w:t xml:space="preserve"> &amp; 4 &amp; 2.70 &amp; 2.19 &amp; 3.93</w:t>
      </w:r>
      <w:r>
        <w:br/>
      </w:r>
      <w:r>
        <w:rPr>
          <w:rFonts w:hint="eastAsia"/>
        </w:rPr>
        <w:t xml:space="preserve">低价回落</w:t>
      </w:r>
      <w:r>
        <w:t xml:space="preserve"> &amp; 21 &amp; 3.20 &amp; 2.76 &amp; 5.79</w:t>
      </w:r>
      <w:r>
        <w:br/>
      </w:r>
    </w:p>
    <w:bookmarkEnd w:id="45"/>
    <w:bookmarkStart w:id="46" w:name="基准模型对比"/>
    <w:p>
      <w:pPr>
        <w:pStyle w:val="Heading2"/>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3.38 &amp; 2.76 &amp; 2.76 &amp; 66.7</w:t>
      </w:r>
      <w:r>
        <w:br/>
      </w:r>
      <w:r>
        <w:rPr>
          <w:rFonts w:hint="eastAsia"/>
          <w:b/>
          <w:bCs/>
        </w:rPr>
        <w:t xml:space="preserve">短期冲击模型增强路径</w:t>
      </w:r>
      <w:r>
        <w:t xml:space="preserve"> </w:t>
      </w:r>
      <w:r>
        <w:t xml:space="preserve">&amp;</w:t>
      </w:r>
      <w:r>
        <w:t xml:space="preserve"> </w:t>
      </w:r>
      <w:r>
        <w:rPr>
          <w:b/>
          <w:bCs/>
        </w:rPr>
        <w:t xml:space="preserve">3.18</w:t>
      </w:r>
      <w:r>
        <w:t xml:space="preserve"> </w:t>
      </w:r>
      <w:r>
        <w:t xml:space="preserve">&amp;</w:t>
      </w:r>
      <w:r>
        <w:t xml:space="preserve"> </w:t>
      </w:r>
      <w:r>
        <w:rPr>
          <w:b/>
          <w:bCs/>
        </w:rPr>
        <w:t xml:space="preserve">2.69</w:t>
      </w:r>
      <w:r>
        <w:t xml:space="preserve"> </w:t>
      </w:r>
      <w:r>
        <w:t xml:space="preserve">&amp;</w:t>
      </w:r>
      <w:r>
        <w:t xml:space="preserve"> </w:t>
      </w:r>
      <w:r>
        <w:rPr>
          <w:b/>
          <w:bCs/>
        </w:rPr>
        <w:t xml:space="preserve">2.69</w:t>
      </w:r>
      <w:r>
        <w:t xml:space="preserve"> </w:t>
      </w:r>
      <w:r>
        <w:t xml:space="preserve">&amp;</w:t>
      </w:r>
      <w:r>
        <w:t xml:space="preserve"> </w:t>
      </w:r>
      <w:r>
        <w:rPr>
          <w:b/>
          <w:bCs/>
        </w:rPr>
        <w:t xml:space="preserve">68.9</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3.38；向左平移</w:t>
      </w:r>
      <w:r>
        <w:t xml:space="preserve"> 1 </w:t>
      </w:r>
      <w:r>
        <w:rPr>
          <w:rFonts w:hint="eastAsia"/>
        </w:rPr>
        <w:t xml:space="preserve">天升至</w:t>
      </w:r>
      <w:r>
        <w:t xml:space="preserve"> </w:t>
      </w:r>
      <w:r>
        <w:rPr>
          <w:rFonts w:hint="eastAsia"/>
        </w:rPr>
        <w:t xml:space="preserve">3.90，向左平移</w:t>
      </w:r>
      <w:r>
        <w:t xml:space="preserve"> 2 </w:t>
      </w:r>
      <w:r>
        <w:rPr>
          <w:rFonts w:hint="eastAsia"/>
        </w:rPr>
        <w:t xml:space="preserve">天升至</w:t>
      </w:r>
      <w:r>
        <w:t xml:space="preserve"> </w:t>
      </w:r>
      <w:r>
        <w:rPr>
          <w:rFonts w:hint="eastAsia"/>
        </w:rPr>
        <w:t xml:space="preserve">4.71，说明曲线不存在明显滞后复制。剔除首日后的可比较样本中，短期冲击模型</w:t>
      </w:r>
      <w:r>
        <w:t xml:space="preserve"> RMSE </w:t>
      </w:r>
      <w:r>
        <w:rPr>
          <w:rFonts w:hint="eastAsia"/>
        </w:rPr>
        <w:t xml:space="preserve">为</w:t>
      </w:r>
      <w:r>
        <w:t xml:space="preserve"> </w:t>
      </w:r>
      <w:r>
        <w:rPr>
          <w:rFonts w:hint="eastAsia"/>
        </w:rPr>
        <w:t xml:space="preserve">3.42，朴素上一日基准为</w:t>
      </w:r>
      <w:r>
        <w:t xml:space="preserve"> </w:t>
      </w:r>
      <w:r>
        <w:rPr>
          <w:rFonts w:hint="eastAsia"/>
        </w:rPr>
        <w:t xml:space="preserve">4.52；R</w:t>
      </w:r>
      <w:r>
        <w:t xml:space="preserve"> </w:t>
      </w:r>
      <w:r>
        <w:rPr>
          <w:rFonts w:hint="eastAsia"/>
        </w:rPr>
        <w:t xml:space="preserve">语言复核的</w:t>
      </w:r>
      <w:r>
        <w:t xml:space="preserve"> DM </w:t>
      </w:r>
      <w:r>
        <w:rPr>
          <w:rFonts w:hint="eastAsia"/>
        </w:rPr>
        <w:t xml:space="preserve">平方损失单侧检验</w:t>
      </w:r>
      <w:r>
        <w:t xml:space="preserve"> </w:t>
      </w:r>
      <m:oMath>
        <m:r>
          <m:t>p</m:t>
        </m:r>
        <m:r>
          <m:rPr>
            <m:sty m:val="p"/>
          </m:rPr>
          <m:t>=</m:t>
        </m:r>
        <m:r>
          <m:t>0.020</m:t>
        </m:r>
      </m:oMath>
      <w:r>
        <w:rPr>
          <w:rFonts w:hint="eastAsia"/>
        </w:rPr>
        <w:t xml:space="preserve">，方向命中率二项检验</w:t>
      </w:r>
      <w:r>
        <w:t xml:space="preserve"> </w:t>
      </w:r>
      <m:oMath>
        <m:r>
          <m:t>p</m:t>
        </m:r>
        <m:r>
          <m:rPr>
            <m:sty m:val="p"/>
          </m:rPr>
          <m:t>=</m:t>
        </m:r>
        <m:r>
          <m:t>0.024</m:t>
        </m:r>
      </m:oMath>
      <w:r>
        <w:t xml:space="preserve">。Ljung–Box lag10 </w:t>
      </w:r>
      <w:r>
        <w:rPr>
          <w:rFonts w:hint="eastAsia"/>
        </w:rPr>
        <w:t xml:space="preserve">检验</w:t>
      </w:r>
      <w:r>
        <w:t xml:space="preserve"> </w:t>
      </w:r>
      <m:oMath>
        <m:r>
          <m:t>p</m:t>
        </m:r>
        <m:r>
          <m:rPr>
            <m:sty m:val="p"/>
          </m:rPr>
          <m:t>=</m:t>
        </m:r>
        <m:r>
          <m:t>0.364</m:t>
        </m:r>
      </m:oMath>
      <w:r>
        <w:rPr>
          <w:rFonts w:hint="eastAsia"/>
        </w:rPr>
        <w:t xml:space="preserve">，未见显著线性自相关。</w:t>
      </w:r>
    </w:p>
    <w:bookmarkEnd w:id="46"/>
    <w:bookmarkStart w:id="47" w:name="鲁棒性与边界检验摘要"/>
    <w:p>
      <w:pPr>
        <w:pStyle w:val="Heading2"/>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3.38</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49"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2"/>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109.83 &amp; 92.83 &amp; 91.45 &amp; 87.05 &amp; 101.51 &amp; 90.88 &amp; </w:t>
      </w:r>
      <w:r>
        <w:rPr>
          <w:rFonts w:hint="eastAsia"/>
        </w:rPr>
        <w:t xml:space="preserve">低</w:t>
      </w:r>
      <w:r>
        <w:br/>
      </w:r>
      <w:r>
        <w:rPr>
          <w:rFonts w:hint="eastAsia"/>
        </w:rPr>
        <w:t xml:space="preserve">中性</w:t>
      </w:r>
      <w:r>
        <w:t xml:space="preserve"> &amp; 109.83 &amp; 104.99 &amp; 100.30 &amp; 93.26 &amp; 109.72 &amp; 100.39 &amp; </w:t>
      </w:r>
      <w:r>
        <w:rPr>
          <w:rFonts w:hint="eastAsia"/>
        </w:rPr>
        <w:t xml:space="preserve">低</w:t>
      </w:r>
      <w:r>
        <w:br/>
      </w:r>
      <w:r>
        <w:rPr>
          <w:rFonts w:hint="eastAsia"/>
        </w:rPr>
        <w:t xml:space="preserve">悲观</w:t>
      </w:r>
      <w:r>
        <w:t xml:space="preserve"> &amp; 109.83 &amp; 123.25 &amp; 115.56 &amp; 111.71 &amp; 129.71 &amp; 117.87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031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031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0.014</m:t>
          </m:r>
          <m:sSub>
            <m:e>
              <m:r>
                <m:t>r</m:t>
              </m:r>
            </m:e>
            <m:sub>
              <m:r>
                <m:t>t</m:t>
              </m:r>
            </m:sub>
          </m:sSub>
          <m:r>
            <m:rPr>
              <m:sty m:val="p"/>
            </m:rPr>
            <m:t>+</m:t>
          </m:r>
          <m:r>
            <m:t>0.022</m:t>
          </m:r>
          <m:r>
            <m:rPr>
              <m:sty m:val="p"/>
            </m:rPr>
            <m:t>(</m:t>
          </m:r>
          <m:r>
            <m:t>0.8</m:t>
          </m:r>
          <m:sSub>
            <m:e>
              <m:r>
                <m:t>h</m:t>
              </m:r>
            </m:e>
            <m:sub>
              <m:r>
                <m:t>t</m:t>
              </m:r>
            </m:sub>
          </m:sSub>
          <m:r>
            <m:rPr>
              <m:sty m:val="p"/>
            </m:rPr>
            <m:t>)</m:t>
          </m:r>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0.010</m:t>
          </m:r>
          <m:sSub>
            <m:e>
              <m:r>
                <m:t>r</m:t>
              </m:r>
            </m:e>
            <m:sub>
              <m:r>
                <m:t>t</m:t>
              </m:r>
            </m:sub>
          </m:sSub>
          <m:r>
            <m:rPr>
              <m:sty m:val="p"/>
            </m:rPr>
            <m:t>−</m:t>
          </m:r>
          <m:r>
            <m:t>0.014</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0.006</m:t>
        </m:r>
        <m:sSub>
          <m:e>
            <m:r>
              <m:t>r</m:t>
            </m:r>
          </m:e>
          <m:sub>
            <m:r>
              <m:t>t</m:t>
            </m:r>
          </m:sub>
        </m:sSub>
        <m:r>
          <m:rPr>
            <m:sty m:val="p"/>
          </m:rPr>
          <m:t>+</m:t>
        </m:r>
        <m:r>
          <m:t>0.010</m:t>
        </m:r>
        <m:r>
          <m:rPr>
            <m:sty m:val="p"/>
          </m:rPr>
          <m:t>(</m:t>
        </m:r>
        <m:r>
          <m:t>0.8</m:t>
        </m:r>
        <m:sSub>
          <m:e>
            <m:r>
              <m:t>h</m:t>
            </m:r>
          </m:e>
          <m:sub>
            <m:r>
              <m:t>t</m:t>
            </m:r>
          </m:sub>
        </m:sSub>
        <m:r>
          <m:rPr>
            <m:sty m:val="p"/>
          </m:rPr>
          <m:t>)</m:t>
        </m:r>
      </m:oMath>
      <w:r>
        <w:rPr>
          <w:rFonts w:hint="eastAsia"/>
        </w:rPr>
        <w:t xml:space="preserve">；若当前处于缓和状态，则维持列增加</w:t>
      </w:r>
      <w:r>
        <w:t xml:space="preserve"> </w:t>
      </w:r>
      <m:oMath>
        <m:r>
          <m:t>0.004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时提高缓和列、压低升级列。所有行最后经非负裁剪和归一化处理。这一设定使状态转移既有历史价格行为校准，也受到物理资源约束、恢复证据、市场隐含波动率和地缘风险读数的共同约束。</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r>
        <w:tc>
          <w:tcPr/>
          <w:p>
            <w:pPr>
              <w:pStyle w:val="Compact"/>
              <w:jc w:val="right"/>
            </w:pPr>
            <w:r>
              <w:t xml:space="preserve">90</w:t>
            </w:r>
          </w:p>
        </w:tc>
        <w:tc>
          <w:tcPr/>
          <w:p>
            <w:pPr>
              <w:pStyle w:val="Compact"/>
              <w:jc w:val="right"/>
            </w:pPr>
            <w:r>
              <w:t xml:space="preserve">0.055</w:t>
            </w:r>
          </w:p>
        </w:tc>
        <w:tc>
          <w:tcPr/>
          <w:p>
            <w:pPr>
              <w:pStyle w:val="Compact"/>
              <w:jc w:val="right"/>
            </w:pPr>
            <w:r>
              <w:t xml:space="preserve">0.876</w:t>
            </w:r>
          </w:p>
        </w:tc>
        <w:tc>
          <w:tcPr/>
          <w:p>
            <w:pPr>
              <w:pStyle w:val="Compact"/>
              <w:jc w:val="right"/>
            </w:pPr>
            <w:r>
              <w:t xml:space="preserve">0.069</w:t>
            </w:r>
          </w:p>
        </w:tc>
      </w:tr>
      <w:tr>
        <w:tc>
          <w:tcPr/>
          <w:p>
            <w:pPr>
              <w:pStyle w:val="Compact"/>
              <w:jc w:val="right"/>
            </w:pPr>
            <w:r>
              <w:t xml:space="preserve">120</w:t>
            </w:r>
          </w:p>
        </w:tc>
        <w:tc>
          <w:tcPr/>
          <w:p>
            <w:pPr>
              <w:pStyle w:val="Compact"/>
              <w:jc w:val="right"/>
            </w:pPr>
            <w:r>
              <w:t xml:space="preserve">0.064</w:t>
            </w:r>
          </w:p>
        </w:tc>
        <w:tc>
          <w:tcPr/>
          <w:p>
            <w:pPr>
              <w:pStyle w:val="Compact"/>
              <w:jc w:val="right"/>
            </w:pPr>
            <w:r>
              <w:t xml:space="preserve">0.876</w:t>
            </w:r>
          </w:p>
        </w:tc>
        <w:tc>
          <w:tcPr/>
          <w:p>
            <w:pPr>
              <w:pStyle w:val="Compact"/>
              <w:jc w:val="right"/>
            </w:pPr>
            <w:r>
              <w:t xml:space="preserve">0.060</w:t>
            </w:r>
          </w:p>
        </w:tc>
      </w:tr>
      <w:tr>
        <w:tc>
          <w:tcPr/>
          <w:p>
            <w:pPr>
              <w:pStyle w:val="Compact"/>
              <w:jc w:val="right"/>
            </w:pPr>
            <w:r>
              <w:t xml:space="preserve">150</w:t>
            </w:r>
          </w:p>
        </w:tc>
        <w:tc>
          <w:tcPr/>
          <w:p>
            <w:pPr>
              <w:pStyle w:val="Compact"/>
              <w:jc w:val="right"/>
            </w:pPr>
            <w:r>
              <w:t xml:space="preserve">0.055</w:t>
            </w:r>
          </w:p>
        </w:tc>
        <w:tc>
          <w:tcPr/>
          <w:p>
            <w:pPr>
              <w:pStyle w:val="Compact"/>
              <w:jc w:val="right"/>
            </w:pPr>
            <w:r>
              <w:t xml:space="preserve">0.876</w:t>
            </w:r>
          </w:p>
        </w:tc>
        <w:tc>
          <w:tcPr/>
          <w:p>
            <w:pPr>
              <w:pStyle w:val="Compact"/>
              <w:jc w:val="right"/>
            </w:pPr>
            <w:r>
              <w:t xml:space="preserve">0.070</w:t>
            </w:r>
          </w:p>
        </w:tc>
      </w:tr>
      <w:tr>
        <w:tc>
          <w:tcPr/>
          <w:p>
            <w:pPr>
              <w:pStyle w:val="Compact"/>
              <w:jc w:val="right"/>
            </w:pPr>
            <w:r>
              <w:t xml:space="preserve">180</w:t>
            </w:r>
          </w:p>
        </w:tc>
        <w:tc>
          <w:tcPr/>
          <w:p>
            <w:pPr>
              <w:pStyle w:val="Compact"/>
              <w:jc w:val="right"/>
            </w:pPr>
            <w:r>
              <w:t xml:space="preserve">0.056</w:t>
            </w:r>
          </w:p>
        </w:tc>
        <w:tc>
          <w:tcPr/>
          <w:p>
            <w:pPr>
              <w:pStyle w:val="Compact"/>
              <w:jc w:val="right"/>
            </w:pPr>
            <w:r>
              <w:t xml:space="preserve">0.876</w:t>
            </w:r>
          </w:p>
        </w:tc>
        <w:tc>
          <w:tcPr/>
          <w:p>
            <w:pPr>
              <w:pStyle w:val="Compact"/>
              <w:jc w:val="right"/>
            </w:pPr>
            <w:r>
              <w:t xml:space="preserve">0.069</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35.4%</w:t>
            </w:r>
          </w:p>
        </w:tc>
        <w:tc>
          <w:tcPr/>
          <w:p>
            <w:pPr>
              <w:pStyle w:val="Compact"/>
              <w:jc w:val="right"/>
            </w:pPr>
            <w:r>
              <w:t xml:space="preserve">1.8%</w:t>
            </w:r>
          </w:p>
        </w:tc>
        <w:tc>
          <w:tcPr/>
          <w:p>
            <w:pPr>
              <w:pStyle w:val="Compact"/>
              <w:jc w:val="right"/>
            </w:pPr>
            <w:r>
              <w:t xml:space="preserve">127.34</w:t>
            </w:r>
          </w:p>
        </w:tc>
        <w:tc>
          <w:tcPr/>
          <w:p>
            <w:pPr>
              <w:pStyle w:val="Compact"/>
              <w:jc w:val="right"/>
            </w:pPr>
            <w:r>
              <w:t xml:space="preserve">106.83</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38.4%</w:t>
            </w:r>
          </w:p>
        </w:tc>
        <w:tc>
          <w:tcPr/>
          <w:p>
            <w:pPr>
              <w:pStyle w:val="Compact"/>
              <w:jc w:val="right"/>
            </w:pPr>
            <w:r>
              <w:t xml:space="preserve">3.0%</w:t>
            </w:r>
          </w:p>
        </w:tc>
        <w:tc>
          <w:tcPr/>
          <w:p>
            <w:pPr>
              <w:pStyle w:val="Compact"/>
              <w:jc w:val="right"/>
            </w:pPr>
            <w:r>
              <w:t xml:space="preserve">128.75</w:t>
            </w:r>
          </w:p>
        </w:tc>
        <w:tc>
          <w:tcPr/>
          <w:p>
            <w:pPr>
              <w:pStyle w:val="Compact"/>
              <w:jc w:val="right"/>
            </w:pPr>
            <w:r>
              <w:t xml:space="preserve">107.23</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44.0%</w:t>
            </w:r>
          </w:p>
        </w:tc>
        <w:tc>
          <w:tcPr/>
          <w:p>
            <w:pPr>
              <w:pStyle w:val="Compact"/>
              <w:jc w:val="right"/>
            </w:pPr>
            <w:r>
              <w:t xml:space="preserve">3.2%</w:t>
            </w:r>
          </w:p>
        </w:tc>
        <w:tc>
          <w:tcPr/>
          <w:p>
            <w:pPr>
              <w:pStyle w:val="Compact"/>
              <w:jc w:val="right"/>
            </w:pPr>
            <w:r>
              <w:t xml:space="preserve">128.81</w:t>
            </w:r>
          </w:p>
        </w:tc>
        <w:tc>
          <w:tcPr/>
          <w:p>
            <w:pPr>
              <w:pStyle w:val="Compact"/>
              <w:jc w:val="right"/>
            </w:pPr>
            <w:r>
              <w:t xml:space="preserve">107.61</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93.26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129.71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111.71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90.15–107.61 </w:t>
      </w:r>
      <w:r>
        <w:rPr>
          <w:rFonts w:hint="eastAsia"/>
        </w:rPr>
        <w:t xml:space="preserve">美元/桶，外推期最高价</w:t>
      </w:r>
      <w:r>
        <w:t xml:space="preserve"> P95 </w:t>
      </w:r>
      <w:r>
        <w:rPr>
          <w:rFonts w:hint="eastAsia"/>
        </w:rPr>
        <w:t xml:space="preserve">为</w:t>
      </w:r>
      <w:r>
        <w:t xml:space="preserve"> 128.81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44.0%，说明长期结果应重点关注尾部区间和状态切换风险。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88.85–107.07 </w:t>
            </w:r>
            <w:r>
              <w:rPr>
                <w:rFonts w:hint="eastAsia"/>
              </w:rPr>
              <w:t xml:space="preserve">美元/桶，最高价突破</w:t>
            </w:r>
            <w:r>
              <w:t xml:space="preserve"> 120 </w:t>
            </w:r>
            <w:r>
              <w:rPr>
                <w:rFonts w:hint="eastAsia"/>
              </w:rPr>
              <w:t xml:space="preserve">概率约</w:t>
            </w:r>
            <w:r>
              <w:t xml:space="preserve"> 10.3%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90.15–107.61 </w:t>
            </w:r>
            <w:r>
              <w:rPr>
                <w:rFonts w:hint="eastAsia"/>
              </w:rPr>
              <w:t xml:space="preserve">美元/桶，外推期最高价</w:t>
            </w:r>
            <w:r>
              <w:t xml:space="preserve"> P95 </w:t>
            </w:r>
            <w:r>
              <w:rPr>
                <w:rFonts w:hint="eastAsia"/>
              </w:rPr>
              <w:t xml:space="preserve">为</w:t>
            </w:r>
            <w:r>
              <w:t xml:space="preserve"> 128.81 </w:t>
            </w:r>
            <w:r>
              <w:rPr>
                <w:rFonts w:hint="eastAsia"/>
              </w:rPr>
              <w:t xml:space="preserve">美元/桶，突破</w:t>
            </w:r>
            <w:r>
              <w:t xml:space="preserve"> 120 </w:t>
            </w:r>
            <w:r>
              <w:rPr>
                <w:rFonts w:hint="eastAsia"/>
              </w:rPr>
              <w:t xml:space="preserve">概率约</w:t>
            </w:r>
            <w:r>
              <w:t xml:space="preserve"> 44.0%</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87.05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93.26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111.71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93.26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
    <w:p>
      <w:pPr>
        <w:pStyle w:val="Heading1"/>
      </w:pPr>
      <w:r>
        <w:rPr>
          <w:rFonts w:hint="eastAsia"/>
        </w:rPr>
        <w:t xml:space="preserve">敏感性分析</w:t>
      </w:r>
    </w:p>
    <w:p>
      <w:pPr>
        <w:pStyle w:val="FirstParagraph"/>
      </w:pPr>
      <w:r>
        <w:rPr>
          <w:rFonts w:hint="eastAsia"/>
        </w:rPr>
        <w:t xml:space="preserve">本章回答三个问题：哪些参数主导长期结果，多因素扰动下尾部风险有多大，外生风险变量和历史样本是否支持该判断。GPR、OVX、历史窗口和传统蒙特卡洛路径图放入附录，正文保留排序、区间和摘要证据。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2"/>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2"/>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10.3%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0.2%</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2.4%</w:t>
            </w:r>
          </w:p>
        </w:tc>
      </w:tr>
      <w:tr>
        <w:tc>
          <w:tcPr/>
          <w:p>
            <w:pPr>
              <w:pStyle w:val="Compact"/>
              <w:jc w:val="left"/>
            </w:pPr>
            <w:r>
              <w:rPr>
                <w:rFonts w:hint="eastAsia"/>
              </w:rPr>
              <w:t xml:space="preserve">二次跳涨风险为高概率</w:t>
            </w:r>
          </w:p>
        </w:tc>
        <w:tc>
          <w:tcPr/>
          <w:p>
            <w:pPr>
              <w:pStyle w:val="Compact"/>
              <w:jc w:val="right"/>
            </w:pPr>
            <w:r>
              <w:t xml:space="preserve">3.4%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88.85</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95.84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107.07</w:t>
            </w:r>
          </w:p>
        </w:tc>
      </w:tr>
      <w:tr>
        <w:tc>
          <w:tcPr/>
          <w:p>
            <w:pPr>
              <w:pStyle w:val="Compact"/>
              <w:jc w:val="left"/>
            </w:pPr>
            <w:r>
              <w:rPr>
                <w:rFonts w:hint="eastAsia"/>
              </w:rPr>
              <w:t xml:space="preserve">外推期最高价</w:t>
            </w:r>
            <w:r>
              <w:t xml:space="preserve"> P95</w:t>
            </w:r>
          </w:p>
        </w:tc>
        <w:tc>
          <w:tcPr/>
          <w:p>
            <w:pPr>
              <w:pStyle w:val="Compact"/>
              <w:jc w:val="right"/>
            </w:pPr>
            <w:r>
              <w:t xml:space="preserve">123.24</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95.84 </w:t>
      </w:r>
      <w:r>
        <w:rPr>
          <w:rFonts w:hint="eastAsia"/>
        </w:rPr>
        <w:t xml:space="preserve">美元/桶，与中性情景</w:t>
      </w:r>
      <w:r>
        <w:t xml:space="preserve"> 93.26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10.3%，突破</w:t>
      </w:r>
      <w:r>
        <w:t xml:space="preserve"> 130 </w:t>
      </w:r>
      <w:r>
        <w:rPr>
          <w:rFonts w:hint="eastAsia"/>
        </w:rPr>
        <w:t xml:space="preserve">美元/桶的概率为</w:t>
      </w:r>
      <w:r>
        <w:t xml:space="preserve"> </w:t>
      </w:r>
      <w:r>
        <w:rPr>
          <w:rFonts w:hint="eastAsia"/>
        </w:rPr>
        <w:t xml:space="preserve">0.2%。因此，长期风险重点不在中性点预测，而在多因素联动恶化下的尾部组合。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修正。3000</w:t>
      </w:r>
      <w:r>
        <w:t xml:space="preserve"> </w:t>
      </w:r>
      <w:r>
        <w:rPr>
          <w:rFonts w:hint="eastAsia"/>
        </w:rPr>
        <w:t xml:space="preserve">条路径显示，第</w:t>
      </w:r>
      <w:r>
        <w:t xml:space="preserve"> 180 </w:t>
      </w:r>
      <w:r>
        <w:rPr>
          <w:rFonts w:hint="eastAsia"/>
        </w:rPr>
        <w:t xml:space="preserve">天价格中位数为</w:t>
      </w:r>
      <w:r>
        <w:t xml:space="preserve"> 95.72 </w:t>
      </w:r>
      <w:r>
        <w:rPr>
          <w:rFonts w:hint="eastAsia"/>
        </w:rPr>
        <w:t xml:space="preserve">美元/桶，5%–95%</w:t>
      </w:r>
      <w:r>
        <w:t xml:space="preserve"> </w:t>
      </w:r>
      <w:r>
        <w:rPr>
          <w:rFonts w:hint="eastAsia"/>
        </w:rPr>
        <w:t xml:space="preserve">区间为</w:t>
      </w:r>
      <w:r>
        <w:t xml:space="preserve"> 90.15–107.61 </w:t>
      </w:r>
      <w:r>
        <w:rPr>
          <w:rFonts w:hint="eastAsia"/>
        </w:rPr>
        <w:t xml:space="preserve">美元/桶；外推期最高价</w:t>
      </w:r>
      <w:r>
        <w:t xml:space="preserve"> P95 </w:t>
      </w:r>
      <w:r>
        <w:rPr>
          <w:rFonts w:hint="eastAsia"/>
        </w:rPr>
        <w:t xml:space="preserve">为</w:t>
      </w:r>
      <w:r>
        <w:t xml:space="preserve"> 128.81 </w:t>
      </w:r>
      <w:r>
        <w:rPr>
          <w:rFonts w:hint="eastAsia"/>
        </w:rPr>
        <w:t xml:space="preserve">美元/桶，突破</w:t>
      </w:r>
      <w:r>
        <w:t xml:space="preserve"> 120 </w:t>
      </w:r>
      <w:r>
        <w:rPr>
          <w:rFonts w:hint="eastAsia"/>
        </w:rPr>
        <w:t xml:space="preserve">美元/桶的条件概率为</w:t>
      </w:r>
      <w:r>
        <w:t xml:space="preserve"> 44.0%。</w:t>
      </w:r>
    </w:p>
    <w:bookmarkEnd w:id="79"/>
    <w:bookmarkStart w:id="80" w:name="外生风险变量与历史稳健性摘要"/>
    <w:p>
      <w:pPr>
        <w:pStyle w:val="Heading2"/>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Start w:id="8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本文围绕霍尔木兹海峡封锁对国际原油价格的影响，建立短期冲击模型（0–60</w:t>
      </w:r>
      <w:r>
        <w:t xml:space="preserve"> </w:t>
      </w:r>
      <w:r>
        <w:rPr>
          <w:rFonts w:hint="eastAsia"/>
        </w:rPr>
        <w:t xml:space="preserve">天）和中长期油价调节模型（60–180</w:t>
      </w:r>
      <w:r>
        <w:t xml:space="preserve"> </w:t>
      </w:r>
      <w:r>
        <w:rPr>
          <w:rFonts w:hint="eastAsia"/>
        </w:rPr>
        <w:t xml:space="preserve">天）。主要结论如下。</w:t>
      </w:r>
    </w:p>
    <w:p>
      <w:pPr>
        <w:pStyle w:val="BodyText"/>
      </w:pPr>
      <w:r>
        <w:rPr>
          <w:rFonts w:hint="eastAsia"/>
        </w:rPr>
        <w:t xml:space="preserve">在赛题低短期弹性设定下，静态反事实基准给出</w:t>
      </w:r>
      <w:r>
        <w:t xml:space="preserve"> 278–337 </w:t>
      </w:r>
      <w:r>
        <w:rPr>
          <w:rFonts w:hint="eastAsia"/>
        </w:rPr>
        <w:t xml:space="preserve">美元/桶的压力上界；该数值刻画低弹性框架下的边际压力，不代表现实价格必然到达。加入</w:t>
      </w:r>
      <w:r>
        <w:t xml:space="preserve"> </w:t>
      </w:r>
      <w:r>
        <w:rPr>
          <w:rFonts w:hint="eastAsia"/>
        </w:rPr>
        <w:t xml:space="preserve">SPR、商业库存、绕道运输、需求收缩、恐慌衰减、地缘风险溢价和预期修复后，短期冲击模型在冲突窗口内取得</w:t>
      </w:r>
      <w:r>
        <w:t xml:space="preserve"> RMSE 3.38 </w:t>
      </w:r>
      <w:r>
        <w:rPr>
          <w:rFonts w:hint="eastAsia"/>
        </w:rPr>
        <w:t xml:space="preserve">美元/桶、MAE</w:t>
      </w:r>
      <w:r>
        <w:t xml:space="preserve"> 2.76 </w:t>
      </w:r>
      <w:r>
        <w:rPr>
          <w:rFonts w:hint="eastAsia"/>
        </w:rPr>
        <w:t xml:space="preserve">美元/桶，并优于朴素上一日基准和滚动</w:t>
      </w:r>
      <w:r>
        <w:t xml:space="preserve"> ARIMA </w:t>
      </w:r>
      <w:r>
        <w:rPr>
          <w:rFonts w:hint="eastAsia"/>
        </w:rPr>
        <w:t xml:space="preserve">基准。DM</w:t>
      </w:r>
      <w:r>
        <w:t xml:space="preserve"> </w:t>
      </w:r>
      <w:r>
        <w:rPr>
          <w:rFonts w:hint="eastAsia"/>
        </w:rPr>
        <w:t xml:space="preserve">检验、滞后平移、机制消融和参数扰动表明，短期平台并非简单复制昨日价格，而是物理缺口、政策缓冲和市场预期共同再定价的结果。</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93.26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111.71 </w:t>
      </w:r>
      <w:r>
        <w:rPr>
          <w:rFonts w:hint="eastAsia"/>
        </w:rPr>
        <w:t xml:space="preserve">美元/桶，并保留二次跳涨风险。敏感性分析表明，封锁风险衰减速度、地缘风险权重、供应中断量和制度风险强度是长期结果的主要驱动因素。蒙特卡洛情景树给出第</w:t>
      </w:r>
      <w:r>
        <w:t xml:space="preserve"> 180 </w:t>
      </w:r>
      <w:r>
        <w:rPr>
          <w:rFonts w:hint="eastAsia"/>
        </w:rPr>
        <w:t xml:space="preserve">天价格</w:t>
      </w:r>
      <w:r>
        <w:t xml:space="preserve"> 5%–95% </w:t>
      </w:r>
      <w:r>
        <w:rPr>
          <w:rFonts w:hint="eastAsia"/>
        </w:rPr>
        <w:t xml:space="preserve">区间</w:t>
      </w:r>
      <w:r>
        <w:t xml:space="preserve"> 88.85–107.07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10.3%；状态转移情景树给出外推期最高价</w:t>
      </w:r>
      <w:r>
        <w:t xml:space="preserve"> P95 </w:t>
      </w:r>
      <w:r>
        <w:rPr>
          <w:rFonts w:hint="eastAsia"/>
        </w:rPr>
        <w:t xml:space="preserve">约</w:t>
      </w:r>
      <w:r>
        <w:t xml:space="preserve"> 128.81 </w:t>
      </w:r>
      <w:r>
        <w:rPr>
          <w:rFonts w:hint="eastAsia"/>
        </w:rPr>
        <w:t xml:space="preserve">美元/桶，突破</w:t>
      </w:r>
      <w:r>
        <w:t xml:space="preserve"> 120 </w:t>
      </w:r>
      <w:r>
        <w:rPr>
          <w:rFonts w:hint="eastAsia"/>
        </w:rPr>
        <w:t xml:space="preserve">美元/桶的条件概率约为</w:t>
      </w:r>
      <w:r>
        <w:t xml:space="preserve"> </w:t>
      </w:r>
      <w:r>
        <w:rPr>
          <w:rFonts w:hint="eastAsia"/>
        </w:rPr>
        <w:t xml:space="preserve">44.0%，说明长期结论应重点关注尾部区间和状态切换风险，而不是单一均值线。</w:t>
      </w:r>
    </w:p>
    <w:p>
      <w:pPr>
        <w:pStyle w:val="BodyText"/>
      </w:pPr>
      <w:r>
        <w:rPr>
          <w:rFonts w:hint="eastAsia"/>
        </w:rPr>
        <w:t xml:space="preserve">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年同长度窗口也表明，本题冲突窗口在累计收益率、波动率和朴素基准误差上均具有显著特殊性。模型适用于霍尔木兹封锁条件路径分析，不宜解释为跨年份通用短线交易器；EIA、JODI、OPEC、GPR</w:t>
      </w:r>
      <w:r>
        <w:t xml:space="preserve"> </w:t>
      </w:r>
      <w:r>
        <w:rPr>
          <w:rFonts w:hint="eastAsia"/>
        </w:rPr>
        <w:t xml:space="preserve">和</w:t>
      </w:r>
      <w:r>
        <w:t xml:space="preserve"> OVX </w:t>
      </w:r>
      <w:r>
        <w:rPr>
          <w:rFonts w:hint="eastAsia"/>
        </w:rPr>
        <w:t xml:space="preserve">只承担数量级校验和长期风险约束。后续若能取得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2"/>
    <w:bookmarkStart w:id="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8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8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8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8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8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0">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1">
        <w:r>
          <w:rPr>
            <w:rStyle w:val="Hyperlink"/>
          </w:rPr>
          <w:t xml:space="preserve">ICE report center</w:t>
        </w:r>
      </w:hyperlink>
      <w:r>
        <w:t xml:space="preserve">.</w:t>
      </w:r>
    </w:p>
    <w:bookmarkEnd w:id="92"/>
    <w:bookmarkStart w:id="147"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3"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3"/>
    <w:bookmarkStart w:id="94"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4"/>
    <w:bookmarkStart w:id="113" w:name="c-短期冲击模型补充检验"/>
    <w:p>
      <w:pPr>
        <w:pStyle w:val="Heading2"/>
      </w:pPr>
      <w:r>
        <w:t xml:space="preserve">C </w:t>
      </w:r>
      <w:r>
        <w:rPr>
          <w:rFonts w:hint="eastAsia"/>
        </w:rPr>
        <w:t xml:space="preserve">短期冲击模型补充检验</w:t>
      </w:r>
    </w:p>
    <w:p>
      <w:pPr>
        <w:pStyle w:val="FirstParagraph"/>
      </w:pPr>
      <w:r>
        <w:rPr>
          <w:rFonts w:hint="eastAsia"/>
        </w:rPr>
        <w:t xml:space="preserve">正文第七章保留校准、基准对比和鲁棒性摘要。附录补充给出短期模型的机制贡献、参数剖面、事件窗口、滞后平移、残差分布和局部扰动稳健性图。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96" name="Picture"/>
            <a:graphic>
              <a:graphicData uri="http://schemas.openxmlformats.org/drawingml/2006/picture">
                <pic:pic>
                  <pic:nvPicPr>
                    <pic:cNvPr descr="短期模型机制贡献.png" id="97" name="Picture"/>
                    <pic:cNvPicPr>
                      <a:picLocks noChangeArrowheads="1" noChangeAspect="1"/>
                    </pic:cNvPicPr>
                  </pic:nvPicPr>
                  <pic:blipFill>
                    <a:blip r:embed="rId95"/>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99" name="Picture"/>
            <a:graphic>
              <a:graphicData uri="http://schemas.openxmlformats.org/drawingml/2006/picture">
                <pic:pic>
                  <pic:nvPicPr>
                    <pic:cNvPr descr="短期模型参数剖面图.png" id="100" name="Picture"/>
                    <pic:cNvPicPr>
                      <a:picLocks noChangeArrowheads="1" noChangeAspect="1"/>
                    </pic:cNvPicPr>
                  </pic:nvPicPr>
                  <pic:blipFill>
                    <a:blip r:embed="rId98"/>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02" name="Picture"/>
            <a:graphic>
              <a:graphicData uri="http://schemas.openxmlformats.org/drawingml/2006/picture">
                <pic:pic>
                  <pic:nvPicPr>
                    <pic:cNvPr descr="短期模型事件窗口检验.png" id="103" name="Picture"/>
                    <pic:cNvPicPr>
                      <a:picLocks noChangeArrowheads="1" noChangeAspect="1"/>
                    </pic:cNvPicPr>
                  </pic:nvPicPr>
                  <pic:blipFill>
                    <a:blip r:embed="rId101"/>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05" name="Picture"/>
            <a:graphic>
              <a:graphicData uri="http://schemas.openxmlformats.org/drawingml/2006/picture">
                <pic:pic>
                  <pic:nvPicPr>
                    <pic:cNvPr descr="短期模型滞后平移检验.png" id="106" name="Picture"/>
                    <pic:cNvPicPr>
                      <a:picLocks noChangeArrowheads="1" noChangeAspect="1"/>
                    </pic:cNvPicPr>
                  </pic:nvPicPr>
                  <pic:blipFill>
                    <a:blip r:embed="rId104"/>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08" name="Picture"/>
            <a:graphic>
              <a:graphicData uri="http://schemas.openxmlformats.org/drawingml/2006/picture">
                <pic:pic>
                  <pic:nvPicPr>
                    <pic:cNvPr descr="短期残差分段分布图.png" id="109" name="Picture"/>
                    <pic:cNvPicPr>
                      <a:picLocks noChangeArrowheads="1" noChangeAspect="1"/>
                    </pic:cNvPicPr>
                  </pic:nvPicPr>
                  <pic:blipFill>
                    <a:blip r:embed="rId107"/>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11" name="Picture"/>
            <a:graphic>
              <a:graphicData uri="http://schemas.openxmlformats.org/drawingml/2006/picture">
                <pic:pic>
                  <pic:nvPicPr>
                    <pic:cNvPr descr="短期模型稳健性带.png" id="112" name="Picture"/>
                    <pic:cNvPicPr>
                      <a:picLocks noChangeArrowheads="1" noChangeAspect="1"/>
                    </pic:cNvPicPr>
                  </pic:nvPicPr>
                  <pic:blipFill>
                    <a:blip r:embed="rId110"/>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13"/>
    <w:bookmarkStart w:id="138" w:name="d-敏感性与外生风险补充检验"/>
    <w:p>
      <w:pPr>
        <w:pStyle w:val="Heading2"/>
      </w:pPr>
      <w:r>
        <w:t xml:space="preserve">D </w:t>
      </w:r>
      <w:r>
        <w:rPr>
          <w:rFonts w:hint="eastAsia"/>
        </w:rPr>
        <w:t xml:space="preserve">敏感性与外生风险补充检验</w:t>
      </w:r>
    </w:p>
    <w:p>
      <w:pPr>
        <w:pStyle w:val="FirstParagraph"/>
      </w:pPr>
      <w:r>
        <w:rPr>
          <w:rFonts w:hint="eastAsia"/>
        </w:rPr>
        <w:t xml:space="preserve">正文第九章只保留参数排序、尾部风险和外生风险摘要。附录在短期模型检验之后补充长期敏感性和外生风险证据，主要用于说明扰动尺度从何而来、外部风险变量如何进入解释，以及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15" name="Picture"/>
            <a:graphic>
              <a:graphicData uri="http://schemas.openxmlformats.org/drawingml/2006/picture">
                <pic:pic>
                  <pic:nvPicPr>
                    <pic:cNvPr descr="历史波动参数校准.png" id="116" name="Picture"/>
                    <pic:cNvPicPr>
                      <a:picLocks noChangeArrowheads="1" noChangeAspect="1"/>
                    </pic:cNvPicPr>
                  </pic:nvPicPr>
                  <pic:blipFill>
                    <a:blip r:embed="rId114"/>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4693920" cy="2545854"/>
            <wp:effectExtent b="0" l="0" r="0" t="0"/>
            <wp:docPr descr="image" title="" id="118" name="Picture"/>
            <a:graphic>
              <a:graphicData uri="http://schemas.openxmlformats.org/drawingml/2006/picture">
                <pic:pic>
                  <pic:nvPicPr>
                    <pic:cNvPr descr="传统蒙特卡洛路径云图.png" id="119" name="Picture"/>
                    <pic:cNvPicPr>
                      <a:picLocks noChangeArrowheads="1" noChangeAspect="1"/>
                    </pic:cNvPicPr>
                  </pic:nvPicPr>
                  <pic:blipFill>
                    <a:blip r:embed="rId117"/>
                    <a:stretch>
                      <a:fillRect/>
                    </a:stretch>
                  </pic:blipFill>
                  <pic:spPr bwMode="auto">
                    <a:xfrm>
                      <a:off x="0" y="0"/>
                      <a:ext cx="4693920" cy="2545854"/>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21" name="Picture"/>
            <a:graphic>
              <a:graphicData uri="http://schemas.openxmlformats.org/drawingml/2006/picture">
                <pic:pic>
                  <pic:nvPicPr>
                    <pic:cNvPr descr="地缘风险指数滞后审计.png" id="122" name="Picture"/>
                    <pic:cNvPicPr>
                      <a:picLocks noChangeArrowheads="1" noChangeAspect="1"/>
                    </pic:cNvPicPr>
                  </pic:nvPicPr>
                  <pic:blipFill>
                    <a:blip r:embed="rId120"/>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24" name="Picture"/>
            <a:graphic>
              <a:graphicData uri="http://schemas.openxmlformats.org/drawingml/2006/picture">
                <pic:pic>
                  <pic:nvPicPr>
                    <pic:cNvPr descr="滞后GPR与布伦特收益关系.png" id="125" name="Picture"/>
                    <pic:cNvPicPr>
                      <a:picLocks noChangeArrowheads="1" noChangeAspect="1"/>
                    </pic:cNvPicPr>
                  </pic:nvPicPr>
                  <pic:blipFill>
                    <a:blip r:embed="rId123"/>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27" name="Picture"/>
            <a:graphic>
              <a:graphicData uri="http://schemas.openxmlformats.org/drawingml/2006/picture">
                <pic:pic>
                  <pic:nvPicPr>
                    <pic:cNvPr descr="OVX隐含波动率滞后检验.png" id="128" name="Picture"/>
                    <pic:cNvPicPr>
                      <a:picLocks noChangeArrowheads="1" noChangeAspect="1"/>
                    </pic:cNvPicPr>
                  </pic:nvPicPr>
                  <pic:blipFill>
                    <a:blip r:embed="rId126"/>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30" name="Picture"/>
            <a:graphic>
              <a:graphicData uri="http://schemas.openxmlformats.org/drawingml/2006/picture">
                <pic:pic>
                  <pic:nvPicPr>
                    <pic:cNvPr descr="历史窗口极端性检验.png" id="131" name="Picture"/>
                    <pic:cNvPicPr>
                      <a:picLocks noChangeArrowheads="1" noChangeAspect="1"/>
                    </pic:cNvPicPr>
                  </pic:nvPicPr>
                  <pic:blipFill>
                    <a:blip r:embed="rId129"/>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33" name="Picture"/>
            <a:graphic>
              <a:graphicData uri="http://schemas.openxmlformats.org/drawingml/2006/picture">
                <pic:pic>
                  <pic:nvPicPr>
                    <pic:cNvPr descr="R历史基准误差分布图.png" id="134" name="Picture"/>
                    <pic:cNvPicPr>
                      <a:picLocks noChangeArrowheads="1" noChangeAspect="1"/>
                    </pic:cNvPicPr>
                  </pic:nvPicPr>
                  <pic:blipFill>
                    <a:blip r:embed="rId132"/>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36" name="Picture"/>
            <a:graphic>
              <a:graphicData uri="http://schemas.openxmlformats.org/drawingml/2006/picture">
                <pic:pic>
                  <pic:nvPicPr>
                    <pic:cNvPr descr="库存与供需缺口风险.png" id="137" name="Picture"/>
                    <pic:cNvPicPr>
                      <a:picLocks noChangeArrowheads="1" noChangeAspect="1"/>
                    </pic:cNvPicPr>
                  </pic:nvPicPr>
                  <pic:blipFill>
                    <a:blip r:embed="rId135"/>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38"/>
    <w:bookmarkStart w:id="139" w:name="e-短期冲击模型核心代码"/>
    <w:p>
      <w:pPr>
        <w:pStyle w:val="Heading2"/>
      </w:pPr>
      <w:r>
        <w:t xml:space="preserve">E </w:t>
      </w:r>
      <w:r>
        <w:rPr>
          <w:rFonts w:hint="eastAsia"/>
        </w:rPr>
        <w:t xml:space="preserve">短期冲击模型核心代码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展示短期冲击模型的核心实现。</w:t>
      </w:r>
    </w:p>
    <w:p>
      <w:pPr>
        <w:pStyle w:val="BodyText"/>
      </w:pPr>
      <w:r>
        <w:t xml:space="preserve">lst:dynamic-recursion</w:t>
      </w:r>
      <w:r>
        <w:t xml:space="preserve">python</w:t>
      </w:r>
      <w:r>
        <w:rPr>
          <w:rFonts w:hint="eastAsia"/>
        </w:rPr>
        <w:t xml:space="preserve">短期冲击模型核心实现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需求侧：价格弹性与高油价需求收缩共同作用</w:t>
      </w:r>
      <w:r>
        <w:t xml:space="preserve"> </w:t>
      </w:r>
      <w:r>
        <w:t xml:space="preserve">price_adjusted_demand = assumptions.base_demand * (price_ratio ** elasticity)</w:t>
      </w:r>
      <w:r>
        <w:t xml:space="preserve"> </w:t>
      </w:r>
      <w:r>
        <w:t xml:space="preserve">demand_decline = ramp(day_index, 0, assumptions.demand_decline_ramp_days,</w:t>
      </w:r>
      <w:r>
        <w:t xml:space="preserve"> </w:t>
      </w:r>
      <w:r>
        <w:t xml:space="preserve">assumptions.observed_demand_decline)</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39"/>
    <w:bookmarkStart w:id="140" w:name="f-参数校准模块"/>
    <w:p>
      <w:pPr>
        <w:pStyle w:val="Heading2"/>
      </w:pPr>
      <w:r>
        <w:t xml:space="preserve">F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40"/>
    <w:bookmarkStart w:id="141" w:name="g-中长期油价调节模型递推与政策缓冲"/>
    <w:p>
      <w:pPr>
        <w:pStyle w:val="Heading2"/>
      </w:pPr>
      <w:r>
        <w:t xml:space="preserve">G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41"/>
    <w:bookmarkStart w:id="142" w:name="h-长期状态转移递推"/>
    <w:p>
      <w:pPr>
        <w:pStyle w:val="Heading2"/>
      </w:pPr>
      <w:r>
        <w:t xml:space="preserve">H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展示长期预测中状态转移概率的递推方式。基础矩阵先给出缓和、维持、升级三类状态之间的常规切换概率，再由物理压力和</w:t>
      </w:r>
      <w:r>
        <w:t xml:space="preserve"> GPR/OVX </w:t>
      </w:r>
      <w:r>
        <w:rPr>
          <w:rFonts w:hint="eastAsia"/>
        </w:rPr>
        <w:t xml:space="preserve">综合风险压力对升级概率进行温和修正；后期缓和不再按日历时间机械触发，而由恢复证据门控。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probs = TRANSITION_MATRIX[STATE_INDEX[current_state]].copy()</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probs[STATE_INDEX["escalation"]] += 0.014 * risk_shift + 0.022 * physical_shift</w:t>
      </w:r>
      <w:r>
        <w:t xml:space="preserve"> </w:t>
      </w:r>
      <w:r>
        <w:t xml:space="preserve">probs[STATE_INDEX["easing"]] -= 0.010 * risk_shift + 0.014 * physical_shift</w:t>
      </w:r>
    </w:p>
    <w:p>
      <w:pPr>
        <w:pStyle w:val="BodyText"/>
      </w:pPr>
      <w:r>
        <w:t xml:space="preserve">if current_state == "escalation":</w:t>
      </w:r>
      <w:r>
        <w:t xml:space="preserve"> </w:t>
      </w:r>
      <w:r>
        <w:t xml:space="preserve">probs[STATE_INDEX["escalation"]] += 0.006 * risk_shift + 0.010 * physical_shift</w:t>
      </w:r>
      <w:r>
        <w:t xml:space="preserve"> </w:t>
      </w:r>
      <w:r>
        <w:t xml:space="preserve">elif current_state == "easing":</w:t>
      </w:r>
      <w:r>
        <w:t xml:space="preserve"> </w:t>
      </w:r>
      <w:r>
        <w:t xml:space="preserve">probs[STATE_INDEX["neutral"]] += 0.004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probs[STATE_INDEX["easing"]] += 0.04 * conditional_easing</w:t>
      </w:r>
      <w:r>
        <w:t xml:space="preserve"> </w:t>
      </w:r>
      <w:r>
        <w:t xml:space="preserve">probs[STATE_INDEX["escalation"]] -= 0.04 * conditional_easing</w:t>
      </w:r>
      <w:r>
        <w:t xml:space="preserve"> </w:t>
      </w:r>
      <w:r>
        <w:t xml:space="preserve">if day_index &gt;= 150:</w:t>
      </w:r>
      <w:r>
        <w:t xml:space="preserve"> </w:t>
      </w:r>
      <w:r>
        <w:t xml:space="preserve">probs[STATE_INDEX["easing"]] += 0.03 * conditional_easing</w:t>
      </w:r>
      <w:r>
        <w:t xml:space="preserve"> </w:t>
      </w:r>
      <w:r>
        <w:t xml:space="preserve">probs[STATE_INDEX["neutral"]] -= 0.02 * conditional_easing</w:t>
      </w:r>
      <w:r>
        <w:t xml:space="preserve"> </w:t>
      </w:r>
      <w:r>
        <w:t xml:space="preserve">probs[STATE_INDEX["escalation"]] -= 0.01 * conditional_easing</w:t>
      </w:r>
    </w:p>
    <w:p>
      <w:pPr>
        <w:pStyle w:val="BodyText"/>
      </w:pPr>
      <w:r>
        <w:t xml:space="preserve">probs = np.clip(probs, 0.01, 0.98)</w:t>
      </w:r>
      <w:r>
        <w:t xml:space="preserve"> </w:t>
      </w:r>
      <w:r>
        <w:t xml:space="preserve">return probs / probs.sum()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42"/>
    <w:bookmarkStart w:id="143" w:name="i-蒙特卡洛情景预测"/>
    <w:p>
      <w:pPr>
        <w:pStyle w:val="Heading2"/>
      </w:pPr>
      <w:r>
        <w:t xml:space="preserve">I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43"/>
    <w:bookmarkStart w:id="144" w:name="j-机制消融与统计检验"/>
    <w:p>
      <w:pPr>
        <w:pStyle w:val="Heading2"/>
      </w:pPr>
      <w:r>
        <w:t xml:space="preserve">J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44"/>
    <w:bookmarkStart w:id="145" w:name="k-独立计量检验补充"/>
    <w:p>
      <w:pPr>
        <w:pStyle w:val="Heading2"/>
      </w:pPr>
      <w:r>
        <w:t xml:space="preserve">K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45"/>
    <w:bookmarkStart w:id="146"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3.38 </w:t>
            </w:r>
            <w:r>
              <w:rPr>
                <w:rFonts w:hint="eastAsia"/>
              </w:rPr>
              <w:t xml:space="preserve">美元/桶，MAE</w:t>
            </w:r>
            <w:r>
              <w:t xml:space="preserve"> = 2.76 </w:t>
            </w:r>
            <w:r>
              <w:rPr>
                <w:rFonts w:hint="eastAsia"/>
              </w:rPr>
              <w:t xml:space="preserve">美元/桶，MAPE</w:t>
            </w:r>
            <w:r>
              <w:t xml:space="preserve"> = 2.76%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93.26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111.71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44.0%</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封锁风险衰减速度、地缘风险权重、供应中断量、不确定性与制度风险强度</w:t>
            </w:r>
          </w:p>
        </w:tc>
      </w:tr>
    </w:tbl>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32" Target="media/rId32.png" /><Relationship Type="http://schemas.openxmlformats.org/officeDocument/2006/relationships/image" Id="rId117" Target="media/rId117.png" /><Relationship Type="http://schemas.openxmlformats.org/officeDocument/2006/relationships/image" Id="rId18" Target="media/rId18.png" /><Relationship Type="http://schemas.openxmlformats.org/officeDocument/2006/relationships/image" Id="rId114" Target="media/rId114.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20" Target="media/rId12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55" Target="media/rId55.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2026-05-15T05:12:19Z</dcterms:created>
  <dcterms:modified xsi:type="dcterms:W3CDTF">2026-05-15T05:12:19Z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