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8.png" ContentType="image/png"/>
  <Override PartName="/word/media/rId98.png" ContentType="image/png"/>
  <Override PartName="/word/media/rId108.png" ContentType="image/png"/>
  <Override PartName="/word/media/rId105.png" ContentType="image/png"/>
  <Override PartName="/word/media/rId81.png" ContentType="image/png"/>
  <Override PartName="/word/media/rId101.png" ContentType="image/png"/>
  <Override PartName="/word/media/rId91.png" ContentType="image/png"/>
  <Override PartName="/word/media/rId94.png" ContentType="image/png"/>
  <Override PartName="/word/media/rId15.png" ContentType="image/png"/>
  <Override PartName="/word/media/rId22.png" ContentType="image/png"/>
  <Override PartName="/word/media/rId87.png" ContentType="image/png"/>
  <Override PartName="/word/media/rId78.png" ContentType="image/png"/>
  <Override PartName="/word/media/rId48.png" ContentType="image/png"/>
  <Override PartName="/word/media/rId67.png" ContentType="image/png"/>
  <Override PartName="/word/media/rId41.png" ContentType="image/png"/>
  <Override PartName="/word/media/rId55.png" ContentType="image/png"/>
  <Override PartName="/word/media/rId44.png" ContentType="image/png"/>
  <Override PartName="/word/media/rId62.png" ContentType="image/png"/>
  <Override PartName="/word/media/rId51.png" ContentType="image/png"/>
  <Override PartName="/word/media/rId71.png" ContentType="image/png"/>
  <Override PartName="/word/media/rId5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天乐观、中性、悲观三种情景路径。中性情景第</w:t>
      </w:r>
      <w:r>
        <w:t xml:space="preserve"> 180 </w:t>
      </w:r>
      <w:r>
        <w:rPr>
          <w:rFonts w:hint="eastAsia"/>
        </w:rPr>
        <w:t xml:space="preserve">天价格约为</w:t>
      </w:r>
      <w:r>
        <w:t xml:space="preserve"> 98.61 </w:t>
      </w:r>
      <w:r>
        <w:rPr>
          <w:rFonts w:hint="eastAsia"/>
        </w:rPr>
        <w:t xml:space="preserve">美元/桶，悲观情景第</w:t>
      </w:r>
      <w:r>
        <w:t xml:space="preserve"> 180 </w:t>
      </w:r>
      <w:r>
        <w:rPr>
          <w:rFonts w:hint="eastAsia"/>
        </w:rPr>
        <w:t xml:space="preserve">天约为</w:t>
      </w:r>
      <w:r>
        <w:t xml:space="preserve"> 114.49 </w:t>
      </w:r>
      <w:r>
        <w:rPr>
          <w:rFonts w:hint="eastAsia"/>
        </w:rPr>
        <w:t xml:space="preserve">美元/桶，且存在较高二次跳涨风险。敏感性分析表明，不确定性与制度风险强度、地缘风险权重和供应中断量是综合敏感度最高的三个因素；进一步的</w:t>
      </w:r>
      <w:r>
        <w:t xml:space="preserve"> 2000 </w:t>
      </w:r>
      <w:r>
        <w:rPr>
          <w:rFonts w:hint="eastAsia"/>
        </w:rPr>
        <w:t xml:space="preserve">次蒙特卡洛情景树显示，外推期最高价突破</w:t>
      </w:r>
      <w:r>
        <w:t xml:space="preserve"> 120 </w:t>
      </w:r>
      <w:r>
        <w:rPr>
          <w:rFonts w:hint="eastAsia"/>
        </w:rPr>
        <w:t xml:space="preserve">美元/桶的概率约为</w:t>
      </w:r>
      <w:r>
        <w:t xml:space="preserve"> </w:t>
      </w:r>
      <w:r>
        <w:rPr>
          <w:rFonts w:hint="eastAsia"/>
        </w:rPr>
        <w:t xml:space="preserve">8.0%，突破</w:t>
      </w:r>
      <w:r>
        <w:t xml:space="preserve"> 130 </w:t>
      </w:r>
      <w:r>
        <w:rPr>
          <w:rFonts w:hint="eastAsia"/>
        </w:rPr>
        <w:t xml:space="preserve">美元/桶的概率约为</w:t>
      </w:r>
      <w:r>
        <w:t xml:space="preserve"> </w:t>
      </w:r>
      <w:r>
        <w:rPr>
          <w:rFonts w:hint="eastAsia"/>
        </w:rPr>
        <w:t xml:space="preserve">0.5%。此外，Caldara-Iacoviello</w:t>
      </w:r>
      <w:r>
        <w:t xml:space="preserve"> GPR </w:t>
      </w:r>
      <w:r>
        <w:rPr>
          <w:rFonts w:hint="eastAsia"/>
        </w:rPr>
        <w:t xml:space="preserve">指数显示</w:t>
      </w:r>
      <w:r>
        <w:t xml:space="preserve"> 2026 </w:t>
      </w:r>
      <w:r>
        <w:rPr>
          <w:rFonts w:hint="eastAsia"/>
        </w:rPr>
        <w:t xml:space="preserve">年</w:t>
      </w:r>
      <w:r>
        <w:t xml:space="preserve"> 3 </w:t>
      </w:r>
      <w:r>
        <w:rPr>
          <w:rFonts w:hint="eastAsia"/>
        </w:rPr>
        <w:t xml:space="preserve">月和</w:t>
      </w:r>
      <w:r>
        <w:t xml:space="preserve"> 4 </w:t>
      </w:r>
      <w:r>
        <w:rPr>
          <w:rFonts w:hint="eastAsia"/>
        </w:rPr>
        <w:t xml:space="preserve">月地缘风险处于历史高分位，但滞后检验表明其不宜作为同月拟合输入。2017–2026</w:t>
      </w:r>
      <w:r>
        <w:t xml:space="preserve"> </w:t>
      </w:r>
      <w:r>
        <w:rPr>
          <w:rFonts w:hint="eastAsia"/>
        </w:rPr>
        <w:t xml:space="preserve">年同长度滚动窗口检验进一步显示，2026</w:t>
      </w:r>
      <w:r>
        <w:t xml:space="preserve"> </w:t>
      </w:r>
      <w:r>
        <w:rPr>
          <w:rFonts w:hint="eastAsia"/>
        </w:rPr>
        <w:t xml:space="preserve">冲突窗口累计收益率处于历史约</w:t>
      </w:r>
      <w:r>
        <w:t xml:space="preserve"> 99.3% </w:t>
      </w:r>
      <w:r>
        <w:rPr>
          <w:rFonts w:hint="eastAsia"/>
        </w:rPr>
        <w:t xml:space="preserve">分位、实现波动率处于约</w:t>
      </w:r>
      <w:r>
        <w:t xml:space="preserve"> 95.7% </w:t>
      </w:r>
      <w:r>
        <w:rPr>
          <w:rFonts w:hint="eastAsia"/>
        </w:rPr>
        <w:t xml:space="preserve">分位，说明该窗口对普通时间序列基准显著更难。本文据此将</w:t>
      </w:r>
      <w:r>
        <w:t xml:space="preserve"> GPR </w:t>
      </w:r>
      <w:r>
        <w:rPr>
          <w:rFonts w:hint="eastAsia"/>
        </w:rPr>
        <w:t xml:space="preserve">和历史样本定位为外部审计证据，而非短期点预测因子。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阶段</w:t>
            </w:r>
            <w:r>
              <w:t xml:space="preserve"> 1–4 </w:t>
            </w: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阶段</w:t>
            </w:r>
            <w:r>
              <w:t xml:space="preserve"> 5–6 </w:t>
            </w: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4"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天三情景预测模型，并通过敏感性分析、蒙特卡洛情景树、滞后地缘风险指数审计和历史样本稳健性检验识别影响长期价格平衡点和二次跳涨风险的关键变量。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End w:id="14"/>
    <w:bookmarkStart w:id="26" w:name="数据处理与描述性分析"/>
    <w:p>
      <w:pPr>
        <w:pStyle w:val="Heading1"/>
      </w:pPr>
      <w:r>
        <w:rPr>
          <w:rFonts w:hint="eastAsia"/>
        </w:rPr>
        <w:t xml:space="preserve">数据处理与描述性分析</w:t>
      </w:r>
    </w:p>
    <w:bookmarkStart w:id="21"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审计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该外部审计带来三个约束。第一，美国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为审计地缘风险溢价是否具有外部事实基础，本文进一步接入</w:t>
      </w:r>
      <w:r>
        <w:t xml:space="preserve"> Caldara-Iacoviello </w:t>
      </w:r>
      <w:r>
        <w:rPr>
          <w:rFonts w:hint="eastAsia"/>
        </w:rPr>
        <w:t xml:space="preserve">官方</w:t>
      </w:r>
      <w:r>
        <w:t xml:space="preserve"> GPR </w:t>
      </w:r>
      <w:r>
        <w:rPr>
          <w:rFonts w:hint="eastAsia"/>
        </w:rPr>
        <w:t xml:space="preserve">月度指数。GPR</w:t>
      </w:r>
      <w:r>
        <w:t xml:space="preserve"> </w:t>
      </w:r>
      <w:r>
        <w:rPr>
          <w:rFonts w:hint="eastAsia"/>
        </w:rPr>
        <w:t xml:space="preserve">指数由新闻文本构造，因此不能直接使用同月</w:t>
      </w:r>
      <w:r>
        <w:t xml:space="preserve"> GPR </w:t>
      </w:r>
      <w:r>
        <w:rPr>
          <w:rFonts w:hint="eastAsia"/>
        </w:rPr>
        <w:t xml:space="preserve">去解释同月油价，否则会产生</w:t>
      </w:r>
      <w:r>
        <w:rPr>
          <w:rFonts w:hint="eastAsia"/>
        </w:rPr>
        <w:t xml:space="preserve">“油价上涨引发新闻恐慌，新闻恐慌再解释油价”</w:t>
      </w:r>
      <w:r>
        <w:rPr>
          <w:rFonts w:hint="eastAsia"/>
        </w:rPr>
        <w:t xml:space="preserve">的内生性循环。本文只将其作为外部审计变量，并在统计关系中使用滞后一期口径。</w:t>
      </w:r>
    </w:p>
    <w:p>
      <w:pPr>
        <w:pStyle w:val="BodyText"/>
      </w:pPr>
      <w:r>
        <w:rPr>
          <w:rFonts w:hint="eastAsia"/>
        </w:rPr>
        <w:t xml:space="preserve">阶段</w:t>
      </w:r>
      <w:r>
        <w:t xml:space="preserve"> 9 </w:t>
      </w:r>
      <w:r>
        <w:rPr>
          <w:rFonts w:hint="eastAsia"/>
        </w:rPr>
        <w:t xml:space="preserve">审计显示，2026</w:t>
      </w:r>
      <w:r>
        <w:t xml:space="preserve"> </w:t>
      </w:r>
      <w:r>
        <w:rPr>
          <w:rFonts w:hint="eastAsia"/>
        </w:rPr>
        <w:t xml:space="preserve">年</w:t>
      </w:r>
      <w:r>
        <w:t xml:space="preserve"> 3 </w:t>
      </w:r>
      <w:r>
        <w:rPr>
          <w:rFonts w:hint="eastAsia"/>
        </w:rPr>
        <w:t xml:space="preserve">月</w:t>
      </w:r>
      <w:r>
        <w:t xml:space="preserve"> GPR </w:t>
      </w:r>
      <w:r>
        <w:rPr>
          <w:rFonts w:hint="eastAsia"/>
        </w:rPr>
        <w:t xml:space="preserve">为</w:t>
      </w:r>
      <w:r>
        <w:t xml:space="preserve"> </w:t>
      </w:r>
      <w:r>
        <w:rPr>
          <w:rFonts w:hint="eastAsia"/>
        </w:rPr>
        <w:t xml:space="preserve">326.99，位于</w:t>
      </w:r>
      <w:r>
        <w:t xml:space="preserve"> 1985–2025 </w:t>
      </w:r>
      <w:r>
        <w:rPr>
          <w:rFonts w:hint="eastAsia"/>
        </w:rPr>
        <w:t xml:space="preserve">历史样本约</w:t>
      </w:r>
      <w:r>
        <w:t xml:space="preserve"> 98.98% </w:t>
      </w:r>
      <w:r>
        <w:rPr>
          <w:rFonts w:hint="eastAsia"/>
        </w:rPr>
        <w:t xml:space="preserve">分位；2026</w:t>
      </w:r>
      <w:r>
        <w:t xml:space="preserve"> </w:t>
      </w:r>
      <w:r>
        <w:rPr>
          <w:rFonts w:hint="eastAsia"/>
        </w:rPr>
        <w:t xml:space="preserve">年</w:t>
      </w:r>
      <w:r>
        <w:t xml:space="preserve"> 4 </w:t>
      </w:r>
      <w:r>
        <w:rPr>
          <w:rFonts w:hint="eastAsia"/>
        </w:rPr>
        <w:t xml:space="preserve">月</w:t>
      </w:r>
      <w:r>
        <w:t xml:space="preserve"> GPR </w:t>
      </w:r>
      <w:r>
        <w:rPr>
          <w:rFonts w:hint="eastAsia"/>
        </w:rPr>
        <w:t xml:space="preserve">为</w:t>
      </w:r>
      <w:r>
        <w:t xml:space="preserve"> </w:t>
      </w:r>
      <w:r>
        <w:rPr>
          <w:rFonts w:hint="eastAsia"/>
        </w:rPr>
        <w:t xml:space="preserve">230.77，位于约</w:t>
      </w:r>
      <w:r>
        <w:t xml:space="preserve"> 97.76% </w:t>
      </w:r>
      <w:r>
        <w:rPr>
          <w:rFonts w:hint="eastAsia"/>
        </w:rPr>
        <w:t xml:space="preserve">分位。这说明冲突窗口确实对应罕见的地缘风险高位，支持模型中设置风险溢价和恐慌衰减机制。但同时，2017–2026</w:t>
      </w:r>
      <w:r>
        <w:t xml:space="preserve"> </w:t>
      </w:r>
      <w:r>
        <w:rPr>
          <w:rFonts w:hint="eastAsia"/>
        </w:rPr>
        <w:t xml:space="preserve">样本中滞后</w:t>
      </w:r>
      <w:r>
        <w:t xml:space="preserve"> 1 </w:t>
      </w:r>
      <w:r>
        <w:rPr>
          <w:rFonts w:hint="eastAsia"/>
        </w:rPr>
        <w:t xml:space="preserve">月</w:t>
      </w:r>
      <w:r>
        <w:t xml:space="preserve"> GPR </w:t>
      </w:r>
      <w:r>
        <w:rPr>
          <w:rFonts w:hint="eastAsia"/>
        </w:rPr>
        <w:t xml:space="preserve">与本月油价月度收益的相关系数仅为</w:t>
      </w:r>
      <w:r>
        <w:t xml:space="preserve"> </w:t>
      </w:r>
      <w:r>
        <w:rPr>
          <w:rFonts w:hint="eastAsia"/>
        </w:rPr>
        <w:t xml:space="preserve">0.030，线性回归</w:t>
      </w:r>
      <w:r>
        <w:t xml:space="preserve"> </w:t>
      </w:r>
      <m:oMath>
        <m:sSup>
          <m:e>
            <m:r>
              <m:t>R</m:t>
            </m:r>
          </m:e>
          <m:sup>
            <m:r>
              <m:t>2</m:t>
            </m:r>
          </m:sup>
        </m:sSup>
      </m:oMath>
      <w:r>
        <w:t xml:space="preserve"> </w:t>
      </w:r>
      <w:r>
        <w:rPr>
          <w:rFonts w:hint="eastAsia"/>
        </w:rPr>
        <w:t xml:space="preserve">约为</w:t>
      </w:r>
      <w:r>
        <w:t xml:space="preserve"> </w:t>
      </w:r>
      <w:r>
        <w:rPr>
          <w:rFonts w:hint="eastAsia"/>
        </w:rPr>
        <w:t xml:space="preserve">0.001，说明它不能被包装成强短期收益预测因子。</w:t>
      </w:r>
    </w:p>
    <w:p>
      <w:pPr>
        <w:pStyle w:val="CaptionedFigure"/>
      </w:pPr>
      <w:r>
        <w:drawing>
          <wp:inline>
            <wp:extent cx="4907280" cy="2453640"/>
            <wp:effectExtent b="0" l="0" r="0" t="0"/>
            <wp:docPr descr="" title="" id="16" name="Picture"/>
            <a:graphic>
              <a:graphicData uri="http://schemas.openxmlformats.org/drawingml/2006/picture">
                <pic:pic>
                  <pic:nvPicPr>
                    <pic:cNvPr descr="price_trend.png" id="17" name="Picture"/>
                    <pic:cNvPicPr>
                      <a:picLocks noChangeArrowheads="1" noChangeAspect="1"/>
                    </pic:cNvPicPr>
                  </pic:nvPicPr>
                  <pic:blipFill>
                    <a:blip r:embed="rId15"/>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9" name="Picture"/>
            <a:graphic>
              <a:graphicData uri="http://schemas.openxmlformats.org/drawingml/2006/picture">
                <pic:pic>
                  <pic:nvPicPr>
                    <pic:cNvPr descr="event_window_price.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return_volatility.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5"/>
    <w:bookmarkEnd w:id="26"/>
    <w:bookmarkStart w:id="30"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Start w:id="29"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五类。题面参数和附件统计量构成模型硬约束；官方外部数据只用于数量级审计；校准参数必须通过基准对比、消融实验和扰动检验；长期情景参数只用于</w:t>
      </w:r>
      <w:r>
        <w:t xml:space="preserve"> 60–180 </w:t>
      </w:r>
      <w:r>
        <w:rPr>
          <w:rFonts w:hint="eastAsia"/>
        </w:rPr>
        <w:t xml:space="preserve">天条件外推，不参与短期窗口的误差拟合。</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官方外部审计量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SPR、商业库存、原油产量，Caldara-Iacoviello</w:t>
            </w:r>
            <w:r>
              <w:t xml:space="preserve"> GPR </w:t>
            </w:r>
            <w:r>
              <w:rPr>
                <w:rFonts w:hint="eastAsia"/>
              </w:rPr>
              <w:t xml:space="preserve">指数</w:t>
            </w:r>
          </w:p>
        </w:tc>
        <w:tc>
          <w:tcPr/>
          <w:p>
            <w:pPr>
              <w:pStyle w:val="Compact"/>
              <w:jc w:val="left"/>
            </w:pPr>
            <w:r>
              <w:rPr>
                <w:rFonts w:hint="eastAsia"/>
              </w:rPr>
              <w:t xml:space="preserve">只用于审计长期约束和风险高位事实，不替代附件真实价格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在固定机制结构内校准，并接受消融、扰动和硬编码审计</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：低弹性仍用于传统供需反事实上界，解释为什么静态模型会给出</w:t>
      </w:r>
      <w:r>
        <w:t xml:space="preserve"> 278–337 </w:t>
      </w:r>
      <w:r>
        <w:rPr>
          <w:rFonts w:hint="eastAsia"/>
        </w:rPr>
        <w:t xml:space="preserve">美元/桶的高价压力；</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bookmarkEnd w:id="29"/>
    <w:bookmarkEnd w:id="30"/>
    <w:bookmarkStart w:id="36" w:name="传统供需基准模型"/>
    <w:p>
      <w:pPr>
        <w:pStyle w:val="Heading1"/>
      </w:pPr>
      <w:r>
        <w:rPr>
          <w:rFonts w:hint="eastAsia"/>
        </w:rPr>
        <w:t xml:space="preserve">传统供需基准模型</w:t>
      </w:r>
    </w:p>
    <w:bookmarkStart w:id="31"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1"/>
    <w:bookmarkStart w:id="35"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3" name="Picture"/>
            <a:graphic>
              <a:graphicData uri="http://schemas.openxmlformats.org/drawingml/2006/picture">
                <pic:pic>
                  <pic:nvPicPr>
                    <pic:cNvPr descr="baseline_vs_actual.png" id="34" name="Picture"/>
                    <pic:cNvPicPr>
                      <a:picLocks noChangeArrowheads="1" noChangeAspect="1"/>
                    </pic:cNvPicPr>
                  </pic:nvPicPr>
                  <pic:blipFill>
                    <a:blip r:embed="rId32"/>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5"/>
    <w:bookmarkEnd w:id="36"/>
    <w:bookmarkStart w:id="39"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bookmarkStart w:id="37"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7"/>
    <w:bookmarkStart w:id="38"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需要强调，本文不把市场价格形成层视为任意补丁：风险溢价、缓冲确认折价和预期修复折价只有在具有经济含义、方向可解释、消融后误差明显恶化且扰动后结论保持稳定时才保留在主模型中。</w:t>
      </w:r>
    </w:p>
    <w:bookmarkEnd w:id="38"/>
    <w:bookmarkEnd w:id="39"/>
    <w:bookmarkStart w:id="76" w:name="参数校准与模型检验"/>
    <w:p>
      <w:pPr>
        <w:pStyle w:val="Heading1"/>
      </w:pPr>
      <w:r>
        <w:rPr>
          <w:rFonts w:hint="eastAsia"/>
        </w:rPr>
        <w:t xml:space="preserve">参数校准与模型检验</w:t>
      </w:r>
    </w:p>
    <w:bookmarkStart w:id="40"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不确定性/制度风险强度</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防御性检验。本文后续所有模型评价均围绕这一区分展开，避免把校准参数包装成外生事实。</w:t>
      </w:r>
    </w:p>
    <w:bookmarkEnd w:id="40"/>
    <w:bookmarkStart w:id="47"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2" name="Picture"/>
            <a:graphic>
              <a:graphicData uri="http://schemas.openxmlformats.org/drawingml/2006/picture">
                <pic:pic>
                  <pic:nvPicPr>
                    <pic:cNvPr descr="短期模型拟合效果.png" id="43" name="Picture"/>
                    <pic:cNvPicPr>
                      <a:picLocks noChangeArrowheads="1" noChangeAspect="1"/>
                    </pic:cNvPicPr>
                  </pic:nvPicPr>
                  <pic:blipFill>
                    <a:blip r:embed="rId4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5" name="Picture"/>
            <a:graphic>
              <a:graphicData uri="http://schemas.openxmlformats.org/drawingml/2006/picture">
                <pic:pic>
                  <pic:nvPicPr>
                    <pic:cNvPr descr="短期模型机制贡献.png" id="46" name="Picture"/>
                    <pic:cNvPicPr>
                      <a:picLocks noChangeArrowheads="1" noChangeAspect="1"/>
                    </pic:cNvPicPr>
                  </pic:nvPicPr>
                  <pic:blipFill>
                    <a:blip r:embed="rId44"/>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7"/>
    <w:bookmarkStart w:id="54"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模型检验框架</w:t>
      </w:r>
    </w:p>
    <w:tbl>
      <w:tblPr>
        <w:tblStyle w:val="Table"/>
        <w:tblW w:type="auto" w:w="0"/>
        <w:tblLook w:firstRow="1" w:lastRow="0" w:firstColumn="0" w:lastColumn="0" w:noHBand="0" w:noVBand="0" w:val="0020"/>
        <w:tblCaption w:val="模型检验框架"/>
      </w:tblPr>
      <w:tblGrid>
        <w:gridCol w:w="2640"/>
        <w:gridCol w:w="2640"/>
        <w:gridCol w:w="264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需要回答的问题</w:t>
            </w:r>
          </w:p>
        </w:tc>
        <w:tc>
          <w:tcPr/>
          <w:p>
            <w:pPr>
              <w:pStyle w:val="Compact"/>
              <w:jc w:val="left"/>
            </w:pPr>
            <w:r>
              <w:rPr>
                <w:rFonts w:hint="eastAsia"/>
              </w:rPr>
              <w:t xml:space="preserve">本文对应方法</w:t>
            </w:r>
          </w:p>
        </w:tc>
      </w:tr>
      <w:tr>
        <w:tc>
          <w:tcPr/>
          <w:p>
            <w:pPr>
              <w:pStyle w:val="Compact"/>
              <w:jc w:val="left"/>
            </w:pPr>
            <w:r>
              <w:rPr>
                <w:rFonts w:hint="eastAsia"/>
              </w:rPr>
              <w:t xml:space="preserve">准确性</w:t>
            </w:r>
          </w:p>
        </w:tc>
        <w:tc>
          <w:tcPr/>
          <w:p>
            <w:pPr>
              <w:pStyle w:val="Compact"/>
              <w:jc w:val="left"/>
            </w:pPr>
            <w:r>
              <w:rPr>
                <w:rFonts w:hint="eastAsia"/>
              </w:rPr>
              <w:t xml:space="preserve">模型误差是否足够低？</w:t>
            </w:r>
          </w:p>
        </w:tc>
        <w:tc>
          <w:tcPr/>
          <w:p>
            <w:pPr>
              <w:pStyle w:val="Compact"/>
              <w:jc w:val="left"/>
            </w:pPr>
            <w:r>
              <w:rPr>
                <w:rFonts w:hint="eastAsia"/>
              </w:rPr>
              <w:t xml:space="preserve">RMSE、MAE、MAPE、分段误差</w:t>
            </w:r>
          </w:p>
        </w:tc>
      </w:tr>
      <w:tr>
        <w:tc>
          <w:tcPr/>
          <w:p>
            <w:pPr>
              <w:pStyle w:val="Compact"/>
              <w:jc w:val="left"/>
            </w:pPr>
            <w:r>
              <w:rPr>
                <w:rFonts w:hint="eastAsia"/>
              </w:rPr>
              <w:t xml:space="preserve">有效性</w:t>
            </w:r>
          </w:p>
        </w:tc>
        <w:tc>
          <w:tcPr/>
          <w:p>
            <w:pPr>
              <w:pStyle w:val="Compact"/>
              <w:jc w:val="left"/>
            </w:pPr>
            <w:r>
              <w:rPr>
                <w:rFonts w:hint="eastAsia"/>
              </w:rPr>
              <w:t xml:space="preserve">是否打败朴素基准？</w:t>
            </w:r>
          </w:p>
        </w:tc>
        <w:tc>
          <w:tcPr/>
          <w:p>
            <w:pPr>
              <w:pStyle w:val="Compact"/>
              <w:jc w:val="left"/>
            </w:pPr>
            <w:r>
              <w:rPr>
                <w:rFonts w:hint="eastAsia"/>
              </w:rPr>
              <w:t xml:space="preserve">上一日基准、三日均值、随机游走、滚动</w:t>
            </w:r>
            <w:r>
              <w:t xml:space="preserve"> ARIMA</w:t>
            </w:r>
          </w:p>
        </w:tc>
      </w:tr>
      <w:tr>
        <w:tc>
          <w:tcPr/>
          <w:p>
            <w:pPr>
              <w:pStyle w:val="Compact"/>
              <w:jc w:val="left"/>
            </w:pPr>
            <w:r>
              <w:rPr>
                <w:rFonts w:hint="eastAsia"/>
              </w:rPr>
              <w:t xml:space="preserve">时序性</w:t>
            </w:r>
          </w:p>
        </w:tc>
        <w:tc>
          <w:tcPr/>
          <w:p>
            <w:pPr>
              <w:pStyle w:val="Compact"/>
              <w:jc w:val="left"/>
            </w:pPr>
            <w:r>
              <w:rPr>
                <w:rFonts w:hint="eastAsia"/>
              </w:rPr>
              <w:t xml:space="preserve">是否只是慢半拍跟随？</w:t>
            </w:r>
          </w:p>
        </w:tc>
        <w:tc>
          <w:tcPr/>
          <w:p>
            <w:pPr>
              <w:pStyle w:val="Compact"/>
              <w:jc w:val="left"/>
            </w:pPr>
            <w:r>
              <w:rPr>
                <w:rFonts w:hint="eastAsia"/>
              </w:rPr>
              <w:t xml:space="preserve">曲线平移检验、拐点局部检验</w:t>
            </w:r>
          </w:p>
        </w:tc>
      </w:tr>
      <w:tr>
        <w:tc>
          <w:tcPr/>
          <w:p>
            <w:pPr>
              <w:pStyle w:val="Compact"/>
              <w:jc w:val="left"/>
            </w:pPr>
            <w:r>
              <w:rPr>
                <w:rFonts w:hint="eastAsia"/>
              </w:rPr>
              <w:t xml:space="preserve">机制性</w:t>
            </w:r>
          </w:p>
        </w:tc>
        <w:tc>
          <w:tcPr/>
          <w:p>
            <w:pPr>
              <w:pStyle w:val="Compact"/>
              <w:jc w:val="left"/>
            </w:pPr>
            <w:r>
              <w:rPr>
                <w:rFonts w:hint="eastAsia"/>
              </w:rPr>
              <w:t xml:space="preserve">每个机制是否有贡献？</w:t>
            </w:r>
          </w:p>
        </w:tc>
        <w:tc>
          <w:tcPr/>
          <w:p>
            <w:pPr>
              <w:pStyle w:val="Compact"/>
              <w:jc w:val="left"/>
            </w:pPr>
            <w:r>
              <w:rPr>
                <w:rFonts w:hint="eastAsia"/>
              </w:rPr>
              <w:t xml:space="preserve">SPR、库存、绕道、需求、风险、预期修复消融实验</w:t>
            </w:r>
          </w:p>
        </w:tc>
      </w:tr>
      <w:tr>
        <w:tc>
          <w:tcPr/>
          <w:p>
            <w:pPr>
              <w:pStyle w:val="Compact"/>
              <w:jc w:val="left"/>
            </w:pPr>
            <w:r>
              <w:rPr>
                <w:rFonts w:hint="eastAsia"/>
              </w:rPr>
              <w:t xml:space="preserve">稳健性</w:t>
            </w:r>
          </w:p>
        </w:tc>
        <w:tc>
          <w:tcPr/>
          <w:p>
            <w:pPr>
              <w:pStyle w:val="Compact"/>
              <w:jc w:val="left"/>
            </w:pPr>
            <w:r>
              <w:rPr>
                <w:rFonts w:hint="eastAsia"/>
              </w:rPr>
              <w:t xml:space="preserve">是否依赖少数神奇参数？</w:t>
            </w:r>
          </w:p>
        </w:tc>
        <w:tc>
          <w:tcPr/>
          <w:p>
            <w:pPr>
              <w:pStyle w:val="Compact"/>
              <w:jc w:val="left"/>
            </w:pPr>
            <m:oMath>
              <m:r>
                <m:rPr>
                  <m:sty m:val="p"/>
                </m:rPr>
                <m:t>±</m:t>
              </m:r>
              <m:r>
                <m:t>15</m:t>
              </m:r>
              <m:r>
                <m:rPr>
                  <m:sty m:val="p"/>
                </m:rPr>
                <m:t>%</m:t>
              </m:r>
            </m:oMath>
            <w:r>
              <w:t xml:space="preserve"> </w:t>
            </w:r>
            <w:r>
              <w:rPr>
                <w:rFonts w:hint="eastAsia"/>
              </w:rPr>
              <w:t xml:space="preserve">参数扰动、局部优秀参数邻域</w:t>
            </w:r>
          </w:p>
        </w:tc>
      </w:tr>
      <w:tr>
        <w:tc>
          <w:tcPr/>
          <w:p>
            <w:pPr>
              <w:pStyle w:val="Compact"/>
              <w:jc w:val="left"/>
            </w:pPr>
            <w:r>
              <w:rPr>
                <w:rFonts w:hint="eastAsia"/>
              </w:rPr>
              <w:t xml:space="preserve">合规性</w:t>
            </w:r>
          </w:p>
        </w:tc>
        <w:tc>
          <w:tcPr/>
          <w:p>
            <w:pPr>
              <w:pStyle w:val="Compact"/>
              <w:jc w:val="left"/>
            </w:pPr>
            <w:r>
              <w:rPr>
                <w:rFonts w:hint="eastAsia"/>
              </w:rPr>
              <w:t xml:space="preserve">是否把结论硬写进代码？</w:t>
            </w:r>
          </w:p>
        </w:tc>
        <w:tc>
          <w:tcPr/>
          <w:p>
            <w:pPr>
              <w:pStyle w:val="Compact"/>
              <w:jc w:val="left"/>
            </w:pPr>
            <w:r>
              <w:rPr>
                <w:rFonts w:hint="eastAsia"/>
              </w:rPr>
              <w:t xml:space="preserve">递推代码硬编码审计、价格上限触发检查</w:t>
            </w:r>
          </w:p>
        </w:tc>
      </w:tr>
    </w:tbl>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9" name="Picture"/>
            <a:graphic>
              <a:graphicData uri="http://schemas.openxmlformats.org/drawingml/2006/picture">
                <pic:pic>
                  <pic:nvPicPr>
                    <pic:cNvPr descr="短期模型基准对比.png" id="50" name="Picture"/>
                    <pic:cNvPicPr>
                      <a:picLocks noChangeArrowheads="1" noChangeAspect="1"/>
                    </pic:cNvPicPr>
                  </pic:nvPicPr>
                  <pic:blipFill>
                    <a:blip r:embed="rId48"/>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2" name="Picture"/>
            <a:graphic>
              <a:graphicData uri="http://schemas.openxmlformats.org/drawingml/2006/picture">
                <pic:pic>
                  <pic:nvPicPr>
                    <pic:cNvPr descr="短期模型滞后平移检验.png" id="53" name="Picture"/>
                    <pic:cNvPicPr>
                      <a:picLocks noChangeArrowheads="1" noChangeAspect="1"/>
                    </pic:cNvPicPr>
                  </pic:nvPicPr>
                  <pic:blipFill>
                    <a:blip r:embed="rId51"/>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4"/>
    <w:bookmarkStart w:id="61"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6" name="Picture"/>
            <a:graphic>
              <a:graphicData uri="http://schemas.openxmlformats.org/drawingml/2006/picture">
                <pic:pic>
                  <pic:nvPicPr>
                    <pic:cNvPr descr="短期模型机制消融实验.png" id="57" name="Picture"/>
                    <pic:cNvPicPr>
                      <a:picLocks noChangeArrowheads="1" noChangeAspect="1"/>
                    </pic:cNvPicPr>
                  </pic:nvPicPr>
                  <pic:blipFill>
                    <a:blip r:embed="rId55"/>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9" name="Picture"/>
            <a:graphic>
              <a:graphicData uri="http://schemas.openxmlformats.org/drawingml/2006/picture">
                <pic:pic>
                  <pic:nvPicPr>
                    <pic:cNvPr descr="短期模型过拟合压力测试.png" id="60" name="Picture"/>
                    <pic:cNvPicPr>
                      <a:picLocks noChangeArrowheads="1" noChangeAspect="1"/>
                    </pic:cNvPicPr>
                  </pic:nvPicPr>
                  <pic:blipFill>
                    <a:blip r:embed="rId58"/>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1"/>
    <w:bookmarkStart w:id="65"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3" name="Picture"/>
            <a:graphic>
              <a:graphicData uri="http://schemas.openxmlformats.org/drawingml/2006/picture">
                <pic:pic>
                  <pic:nvPicPr>
                    <pic:cNvPr descr="短期模型残差诊断增强.png" id="64" name="Picture"/>
                    <pic:cNvPicPr>
                      <a:picLocks noChangeArrowheads="1" noChangeAspect="1"/>
                    </pic:cNvPicPr>
                  </pic:nvPicPr>
                  <pic:blipFill>
                    <a:blip r:embed="rId6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5"/>
    <w:bookmarkStart w:id="66"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6"/>
    <w:bookmarkStart w:id="70"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8" name="Picture"/>
            <a:graphic>
              <a:graphicData uri="http://schemas.openxmlformats.org/drawingml/2006/picture">
                <pic:pic>
                  <pic:nvPicPr>
                    <pic:cNvPr descr="短期模型拐点局部检验.png" id="69" name="Picture"/>
                    <pic:cNvPicPr>
                      <a:picLocks noChangeArrowheads="1" noChangeAspect="1"/>
                    </pic:cNvPicPr>
                  </pic:nvPicPr>
                  <pic:blipFill>
                    <a:blip r:embed="rId67"/>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70"/>
    <w:bookmarkStart w:id="74"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2" name="Picture"/>
            <a:graphic>
              <a:graphicData uri="http://schemas.openxmlformats.org/drawingml/2006/picture">
                <pic:pic>
                  <pic:nvPicPr>
                    <pic:cNvPr descr="短期模型稳健性带.png" id="73" name="Picture"/>
                    <pic:cNvPicPr>
                      <a:picLocks noChangeArrowheads="1" noChangeAspect="1"/>
                    </pic:cNvPicPr>
                  </pic:nvPicPr>
                  <pic:blipFill>
                    <a:blip r:embed="rId7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4"/>
    <w:bookmarkStart w:id="75"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5"/>
    <w:bookmarkEnd w:id="76"/>
    <w:bookmarkStart w:id="85" w:name="天三情景预测"/>
    <w:p>
      <w:pPr>
        <w:pStyle w:val="Heading1"/>
      </w:pPr>
      <w:r>
        <w:t xml:space="preserve">60–180 </w:t>
      </w:r>
      <w:r>
        <w:rPr>
          <w:rFonts w:hint="eastAsia"/>
        </w:rPr>
        <w:t xml:space="preserve">天三情景预测</w:t>
      </w:r>
    </w:p>
    <w:bookmarkStart w:id="77"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长期三情景图中的单条曲线是条件中心路径，而不是对未来每日收盘价的精确点预测。其形状较平滑，是因为模型刻画的是供应恢复、SPR</w:t>
      </w:r>
      <w:r>
        <w:t xml:space="preserve"> </w:t>
      </w:r>
      <w:r>
        <w:rPr>
          <w:rFonts w:hint="eastAsia"/>
        </w:rPr>
        <w:t xml:space="preserve">收缩、需求弹性调整和风险溢价衰减等慢变量；真实市场中的新闻冲击、风险偏好变化和短期波动会使实际价格围绕中心路径震荡。因此，本文不以中性线是否逐日命中未来价格作为长期模型质量标准，而以机制合理性、官方外生数据审计、敏感性分析和蒙特卡洛概率区间共同评价长期预测可信度。</w:t>
      </w:r>
    </w:p>
    <w:p>
      <w:pPr>
        <w:pStyle w:val="BodyText"/>
      </w:pPr>
      <w:r>
        <w:rPr>
          <w:rFonts w:hint="eastAsia"/>
        </w:rPr>
        <w:t xml:space="preserve">换言之，长期部分的正确读法不是</w:t>
      </w:r>
      <w:r>
        <w:rPr>
          <w:rFonts w:hint="eastAsia"/>
        </w:rPr>
        <w:t xml:space="preserve">“第</w:t>
      </w:r>
      <w:r>
        <w:t xml:space="preserve"> 180 </w:t>
      </w:r>
      <w:r>
        <w:rPr>
          <w:rFonts w:hint="eastAsia"/>
        </w:rPr>
        <w:t xml:space="preserve">天一定等于</w:t>
      </w:r>
      <w:r>
        <w:t xml:space="preserve"> 98.61 </w:t>
      </w:r>
      <w:r>
        <w:rPr>
          <w:rFonts w:hint="eastAsia"/>
        </w:rPr>
        <w:t xml:space="preserve">美元/桶”</w:t>
      </w:r>
      <w:r>
        <w:rPr>
          <w:rFonts w:hint="eastAsia"/>
        </w:rPr>
        <w:t xml:space="preserve">，而是</w:t>
      </w:r>
      <w:r>
        <w:rPr>
          <w:rFonts w:hint="eastAsia"/>
        </w:rPr>
        <w:t xml:space="preserve">“在中性政策缓冲、供给恢复和风险溢价衰减假设下，中心路径收敛到约</w:t>
      </w:r>
      <w:r>
        <w:t xml:space="preserve"> 100 </w:t>
      </w:r>
      <w:r>
        <w:rPr>
          <w:rFonts w:hint="eastAsia"/>
        </w:rPr>
        <w:t xml:space="preserve">美元/桶附近；若多个不利因素同时出现，价格仍可能进入</w:t>
      </w:r>
      <w:r>
        <w:t xml:space="preserve"> 120 </w:t>
      </w:r>
      <w:r>
        <w:rPr>
          <w:rFonts w:hint="eastAsia"/>
        </w:rPr>
        <w:t xml:space="preserve">美元/桶以上的尾部区间”</w:t>
      </w:r>
      <w:r>
        <w:rPr>
          <w:rFonts w:hint="eastAsia"/>
        </w:rPr>
        <w:t xml:space="preserve">。因此，三情景中心线需要与第</w:t>
      </w:r>
      <w:r>
        <w:t xml:space="preserve"> </w:t>
      </w:r>
      <w:hyperlink w:anchor="sec:monte-carlo">
        <w:r>
          <w:rPr>
            <w:rStyle w:val="Hyperlink"/>
          </w:rPr>
          <w:t xml:space="preserve">9.3</w:t>
        </w:r>
      </w:hyperlink>
      <w:r>
        <w:t xml:space="preserve"> </w:t>
      </w:r>
      <w:r>
        <w:rPr>
          <w:rFonts w:hint="eastAsia"/>
        </w:rPr>
        <w:t xml:space="preserve">节蒙特卡洛扇形区间合读。</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时，过剩供给通过较弱的折价项向下拉动目标价格。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释放受限、绕道能力偏低且制度风险溢价持续；中性情景则采用阶段</w:t>
      </w:r>
      <w:r>
        <w:t xml:space="preserve"> 4 </w:t>
      </w:r>
      <w:r>
        <w:rPr>
          <w:rFonts w:hint="eastAsia"/>
        </w:rPr>
        <w:t xml:space="preserve">综合最优参数附近的中心设定。后续敏感性分析和蒙特卡洛抽样用于检验：当这些假设联合变化时，价格中心路径和尾部风险是否仍保持一致。</w:t>
      </w:r>
    </w:p>
    <w:bookmarkEnd w:id="77"/>
    <w:bookmarkStart w:id="84"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95.73</w:t>
            </w:r>
          </w:p>
        </w:tc>
        <w:tc>
          <w:tcPr/>
          <w:p>
            <w:pPr>
              <w:pStyle w:val="Compact"/>
              <w:jc w:val="right"/>
            </w:pPr>
            <w:r>
              <w:t xml:space="preserve">94.78</w:t>
            </w:r>
          </w:p>
        </w:tc>
        <w:tc>
          <w:tcPr/>
          <w:p>
            <w:pPr>
              <w:pStyle w:val="Compact"/>
              <w:jc w:val="right"/>
            </w:pPr>
            <w:r>
              <w:t xml:space="preserve">91.24</w:t>
            </w:r>
          </w:p>
        </w:tc>
        <w:tc>
          <w:tcPr/>
          <w:p>
            <w:pPr>
              <w:pStyle w:val="Compact"/>
              <w:jc w:val="right"/>
            </w:pPr>
            <w:r>
              <w:t xml:space="preserve">104.16</w:t>
            </w:r>
          </w:p>
        </w:tc>
        <w:tc>
          <w:tcPr/>
          <w:p>
            <w:pPr>
              <w:pStyle w:val="Compact"/>
              <w:jc w:val="right"/>
            </w:pPr>
            <w:r>
              <w:t xml:space="preserve">94.31</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107.55</w:t>
            </w:r>
          </w:p>
        </w:tc>
        <w:tc>
          <w:tcPr/>
          <w:p>
            <w:pPr>
              <w:pStyle w:val="Compact"/>
              <w:jc w:val="right"/>
            </w:pPr>
            <w:r>
              <w:t xml:space="preserve">104.33</w:t>
            </w:r>
          </w:p>
        </w:tc>
        <w:tc>
          <w:tcPr/>
          <w:p>
            <w:pPr>
              <w:pStyle w:val="Compact"/>
              <w:jc w:val="right"/>
            </w:pPr>
            <w:r>
              <w:t xml:space="preserve">98.61</w:t>
            </w:r>
          </w:p>
        </w:tc>
        <w:tc>
          <w:tcPr/>
          <w:p>
            <w:pPr>
              <w:pStyle w:val="Compact"/>
              <w:jc w:val="right"/>
            </w:pPr>
            <w:r>
              <w:t xml:space="preserve">110.35</w:t>
            </w:r>
          </w:p>
        </w:tc>
        <w:tc>
          <w:tcPr/>
          <w:p>
            <w:pPr>
              <w:pStyle w:val="Compact"/>
              <w:jc w:val="right"/>
            </w:pPr>
            <w:r>
              <w:t xml:space="preserve">104.22</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126.63</w:t>
            </w:r>
          </w:p>
        </w:tc>
        <w:tc>
          <w:tcPr/>
          <w:p>
            <w:pPr>
              <w:pStyle w:val="Compact"/>
              <w:jc w:val="right"/>
            </w:pPr>
            <w:r>
              <w:t xml:space="preserve">119.75</w:t>
            </w:r>
          </w:p>
        </w:tc>
        <w:tc>
          <w:tcPr/>
          <w:p>
            <w:pPr>
              <w:pStyle w:val="Compact"/>
              <w:jc w:val="right"/>
            </w:pPr>
            <w:r>
              <w:t xml:space="preserve">114.49</w:t>
            </w:r>
          </w:p>
        </w:tc>
        <w:tc>
          <w:tcPr/>
          <w:p>
            <w:pPr>
              <w:pStyle w:val="Compact"/>
              <w:jc w:val="right"/>
            </w:pPr>
            <w:r>
              <w:t xml:space="preserve">131.22</w:t>
            </w:r>
          </w:p>
        </w:tc>
        <w:tc>
          <w:tcPr/>
          <w:p>
            <w:pPr>
              <w:pStyle w:val="Compact"/>
              <w:jc w:val="right"/>
            </w:pPr>
            <w:r>
              <w:t xml:space="preserve">121.05</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79" name="Picture"/>
            <a:graphic>
              <a:graphicData uri="http://schemas.openxmlformats.org/drawingml/2006/picture">
                <pic:pic>
                  <pic:nvPicPr>
                    <pic:cNvPr descr="短期拟合与长期预测总览.png" id="80" name="Picture"/>
                    <pic:cNvPicPr>
                      <a:picLocks noChangeArrowheads="1" noChangeAspect="1"/>
                    </pic:cNvPicPr>
                  </pic:nvPicPr>
                  <pic:blipFill>
                    <a:blip r:embed="rId78"/>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结果显示，中性情景下价格在</w:t>
      </w:r>
      <w:r>
        <w:t xml:space="preserve"> 180 </w:t>
      </w:r>
      <w:r>
        <w:rPr>
          <w:rFonts w:hint="eastAsia"/>
        </w:rPr>
        <w:t xml:space="preserve">天附近回落至约</w:t>
      </w:r>
      <w:r>
        <w:t xml:space="preserve"> 98.61 </w:t>
      </w:r>
      <w:r>
        <w:rPr>
          <w:rFonts w:hint="eastAsia"/>
        </w:rPr>
        <w:t xml:space="preserve">美元/桶；悲观情景下，若供应中断偏大、SPR</w:t>
      </w:r>
      <w:r>
        <w:t xml:space="preserve"> </w:t>
      </w:r>
      <w:r>
        <w:rPr>
          <w:rFonts w:hint="eastAsia"/>
        </w:rPr>
        <w:t xml:space="preserve">释放弱、绕道恢复慢且风险溢价维持高位，价格可能再次升至</w:t>
      </w:r>
      <w:r>
        <w:t xml:space="preserve"> 120 </w:t>
      </w:r>
      <w:r>
        <w:rPr>
          <w:rFonts w:hint="eastAsia"/>
        </w:rPr>
        <w:t xml:space="preserve">美元/桶附近，并在外推期达到约</w:t>
      </w:r>
      <w:r>
        <w:t xml:space="preserve"> 131.22 </w:t>
      </w:r>
      <w:r>
        <w:rPr>
          <w:rFonts w:hint="eastAsia"/>
        </w:rPr>
        <w:t xml:space="preserve">美元/桶的高点。</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外部数量级审计</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SPR、商业库存和美国原油产量用于审计缓冲能力与供给恢复速度</w:t>
            </w:r>
          </w:p>
        </w:tc>
        <w:tc>
          <w:tcPr/>
          <w:p>
            <w:pPr>
              <w:pStyle w:val="Compact"/>
              <w:jc w:val="left"/>
            </w:pPr>
            <w:r>
              <w:rPr>
                <w:rFonts w:hint="eastAsia"/>
              </w:rPr>
              <w:t xml:space="preserve">美国口径不能直接替代全球参数，只提供保守约束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天价格对制度风险、地缘风险权重和供应中断量最敏感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91.67–108.31 </w:t>
            </w:r>
            <w:r>
              <w:rPr>
                <w:rFonts w:hint="eastAsia"/>
              </w:rPr>
              <w:t xml:space="preserve">美元/桶，最高价突破</w:t>
            </w:r>
            <w:r>
              <w:t xml:space="preserve"> 120 </w:t>
            </w:r>
            <w:r>
              <w:rPr>
                <w:rFonts w:hint="eastAsia"/>
              </w:rPr>
              <w:t xml:space="preserve">概率约</w:t>
            </w:r>
            <w:r>
              <w:t xml:space="preserve"> 8.0%</w:t>
            </w:r>
          </w:p>
        </w:tc>
        <w:tc>
          <w:tcPr/>
          <w:p>
            <w:pPr>
              <w:pStyle w:val="Compact"/>
              <w:jc w:val="left"/>
            </w:pPr>
            <w:r>
              <w:rPr>
                <w:rFonts w:hint="eastAsia"/>
              </w:rPr>
              <w:t xml:space="preserve">条件概率，不是无条件市场概率</w:t>
            </w:r>
          </w:p>
        </w:tc>
      </w:tr>
    </w:tbl>
    <w:p>
      <w:pPr>
        <w:pStyle w:val="BodyText"/>
      </w:pPr>
      <w:r>
        <w:rPr>
          <w:rFonts w:hint="eastAsia"/>
        </w:rPr>
        <w:t xml:space="preserve">从价格平衡点看，乐观情景最终回落至约</w:t>
      </w:r>
      <w:r>
        <w:t xml:space="preserve"> 91.24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98.61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释放已经从计划上限自动收缩，说明价格回落不是依赖政策变量机械满额托底。悲观情景第</w:t>
      </w:r>
      <w:r>
        <w:t xml:space="preserve"> 180 </w:t>
      </w:r>
      <w:r>
        <w:rPr>
          <w:rFonts w:hint="eastAsia"/>
        </w:rPr>
        <w:t xml:space="preserve">天仍为</w:t>
      </w:r>
      <w:r>
        <w:t xml:space="preserve"> 114.49 </w:t>
      </w:r>
      <w:r>
        <w:rPr>
          <w:rFonts w:hint="eastAsia"/>
        </w:rPr>
        <w:t xml:space="preserve">美元/桶，说明若供应中断规模接近上界、SPR</w:t>
      </w:r>
      <w:r>
        <w:t xml:space="preserve"> </w:t>
      </w:r>
      <w:r>
        <w:rPr>
          <w:rFonts w:hint="eastAsia"/>
        </w:rPr>
        <w:t xml:space="preserve">释放不足且制度风险溢价持续，市场可能长期停留在高位平台，并保留二次跳涨尾部风险。</w:t>
      </w:r>
    </w:p>
    <w:p>
      <w:pPr>
        <w:pStyle w:val="CaptionedFigure"/>
      </w:pPr>
      <w:r>
        <w:drawing>
          <wp:inline>
            <wp:extent cx="4907280" cy="3413760"/>
            <wp:effectExtent b="0" l="0" r="0" t="0"/>
            <wp:docPr descr="" title="" id="82" name="Picture"/>
            <a:graphic>
              <a:graphicData uri="http://schemas.openxmlformats.org/drawingml/2006/picture">
                <pic:pic>
                  <pic:nvPicPr>
                    <pic:cNvPr descr="inventory_depletion_risk.png" id="83" name="Picture"/>
                    <pic:cNvPicPr>
                      <a:picLocks noChangeArrowheads="1" noChangeAspect="1"/>
                    </pic:cNvPicPr>
                  </pic:nvPicPr>
                  <pic:blipFill>
                    <a:blip r:embed="rId81"/>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4"/>
    <w:bookmarkEnd w:id="85"/>
    <w:bookmarkStart w:id="112" w:name="敏感性分析"/>
    <w:p>
      <w:pPr>
        <w:pStyle w:val="Heading1"/>
      </w:pPr>
      <w:r>
        <w:rPr>
          <w:rFonts w:hint="eastAsia"/>
        </w:rPr>
        <w:t xml:space="preserve">敏感性分析</w:t>
      </w:r>
    </w:p>
    <w:bookmarkStart w:id="86"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86"/>
    <w:bookmarkStart w:id="90"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不确定性与制度风险强度</w:t>
            </w:r>
          </w:p>
        </w:tc>
        <w:tc>
          <w:tcPr/>
          <w:p>
            <w:pPr>
              <w:pStyle w:val="Compact"/>
              <w:jc w:val="right"/>
            </w:pPr>
            <w:r>
              <w:t xml:space="preserve">15.09</w:t>
            </w:r>
          </w:p>
        </w:tc>
        <w:tc>
          <w:tcPr/>
          <w:p>
            <w:pPr>
              <w:pStyle w:val="Compact"/>
              <w:jc w:val="right"/>
            </w:pPr>
            <w:r>
              <w:t xml:space="preserve">9.73</w:t>
            </w:r>
          </w:p>
        </w:tc>
        <w:tc>
          <w:tcPr/>
          <w:p>
            <w:pPr>
              <w:pStyle w:val="Compact"/>
              <w:jc w:val="right"/>
            </w:pPr>
            <w:r>
              <w:t xml:space="preserve">11.91</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11.49</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5.72</w:t>
            </w:r>
          </w:p>
        </w:tc>
        <w:tc>
          <w:tcPr/>
          <w:p>
            <w:pPr>
              <w:pStyle w:val="Compact"/>
              <w:jc w:val="right"/>
            </w:pPr>
            <w:r>
              <w:t xml:space="preserve">3.03</w:t>
            </w:r>
          </w:p>
        </w:tc>
        <w:tc>
          <w:tcPr/>
          <w:p>
            <w:pPr>
              <w:pStyle w:val="Compact"/>
              <w:jc w:val="right"/>
            </w:pPr>
            <w:r>
              <w:t xml:space="preserve">5.96</w:t>
            </w:r>
          </w:p>
        </w:tc>
      </w:tr>
      <w:tr>
        <w:tc>
          <w:tcPr/>
          <w:p>
            <w:pPr>
              <w:pStyle w:val="Compact"/>
              <w:jc w:val="right"/>
            </w:pPr>
            <w:r>
              <w:t xml:space="preserve">4</w:t>
            </w:r>
          </w:p>
        </w:tc>
        <w:tc>
          <w:tcPr/>
          <w:p>
            <w:pPr>
              <w:pStyle w:val="Compact"/>
              <w:jc w:val="left"/>
            </w:pPr>
            <w:r>
              <w:rPr>
                <w:rFonts w:hint="eastAsia"/>
              </w:rPr>
              <w:t xml:space="preserve">长期需求弹性</w:t>
            </w:r>
          </w:p>
        </w:tc>
        <w:tc>
          <w:tcPr/>
          <w:p>
            <w:pPr>
              <w:pStyle w:val="Compact"/>
              <w:jc w:val="right"/>
            </w:pPr>
            <w:r>
              <w:t xml:space="preserve">3.70</w:t>
            </w:r>
          </w:p>
        </w:tc>
        <w:tc>
          <w:tcPr/>
          <w:p>
            <w:pPr>
              <w:pStyle w:val="Compact"/>
              <w:jc w:val="right"/>
            </w:pPr>
            <w:r>
              <w:t xml:space="preserve">3.36</w:t>
            </w:r>
          </w:p>
        </w:tc>
        <w:tc>
          <w:tcPr/>
          <w:p>
            <w:pPr>
              <w:pStyle w:val="Compact"/>
              <w:jc w:val="right"/>
            </w:pPr>
            <w:r>
              <w:t xml:space="preserve">0.75</w:t>
            </w:r>
          </w:p>
        </w:tc>
      </w:tr>
      <w:tr>
        <w:tc>
          <w:tcPr/>
          <w:p>
            <w:pPr>
              <w:pStyle w:val="Compact"/>
              <w:jc w:val="right"/>
            </w:pPr>
            <w:r>
              <w:t xml:space="preserve">5</w:t>
            </w:r>
          </w:p>
        </w:tc>
        <w:tc>
          <w:tcPr/>
          <w:p>
            <w:pPr>
              <w:pStyle w:val="Compact"/>
              <w:jc w:val="left"/>
            </w:pPr>
            <w:r>
              <w:rPr>
                <w:rFonts w:hint="eastAsia"/>
              </w:rPr>
              <w:t xml:space="preserve">绕道运输能力</w:t>
            </w:r>
          </w:p>
        </w:tc>
        <w:tc>
          <w:tcPr/>
          <w:p>
            <w:pPr>
              <w:pStyle w:val="Compact"/>
              <w:jc w:val="right"/>
            </w:pPr>
            <w:r>
              <w:t xml:space="preserve">0.75</w:t>
            </w:r>
          </w:p>
        </w:tc>
        <w:tc>
          <w:tcPr/>
          <w:p>
            <w:pPr>
              <w:pStyle w:val="Compact"/>
              <w:jc w:val="right"/>
            </w:pPr>
            <w:r>
              <w:t xml:space="preserve">0.48</w:t>
            </w:r>
          </w:p>
        </w:tc>
        <w:tc>
          <w:tcPr/>
          <w:p>
            <w:pPr>
              <w:pStyle w:val="Compact"/>
              <w:jc w:val="right"/>
            </w:pPr>
            <w:r>
              <w:t xml:space="preserve">0.61</w:t>
            </w:r>
          </w:p>
        </w:tc>
      </w:tr>
      <w:tr>
        <w:tc>
          <w:tcPr/>
          <w:p>
            <w:pPr>
              <w:pStyle w:val="Compact"/>
              <w:jc w:val="right"/>
            </w:pPr>
            <w:r>
              <w:t xml:space="preserve">6</w:t>
            </w:r>
          </w:p>
        </w:tc>
        <w:tc>
          <w:tcPr/>
          <w:p>
            <w:pPr>
              <w:pStyle w:val="Compact"/>
              <w:jc w:val="left"/>
            </w:pPr>
            <w:r>
              <w:t xml:space="preserve">SPR </w:t>
            </w:r>
            <w:r>
              <w:rPr>
                <w:rFonts w:hint="eastAsia"/>
              </w:rPr>
              <w:t xml:space="preserve">释放上限</w:t>
            </w:r>
          </w:p>
        </w:tc>
        <w:tc>
          <w:tcPr/>
          <w:p>
            <w:pPr>
              <w:pStyle w:val="Compact"/>
              <w:jc w:val="right"/>
            </w:pPr>
            <w:r>
              <w:t xml:space="preserve">0.24</w:t>
            </w:r>
          </w:p>
        </w:tc>
        <w:tc>
          <w:tcPr/>
          <w:p>
            <w:pPr>
              <w:pStyle w:val="Compact"/>
              <w:jc w:val="right"/>
            </w:pPr>
            <w:r>
              <w:t xml:space="preserve">0.05</w:t>
            </w:r>
          </w:p>
        </w:tc>
        <w:tc>
          <w:tcPr/>
          <w:p>
            <w:pPr>
              <w:pStyle w:val="Compact"/>
              <w:jc w:val="right"/>
            </w:pPr>
            <w:r>
              <w:t xml:space="preserve">0.41</w:t>
            </w:r>
          </w:p>
        </w:tc>
      </w:tr>
      <w:tr>
        <w:tc>
          <w:tcPr/>
          <w:p>
            <w:pPr>
              <w:pStyle w:val="Compact"/>
              <w:jc w:val="right"/>
            </w:pPr>
            <w:r>
              <w:t xml:space="preserve">7</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8</w:t>
            </w:r>
          </w:p>
        </w:tc>
        <w:tc>
          <w:tcPr/>
          <w:p>
            <w:pPr>
              <w:pStyle w:val="Compact"/>
              <w:jc w:val="left"/>
            </w:pPr>
            <w:r>
              <w:rPr>
                <w:rFonts w:hint="eastAsia"/>
              </w:rPr>
              <w:t xml:space="preserve">恐慌衰减速度</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0.37</w:t>
            </w:r>
          </w:p>
        </w:tc>
      </w:tr>
      <w:tr>
        <w:tc>
          <w:tcPr/>
          <w:p>
            <w:pPr>
              <w:pStyle w:val="Compact"/>
              <w:jc w:val="right"/>
            </w:pPr>
            <w:r>
              <w:t xml:space="preserve">9</w:t>
            </w:r>
          </w:p>
        </w:tc>
        <w:tc>
          <w:tcPr/>
          <w:p>
            <w:pPr>
              <w:pStyle w:val="Compact"/>
              <w:jc w:val="left"/>
            </w:pPr>
            <w:r>
              <w:t xml:space="preserve">SPR </w:t>
            </w:r>
            <w:r>
              <w:rPr>
                <w:rFonts w:hint="eastAsia"/>
              </w:rPr>
              <w:t xml:space="preserve">启动延迟</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0.17</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88" name="Picture"/>
            <a:graphic>
              <a:graphicData uri="http://schemas.openxmlformats.org/drawingml/2006/picture">
                <pic:pic>
                  <pic:nvPicPr>
                    <pic:cNvPr descr="sensitivity_tornado_180day.png" id="89" name="Picture"/>
                    <pic:cNvPicPr>
                      <a:picLocks noChangeArrowheads="1" noChangeAspect="1"/>
                    </pic:cNvPicPr>
                  </pic:nvPicPr>
                  <pic:blipFill>
                    <a:blip r:embed="rId87"/>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BodyText"/>
      </w:pPr>
      <w:r>
        <w:rPr>
          <w:rFonts w:hint="eastAsia"/>
        </w:rPr>
        <w:t xml:space="preserve">敏感性分析表明，第</w:t>
      </w:r>
      <w:r>
        <w:t xml:space="preserve"> 180 </w:t>
      </w:r>
      <w:r>
        <w:rPr>
          <w:rFonts w:hint="eastAsia"/>
        </w:rPr>
        <w:t xml:space="preserve">天终点价格对市场价格形成层最敏感，尤其是不确定性与制度风险强度和地缘风险权重；供应中断量决定价格上行压力的物理底座。长期需求弹性在新的自适应外推中也具有较高影响，因为它决定高价持续后需求侧能否真正完成再平衡。SPR</w:t>
      </w:r>
      <w:r>
        <w:t xml:space="preserve"> </w:t>
      </w:r>
      <w:r>
        <w:rPr>
          <w:rFonts w:hint="eastAsia"/>
        </w:rPr>
        <w:t xml:space="preserve">释放、启动延迟和绕道运输在中性路径下对第</w:t>
      </w:r>
      <w:r>
        <w:t xml:space="preserve"> 180 </w:t>
      </w:r>
      <w:r>
        <w:rPr>
          <w:rFonts w:hint="eastAsia"/>
        </w:rPr>
        <w:t xml:space="preserve">天终点价影响较小，但会改变外推期峰值、缺口闭合速度和二次跳涨幅度，因此更适合被解释为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90"/>
    <w:bookmarkStart w:id="97"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释放不足、绕道运输恢复慢、长期需求弹性偏低、制度风险溢价偏高等因素可能共同出现。因此，本文进一步建立蒙特卡洛情景树，在赛题边界和阶段</w:t>
      </w:r>
      <w:r>
        <w:t xml:space="preserve"> 6 </w:t>
      </w:r>
      <w:r>
        <w:rPr>
          <w:rFonts w:hint="eastAsia"/>
        </w:rPr>
        <w:t xml:space="preserve">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8.0%</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0.5%</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0.0%</w:t>
            </w:r>
          </w:p>
        </w:tc>
      </w:tr>
      <w:tr>
        <w:tc>
          <w:tcPr/>
          <w:p>
            <w:pPr>
              <w:pStyle w:val="Compact"/>
              <w:jc w:val="left"/>
            </w:pPr>
            <w:r>
              <w:rPr>
                <w:rFonts w:hint="eastAsia"/>
              </w:rPr>
              <w:t xml:space="preserve">二次跳涨风险为高概率</w:t>
            </w:r>
          </w:p>
        </w:tc>
        <w:tc>
          <w:tcPr/>
          <w:p>
            <w:pPr>
              <w:pStyle w:val="Compact"/>
              <w:jc w:val="right"/>
            </w:pPr>
            <w:r>
              <w:t xml:space="preserve">2.4%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91.67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98.84</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108.31</w:t>
            </w:r>
          </w:p>
        </w:tc>
      </w:tr>
      <w:tr>
        <w:tc>
          <w:tcPr/>
          <w:p>
            <w:pPr>
              <w:pStyle w:val="Compact"/>
              <w:jc w:val="left"/>
            </w:pPr>
            <w:r>
              <w:rPr>
                <w:rFonts w:hint="eastAsia"/>
              </w:rPr>
              <w:t xml:space="preserve">外推期最高价</w:t>
            </w:r>
            <w:r>
              <w:t xml:space="preserve"> P95</w:t>
            </w:r>
          </w:p>
        </w:tc>
        <w:tc>
          <w:tcPr/>
          <w:p>
            <w:pPr>
              <w:pStyle w:val="Compact"/>
              <w:jc w:val="right"/>
            </w:pPr>
            <w:r>
              <w:t xml:space="preserve">122.37</w:t>
            </w:r>
          </w:p>
        </w:tc>
      </w:tr>
    </w:tbl>
    <w:p>
      <w:pPr>
        <w:pStyle w:val="CaptionedFigure"/>
      </w:pPr>
      <w:r>
        <w:drawing>
          <wp:inline>
            <wp:extent cx="5013960" cy="2790377"/>
            <wp:effectExtent b="0" l="0" r="0" t="0"/>
            <wp:docPr descr="" title="" id="92" name="Picture"/>
            <a:graphic>
              <a:graphicData uri="http://schemas.openxmlformats.org/drawingml/2006/picture">
                <pic:pic>
                  <pic:nvPicPr>
                    <pic:cNvPr descr="monte_carlo_price_fan.png" id="93" name="Picture"/>
                    <pic:cNvPicPr>
                      <a:picLocks noChangeArrowheads="1" noChangeAspect="1"/>
                    </pic:cNvPicPr>
                  </pic:nvPicPr>
                  <pic:blipFill>
                    <a:blip r:embed="rId91"/>
                    <a:stretch>
                      <a:fillRect/>
                    </a:stretch>
                  </pic:blipFill>
                  <pic:spPr bwMode="auto">
                    <a:xfrm>
                      <a:off x="0" y="0"/>
                      <a:ext cx="5013960" cy="2790377"/>
                    </a:xfrm>
                    <a:prstGeom prst="rect">
                      <a:avLst/>
                    </a:prstGeom>
                    <a:noFill/>
                    <a:ln w="9525">
                      <a:noFill/>
                      <a:headEnd/>
                      <a:tailEnd/>
                    </a:ln>
                  </pic:spPr>
                </pic:pic>
              </a:graphicData>
            </a:graphic>
          </wp:inline>
        </w:drawing>
      </w:r>
    </w:p>
    <w:p>
      <w:pPr>
        <w:pStyle w:val="ImageCaption"/>
      </w:pPr>
      <w:r>
        <w:rPr>
          <w:rFonts w:hint="eastAsia"/>
        </w:rPr>
        <w:t xml:space="preserve">蒙特卡洛情景树价格扇形区间。深色区间为</w:t>
      </w:r>
      <w:r>
        <w:t xml:space="preserve"> </w:t>
      </w:r>
      <w:r>
        <w:rPr>
          <w:rFonts w:hint="eastAsia"/>
        </w:rPr>
        <w:t xml:space="preserve">25%–75%，浅色区间为</w:t>
      </w:r>
      <w:r>
        <w:t xml:space="preserve"> 5%–95%。</w:t>
      </w:r>
    </w:p>
    <w:p>
      <w:pPr>
        <w:pStyle w:val="CaptionedFigure"/>
      </w:pPr>
      <w:r>
        <w:drawing>
          <wp:inline>
            <wp:extent cx="4160520" cy="2352876"/>
            <wp:effectExtent b="0" l="0" r="0" t="0"/>
            <wp:docPr descr="" title="" id="95" name="Picture"/>
            <a:graphic>
              <a:graphicData uri="http://schemas.openxmlformats.org/drawingml/2006/picture">
                <pic:pic>
                  <pic:nvPicPr>
                    <pic:cNvPr descr="monte_carlo_tail_risk.png" id="96" name="Picture"/>
                    <pic:cNvPicPr>
                      <a:picLocks noChangeArrowheads="1" noChangeAspect="1"/>
                    </pic:cNvPicPr>
                  </pic:nvPicPr>
                  <pic:blipFill>
                    <a:blip r:embed="rId94"/>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98.84 </w:t>
      </w:r>
      <w:r>
        <w:rPr>
          <w:rFonts w:hint="eastAsia"/>
        </w:rPr>
        <w:t xml:space="preserve">美元/桶，与阶段</w:t>
      </w:r>
      <w:r>
        <w:t xml:space="preserve"> 5 </w:t>
      </w:r>
      <w:r>
        <w:rPr>
          <w:rFonts w:hint="eastAsia"/>
        </w:rPr>
        <w:t xml:space="preserve">中性情景的</w:t>
      </w:r>
      <w:r>
        <w:t xml:space="preserve"> 98.61 </w:t>
      </w:r>
      <w:r>
        <w:rPr>
          <w:rFonts w:hint="eastAsia"/>
        </w:rPr>
        <w:t xml:space="preserve">美元/桶高度接近，说明中性路径不是孤立的单点调参结果。与此同时，外推期最高价突破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8.0%，且高压尾部路径中突破</w:t>
      </w:r>
      <w:r>
        <w:t xml:space="preserve"> 120 </w:t>
      </w:r>
      <w:r>
        <w:rPr>
          <w:rFonts w:hint="eastAsia"/>
        </w:rPr>
        <w:t xml:space="preserve">美元/桶的概率达到</w:t>
      </w:r>
      <w:r>
        <w:t xml:space="preserve"> </w:t>
      </w:r>
      <w:r>
        <w:rPr>
          <w:rFonts w:hint="eastAsia"/>
        </w:rPr>
        <w:t xml:space="preserve">36.6%。这说明长期风险的重点不是中性点预测本身，而是多因素联动恶化下的尾部组合风险。</w:t>
      </w:r>
    </w:p>
    <w:bookmarkEnd w:id="97"/>
    <w:bookmarkStart w:id="104" w:name="滞后地缘风险指数审计"/>
    <w:p>
      <w:pPr>
        <w:pStyle w:val="Heading2"/>
      </w:pPr>
      <w:r>
        <w:rPr>
          <w:rFonts w:hint="eastAsia"/>
        </w:rPr>
        <w:t xml:space="preserve">滞后地缘风险指数审计</w:t>
      </w:r>
    </w:p>
    <w:p>
      <w:pPr>
        <w:pStyle w:val="FirstParagraph"/>
      </w:pPr>
      <w:r>
        <w:rPr>
          <w:rFonts w:hint="eastAsia"/>
        </w:rPr>
        <w:t xml:space="preserve">综合机制递推模型中包含地缘风险权重和恐慌衰减项。若直接用新闻情绪或风险指数解释同日油价，容易被质疑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月度指数做外部审计，并采用滞后一期口径。</w:t>
      </w:r>
    </w:p>
    <w:p>
      <w:pPr>
        <w:pStyle w:val="TableCaption"/>
      </w:pPr>
      <w:r>
        <w:rPr>
          <w:rFonts w:hint="eastAsia"/>
        </w:rPr>
        <w:t xml:space="preserve">滞后</w:t>
      </w:r>
      <w:r>
        <w:t xml:space="preserve"> GPR </w:t>
      </w:r>
      <w:r>
        <w:rPr>
          <w:rFonts w:hint="eastAsia"/>
        </w:rPr>
        <w:t xml:space="preserve">风险审计指标</w:t>
      </w:r>
    </w:p>
    <w:tbl>
      <w:tblPr>
        <w:tblStyle w:val="Table"/>
        <w:tblW w:type="auto" w:w="0"/>
        <w:tblLook w:firstRow="1" w:lastRow="0" w:firstColumn="0" w:lastColumn="0" w:noHBand="0" w:noVBand="0" w:val="0020"/>
        <w:tblCaption w:val="滞后 GPR 风险审计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99" name="Picture"/>
            <a:graphic>
              <a:graphicData uri="http://schemas.openxmlformats.org/drawingml/2006/picture">
                <pic:pic>
                  <pic:nvPicPr>
                    <pic:cNvPr descr="gpr_event_window_audit.png" id="100" name="Picture"/>
                    <pic:cNvPicPr>
                      <a:picLocks noChangeArrowheads="1" noChangeAspect="1"/>
                    </pic:cNvPicPr>
                  </pic:nvPicPr>
                  <pic:blipFill>
                    <a:blip r:embed="rId98"/>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地缘风险指数审计：同步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02" name="Picture"/>
            <a:graphic>
              <a:graphicData uri="http://schemas.openxmlformats.org/drawingml/2006/picture">
                <pic:pic>
                  <pic:nvPicPr>
                    <pic:cNvPr descr="lagged_gpr_brent_return.png" id="103" name="Picture"/>
                    <pic:cNvPicPr>
                      <a:picLocks noChangeArrowheads="1" noChangeAspect="1"/>
                    </pic:cNvPicPr>
                  </pic:nvPicPr>
                  <pic:blipFill>
                    <a:blip r:embed="rId101"/>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更适合作为风险溢价外部审计，而非单独点预测模型。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处于历史高分位，说明模型中的地缘风险溢价不是凭空设定，而有外部风险指数支撑。第二，滞后</w:t>
      </w:r>
      <w:r>
        <w:t xml:space="preserve"> GPR </w:t>
      </w:r>
      <w:r>
        <w:rPr>
          <w:rFonts w:hint="eastAsia"/>
        </w:rPr>
        <w:t xml:space="preserve">对月度收益的解释力有限，因此本文不将其直接加入短期拟合，也不把风险指数写成</w:t>
      </w:r>
      <w:r>
        <w:rPr>
          <w:rFonts w:hint="eastAsia"/>
        </w:rPr>
        <w:t xml:space="preserve">“预测油价上涨的神奇变量”</w:t>
      </w:r>
      <w:r>
        <w:rPr>
          <w:rFonts w:hint="eastAsia"/>
        </w:rPr>
        <w:t xml:space="preserve">。这使模型在风险解释和内生性防御之间保持较稳妥的边界。</w:t>
      </w:r>
    </w:p>
    <w:bookmarkEnd w:id="104"/>
    <w:bookmarkStart w:id="111"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06" name="Picture"/>
            <a:graphic>
              <a:graphicData uri="http://schemas.openxmlformats.org/drawingml/2006/picture">
                <pic:pic>
                  <pic:nvPicPr>
                    <pic:cNvPr descr="historical_event_extremeness.png" id="107" name="Picture"/>
                    <pic:cNvPicPr>
                      <a:picLocks noChangeArrowheads="1" noChangeAspect="1"/>
                    </pic:cNvPicPr>
                  </pic:nvPicPr>
                  <pic:blipFill>
                    <a:blip r:embed="rId105"/>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693920" cy="2669091"/>
            <wp:effectExtent b="0" l="0" r="0" t="0"/>
            <wp:docPr descr="" title="" id="109" name="Picture"/>
            <a:graphic>
              <a:graphicData uri="http://schemas.openxmlformats.org/drawingml/2006/picture">
                <pic:pic>
                  <pic:nvPicPr>
                    <pic:cNvPr descr="historical_baseline_error_distribution.png" id="110" name="Picture"/>
                    <pic:cNvPicPr>
                      <a:picLocks noChangeArrowheads="1" noChangeAspect="1"/>
                    </pic:cNvPicPr>
                  </pic:nvPicPr>
                  <pic:blipFill>
                    <a:blip r:embed="rId108"/>
                    <a:stretch>
                      <a:fillRect/>
                    </a:stretch>
                  </pic:blipFill>
                  <pic:spPr bwMode="auto">
                    <a:xfrm>
                      <a:off x="0" y="0"/>
                      <a:ext cx="4693920" cy="2669091"/>
                    </a:xfrm>
                    <a:prstGeom prst="rect">
                      <a:avLst/>
                    </a:prstGeom>
                    <a:noFill/>
                    <a:ln w="9525">
                      <a:noFill/>
                      <a:headEnd/>
                      <a:tailEnd/>
                    </a:ln>
                  </pic:spPr>
                </pic:pic>
              </a:graphicData>
            </a:graphic>
          </wp:inline>
        </w:drawing>
      </w:r>
    </w:p>
    <w:p>
      <w:pPr>
        <w:pStyle w:val="ImageCaption"/>
      </w:pPr>
      <w:r>
        <w:rPr>
          <w:rFonts w:hint="eastAsia"/>
        </w:rPr>
        <w:t xml:space="preserve">历史</w:t>
      </w:r>
      <w:r>
        <w:t xml:space="preserve"> 46 </w:t>
      </w:r>
      <w:r>
        <w:rPr>
          <w:rFonts w:hint="eastAsia"/>
        </w:rPr>
        <w:t xml:space="preserve">交易日窗口的随机游走基准误差分布。冲突窗口朴素基准</w:t>
      </w:r>
      <w:r>
        <w:t xml:space="preserve"> RMSE </w:t>
      </w:r>
      <w:r>
        <w:rPr>
          <w:rFonts w:hint="eastAsia"/>
        </w:rPr>
        <w:t xml:space="preserve">处于历史高位，而本文机制模型在该窗口内仍明显优于朴素基准。</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11"/>
    <w:bookmarkEnd w:id="112"/>
    <w:bookmarkStart w:id="116" w:name="模型评价"/>
    <w:p>
      <w:pPr>
        <w:pStyle w:val="Heading1"/>
      </w:pPr>
      <w:r>
        <w:rPr>
          <w:rFonts w:hint="eastAsia"/>
        </w:rPr>
        <w:t xml:space="preserve">模型评价</w:t>
      </w:r>
    </w:p>
    <w:bookmarkStart w:id="113"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基准、滞后平移检验、机制消融、过拟合压力测试和历史同长度窗口检验。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长期表述审慎：三情景中心线与蒙特卡洛扇形区间合读，把长期结果定位为条件中心路径和尾部风险，而非精确日度点预测。</w:t>
      </w:r>
    </w:p>
    <w:bookmarkEnd w:id="113"/>
    <w:bookmarkStart w:id="114"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SPR、商业库存和原油产量周度数据作为外部审计，并接入</w:t>
      </w:r>
      <w:r>
        <w:t xml:space="preserve"> GPR </w:t>
      </w:r>
      <w:r>
        <w:rPr>
          <w:rFonts w:hint="eastAsia"/>
        </w:rPr>
        <w:t xml:space="preserve">月度指数和历史滚动窗口审计地缘风险与事件极端性；但尚未自动接入</w:t>
      </w:r>
      <w:r>
        <w:t xml:space="preserve"> IEA/OPEC </w:t>
      </w:r>
      <w:r>
        <w:rPr>
          <w:rFonts w:hint="eastAsia"/>
        </w:rPr>
        <w:t xml:space="preserve">全球口径的完整供需平衡表，也未引入期权隐含波动率、油轮保险费或高频新闻情绪等变量。</w:t>
      </w:r>
    </w:p>
    <w:p>
      <w:pPr>
        <w:numPr>
          <w:ilvl w:val="0"/>
          <w:numId w:val="1006"/>
        </w:numPr>
      </w:pPr>
      <w:r>
        <w:rPr>
          <w:rFonts w:hint="eastAsia"/>
        </w:rPr>
        <w:t xml:space="preserve">蒙特卡洛情景树已经刻画了部分参数联动风险，但其联合分布仍来自模型设定而非外部历史频率估计，因此尾部概率应解释为条件概率而非真实市场概率。</w:t>
      </w:r>
    </w:p>
    <w:bookmarkEnd w:id="114"/>
    <w:bookmarkStart w:id="115"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 </w:t>
      </w:r>
      <w:r>
        <w:rPr>
          <w:rFonts w:hint="eastAsia"/>
        </w:rPr>
        <w:t xml:space="preserve">周度数据审计基础上，继续接入</w:t>
      </w:r>
      <w:r>
        <w:t xml:space="preserve"> IEA </w:t>
      </w:r>
      <w:r>
        <w:rPr>
          <w:rFonts w:hint="eastAsia"/>
        </w:rPr>
        <w:t xml:space="preserve">或</w:t>
      </w:r>
      <w:r>
        <w:t xml:space="preserve"> OPEC </w:t>
      </w:r>
      <w:r>
        <w:rPr>
          <w:rFonts w:hint="eastAsia"/>
        </w:rPr>
        <w:t xml:space="preserve">全球口径供需平衡表，对长期供给恢复路径进行更客观的外生约束；第二，在现有</w:t>
      </w:r>
      <w:r>
        <w:t xml:space="preserve"> GPR </w:t>
      </w:r>
      <w:r>
        <w:rPr>
          <w:rFonts w:hint="eastAsia"/>
        </w:rPr>
        <w:t xml:space="preserve">滞后审计基础上，继续探索期权隐含波动率、油轮保险费、期货期限结构等更接近市场定价的风险变量；第三，将当前蒙特卡洛联合扰动进一步扩展为带状态转移概率的情景树，使冲突缓和、维持和升级三类状态可以随时间动态切换。R</w:t>
      </w:r>
      <w:r>
        <w:t xml:space="preserve"> </w:t>
      </w:r>
      <w:r>
        <w:rPr>
          <w:rFonts w:hint="eastAsia"/>
        </w:rPr>
        <w:t xml:space="preserve">语言可用于后续</w:t>
      </w:r>
      <w:r>
        <w:t xml:space="preserve"> GARCH、VAR、Granger </w:t>
      </w:r>
      <w:r>
        <w:rPr>
          <w:rFonts w:hint="eastAsia"/>
        </w:rPr>
        <w:t xml:space="preserve">和稳健标准误等计量审计，C++</w:t>
      </w:r>
      <w:r>
        <w:t xml:space="preserve"> </w:t>
      </w:r>
      <w:r>
        <w:rPr>
          <w:rFonts w:hint="eastAsia"/>
        </w:rPr>
        <w:t xml:space="preserve">多智能体仿真则只有在获得主体级行为数据时才有必要进入主线。</w:t>
      </w:r>
    </w:p>
    <w:bookmarkEnd w:id="115"/>
    <w:bookmarkEnd w:id="116"/>
    <w:bookmarkStart w:id="117"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98.61 </w:t>
      </w:r>
      <w:r>
        <w:rPr>
          <w:rFonts w:hint="eastAsia"/>
        </w:rPr>
        <w:t xml:space="preserve">美元/桶；悲观情景第</w:t>
      </w:r>
      <w:r>
        <w:t xml:space="preserve"> 180 </w:t>
      </w:r>
      <w:r>
        <w:rPr>
          <w:rFonts w:hint="eastAsia"/>
        </w:rPr>
        <w:t xml:space="preserve">天约为</w:t>
      </w:r>
      <w:r>
        <w:t xml:space="preserve"> 114.49 </w:t>
      </w:r>
      <w:r>
        <w:rPr>
          <w:rFonts w:hint="eastAsia"/>
        </w:rPr>
        <w:t xml:space="preserve">美元/桶，并存在较高二次跳涨风险。</w:t>
      </w:r>
    </w:p>
    <w:p>
      <w:pPr>
        <w:numPr>
          <w:ilvl w:val="0"/>
          <w:numId w:val="1007"/>
        </w:numPr>
      </w:pPr>
      <w:r>
        <w:rPr>
          <w:rFonts w:hint="eastAsia"/>
        </w:rPr>
        <w:t xml:space="preserve">敏感性分析显示，不确定性与制度风险强度、地缘风险权重和供应中断量是最关键影响因素；SPR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91.67–108.31 </w:t>
      </w:r>
      <w:r>
        <w:rPr>
          <w:rFonts w:hint="eastAsia"/>
        </w:rPr>
        <w:t xml:space="preserve">美元/桶，外推期最高价突破</w:t>
      </w:r>
      <w:r>
        <w:t xml:space="preserve"> 120 </w:t>
      </w:r>
      <w:r>
        <w:rPr>
          <w:rFonts w:hint="eastAsia"/>
        </w:rPr>
        <w:t xml:space="preserve">美元/桶的概率约为</w:t>
      </w:r>
      <w:r>
        <w:t xml:space="preserve"> </w:t>
      </w:r>
      <w:r>
        <w:rPr>
          <w:rFonts w:hint="eastAsia"/>
        </w:rPr>
        <w:t xml:space="preserve">8.0%，尾部风险主要来自多因素同时恶化。</w:t>
      </w:r>
    </w:p>
    <w:p>
      <w:pPr>
        <w:numPr>
          <w:ilvl w:val="0"/>
          <w:numId w:val="1007"/>
        </w:numPr>
      </w:pPr>
      <w:r>
        <w:t xml:space="preserve">GPR </w:t>
      </w:r>
      <w:r>
        <w:rPr>
          <w:rFonts w:hint="eastAsia"/>
        </w:rPr>
        <w:t xml:space="preserve">滞后审计显示，2026</w:t>
      </w:r>
      <w:r>
        <w:t xml:space="preserve"> </w:t>
      </w:r>
      <w:r>
        <w:rPr>
          <w:rFonts w:hint="eastAsia"/>
        </w:rPr>
        <w:t xml:space="preserve">年</w:t>
      </w:r>
      <w:r>
        <w:t xml:space="preserve"> 3–4 </w:t>
      </w:r>
      <w:r>
        <w:rPr>
          <w:rFonts w:hint="eastAsia"/>
        </w:rPr>
        <w:t xml:space="preserve">月地缘风险处于历史高分位，支持风险溢价机制；但滞后收益解释力较弱，因此本文不把</w:t>
      </w:r>
      <w:r>
        <w:t xml:space="preserve"> GPR </w:t>
      </w:r>
      <w:r>
        <w:rPr>
          <w:rFonts w:hint="eastAsia"/>
        </w:rPr>
        <w:t xml:space="preserve">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17"/>
    <w:bookmarkStart w:id="118"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118"/>
    <w:bookmarkStart w:id="12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U.S. Energy Information Administration. World Oil Transit Chokepoints.</w:t>
      </w:r>
      <w:r>
        <w:t xml:space="preserve"> </w:t>
      </w:r>
      <w:hyperlink r:id="rId119">
        <w:r>
          <w:rPr>
            <w:rStyle w:val="Hyperlink"/>
          </w:rPr>
          <w:t xml:space="preserve">EIA special topic page</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20">
        <w:r>
          <w:rPr>
            <w:rStyle w:val="Hyperlink"/>
          </w:rPr>
          <w:t xml:space="preserve">EIA petroleum weekly data</w:t>
        </w:r>
      </w:hyperlink>
      <w:r>
        <w:t xml:space="preserve">.</w:t>
      </w:r>
    </w:p>
    <w:p>
      <w:pPr>
        <w:pStyle w:val="BodyText"/>
      </w:pPr>
      <w:r>
        <w:t xml:space="preserve">Caldara-Iacoviello Geopolitical Risk Index. Monthly GPR data.</w:t>
      </w:r>
      <w:r>
        <w:t xml:space="preserve"> </w:t>
      </w:r>
      <w:hyperlink r:id="rId121">
        <w:r>
          <w:rPr>
            <w:rStyle w:val="Hyperlink"/>
          </w:rPr>
          <w:t xml:space="preserve">GPR data page</w:t>
        </w:r>
      </w:hyperlink>
      <w:r>
        <w:t xml:space="preserve">.</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8" Target="media/rId18.png" /><Relationship Type="http://schemas.openxmlformats.org/officeDocument/2006/relationships/image" Id="rId98" Target="media/rId98.png" /><Relationship Type="http://schemas.openxmlformats.org/officeDocument/2006/relationships/image" Id="rId108" Target="media/rId108.png" /><Relationship Type="http://schemas.openxmlformats.org/officeDocument/2006/relationships/image" Id="rId105" Target="media/rId105.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87" Target="media/rId87.png" /><Relationship Type="http://schemas.openxmlformats.org/officeDocument/2006/relationships/image" Id="rId78" Target="media/rId78.png" /><Relationship Type="http://schemas.openxmlformats.org/officeDocument/2006/relationships/image" Id="rId48" Target="media/rId48.png" /><Relationship Type="http://schemas.openxmlformats.org/officeDocument/2006/relationships/image" Id="rId67" Target="media/rId67.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51" Target="media/rId51.png" /><Relationship Type="http://schemas.openxmlformats.org/officeDocument/2006/relationships/image" Id="rId71" Target="media/rId71.png" /><Relationship Type="http://schemas.openxmlformats.org/officeDocument/2006/relationships/image" Id="rId58" Target="media/rId58.png" /><Relationship Type="http://schemas.openxmlformats.org/officeDocument/2006/relationships/image" Id="rId10" Target="media/rId10.png" /><Relationship Type="http://schemas.openxmlformats.org/officeDocument/2006/relationships/hyperlink" Id="rId120" Target="https://www.eia.gov/dnav/pet/pet_sum_sndw_dcus_nus_w.htm" TargetMode="External" /><Relationship Type="http://schemas.openxmlformats.org/officeDocument/2006/relationships/hyperlink" Id="rId119" Target="https://www.eia.gov/international/analysis/special-topics/World_Oil_Transit_Chokepoints" TargetMode="External" /><Relationship Type="http://schemas.openxmlformats.org/officeDocument/2006/relationships/hyperlink" Id="rId121"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20" Target="https://www.eia.gov/dnav/pet/pet_sum_sndw_dcus_nus_w.htm" TargetMode="External" /><Relationship Type="http://schemas.openxmlformats.org/officeDocument/2006/relationships/hyperlink" Id="rId119" Target="https://www.eia.gov/international/analysis/special-topics/World_Oil_Transit_Chokepoints" TargetMode="External" /><Relationship Type="http://schemas.openxmlformats.org/officeDocument/2006/relationships/hyperlink" Id="rId121"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2026-05-11T16:05:49Z</dcterms:created>
  <dcterms:modified xsi:type="dcterms:W3CDTF">2026-05-11T16:05:49Z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