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54.png" ContentType="image/png"/>
  <Override PartName="/word/media/rId83.png" ContentType="image/png"/>
  <Override PartName="/word/media/rId136.png" ContentType="image/png"/>
  <Override PartName="/word/media/rId35.png" ContentType="image/png"/>
  <Override PartName="/word/media/rId128.png" ContentType="image/png"/>
  <Override PartName="/word/media/rId21.png" ContentType="image/png"/>
  <Override PartName="/word/media/rId125.png" ContentType="image/png"/>
  <Override PartName="/word/media/rId151.png" ContentType="image/png"/>
  <Override PartName="/word/media/rId121.png" ContentType="image/png"/>
  <Override PartName="/word/media/rId140.png" ContentType="image/png"/>
  <Override PartName="/word/media/rId18.png" ContentType="image/png"/>
  <Override PartName="/word/media/rId25.png" ContentType="image/png"/>
  <Override PartName="/word/media/rId115.png" ContentType="image/png"/>
  <Override PartName="/word/media/rId143.png" ContentType="image/png"/>
  <Override PartName="/word/media/rId108.png" ContentType="image/png"/>
  <Override PartName="/word/media/rId72.png" ContentType="image/png"/>
  <Override PartName="/word/media/rId57.png" ContentType="image/png"/>
  <Override PartName="/word/media/rId88.png" ContentType="image/png"/>
  <Override PartName="/word/media/rId47.png" ContentType="image/png"/>
  <Override PartName="/word/media/rId76.png" ContentType="image/png"/>
  <Override PartName="/word/media/rId50.png" ContentType="image/png"/>
  <Override PartName="/word/media/rId68.png" ContentType="image/png"/>
  <Override PartName="/word/media/rId60.png" ContentType="image/png"/>
  <Override PartName="/word/media/rId92.png" ContentType="image/png"/>
  <Override PartName="/word/media/rId80.png" ContentType="image/png"/>
  <Override PartName="/word/media/rId64.png" ContentType="image/png"/>
  <Override PartName="/word/media/rId40.png" ContentType="image/png"/>
  <Override PartName="/word/media/rId132.png" ContentType="image/png"/>
  <Override PartName="/word/media/rId104.png" ContentType="image/png"/>
  <Override PartName="/word/media/rId10.png" ContentType="image/png"/>
  <Override PartName="/word/media/rId5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基准。进一步加入只使用滞后误差的在线残差校正后，RMSE</w:t>
      </w:r>
      <w:r>
        <w:t xml:space="preserve"> </w:t>
      </w:r>
      <w:r>
        <w:rPr>
          <w:rFonts w:hint="eastAsia"/>
        </w:rPr>
        <w:t xml:space="preserve">降至</w:t>
      </w:r>
      <w:r>
        <w:t xml:space="preserve"> 3.38 </w:t>
      </w:r>
      <w:r>
        <w:rPr>
          <w:rFonts w:hint="eastAsia"/>
        </w:rPr>
        <w:t xml:space="preserve">美元/桶，但方向命中率低于机制主模型，因此仅作为计算机辅助增强层。滞后平移、拐点、机制消融和结构稳定性检验表明，模型不是简单滞后复制，110–120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86.31–95.55 </w:t>
      </w:r>
      <w:r>
        <w:rPr>
          <w:rFonts w:hint="eastAsia"/>
        </w:rPr>
        <w:t xml:space="preserve">美元/桶，外推期最高价</w:t>
      </w:r>
      <w:r>
        <w:t xml:space="preserve"> P95 </w:t>
      </w:r>
      <w:r>
        <w:rPr>
          <w:rFonts w:hint="eastAsia"/>
        </w:rPr>
        <w:t xml:space="preserve">为</w:t>
      </w:r>
      <w:r>
        <w:t xml:space="preserve"> 128.72 </w:t>
      </w:r>
      <w:r>
        <w:rPr>
          <w:rFonts w:hint="eastAsia"/>
        </w:rPr>
        <w:t xml:space="preserve">美元/桶。GPR</w:t>
      </w:r>
      <w:r>
        <w:t xml:space="preserve">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5"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4"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外部数据用于数量级校验和约束，不把多国上报值包装成完整全球总量，也不反向替代附件真实价格。</w:t>
            </w:r>
          </w:p>
        </w:tc>
      </w:tr>
    </w:tbl>
    <w:bookmarkEnd w:id="14"/>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输入短期拟合，而只将其作为外部风险校验和滞后检验变量，防止同月新闻与同月油价之间的内生性循环。进一步地，本文接入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隐含波动率，将更接近市场交易定价的风险变量用于长期风险权重和不确定性强度约束，而不把它包装成短期方向预测因子。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6"/>
    <w:bookmarkEnd w:id="17"/>
    <w:bookmarkStart w:id="29" w:name="数据处理与描述性分析"/>
    <w:p>
      <w:pPr>
        <w:pStyle w:val="Heading1"/>
      </w:pPr>
      <w:r>
        <w:rPr>
          <w:rFonts w:hint="eastAsia"/>
        </w:rPr>
        <w:t xml:space="preserve">数据处理与描述性分析</w:t>
      </w:r>
    </w:p>
    <w:bookmarkStart w:id="2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CaptionedFigure"/>
      </w:pPr>
      <w:r>
        <w:drawing>
          <wp:inline>
            <wp:extent cx="4907280" cy="2453640"/>
            <wp:effectExtent b="0" l="0" r="0" t="0"/>
            <wp:docPr descr="" title="" id="19" name="Picture"/>
            <a:graphic>
              <a:graphicData uri="http://schemas.openxmlformats.org/drawingml/2006/picture">
                <pic:pic>
                  <pic:nvPicPr>
                    <pic:cNvPr descr="布伦特原油长期价格走势.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2" name="Picture"/>
            <a:graphic>
              <a:graphicData uri="http://schemas.openxmlformats.org/drawingml/2006/picture">
                <pic:pic>
                  <pic:nvPicPr>
                    <pic:cNvPr descr="冲突窗口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4"/>
    <w:bookmarkStart w:id="28"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6" name="Picture"/>
            <a:graphic>
              <a:graphicData uri="http://schemas.openxmlformats.org/drawingml/2006/picture">
                <pic:pic>
                  <pic:nvPicPr>
                    <pic:cNvPr descr="布伦特收益率与波动率.png" id="27" name="Picture"/>
                    <pic:cNvPicPr>
                      <a:picLocks noChangeArrowheads="1" noChangeAspect="1"/>
                    </pic:cNvPicPr>
                  </pic:nvPicPr>
                  <pic:blipFill>
                    <a:blip r:embed="rId25"/>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8"/>
    <w:bookmarkEnd w:id="29"/>
    <w:bookmarkStart w:id="33" w:name="模型假设与符号说明"/>
    <w:p>
      <w:pPr>
        <w:pStyle w:val="Heading1"/>
      </w:pPr>
      <w:r>
        <w:rPr>
          <w:rFonts w:hint="eastAsia"/>
        </w:rPr>
        <w:t xml:space="preserve">模型假设与符号说明</w:t>
      </w:r>
    </w:p>
    <w:bookmarkStart w:id="30"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0"/>
    <w:bookmarkStart w:id="31"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1"/>
    <w:bookmarkStart w:id="32"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2"/>
    <w:bookmarkEnd w:id="33"/>
    <w:bookmarkStart w:id="39" w:name="传统供需基准模型"/>
    <w:p>
      <w:pPr>
        <w:pStyle w:val="Heading1"/>
      </w:pPr>
      <w:r>
        <w:rPr>
          <w:rFonts w:hint="eastAsia"/>
        </w:rPr>
        <w:t xml:space="preserve">传统供需基准模型</w:t>
      </w:r>
    </w:p>
    <w:bookmarkStart w:id="34"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4"/>
    <w:bookmarkStart w:id="38"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6" name="Picture"/>
            <a:graphic>
              <a:graphicData uri="http://schemas.openxmlformats.org/drawingml/2006/picture">
                <pic:pic>
                  <pic:nvPicPr>
                    <pic:cNvPr descr="传统供需基准与真实价格对比.png" id="37" name="Picture"/>
                    <pic:cNvPicPr>
                      <a:picLocks noChangeArrowheads="1" noChangeAspect="1"/>
                    </pic:cNvPicPr>
                  </pic:nvPicPr>
                  <pic:blipFill>
                    <a:blip r:embed="rId35"/>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38"/>
    <w:bookmarkEnd w:id="39"/>
    <w:bookmarkStart w:id="45"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1" name="Picture"/>
            <a:graphic>
              <a:graphicData uri="http://schemas.openxmlformats.org/drawingml/2006/picture">
                <pic:pic>
                  <pic:nvPicPr>
                    <pic:cNvPr descr="综合机制递推模型结构图.png" id="42" name="Picture"/>
                    <pic:cNvPicPr>
                      <a:picLocks noChangeArrowheads="1" noChangeAspect="1"/>
                    </pic:cNvPicPr>
                  </pic:nvPicPr>
                  <pic:blipFill>
                    <a:blip r:embed="rId40"/>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3"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3"/>
    <w:bookmarkStart w:id="44"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该层的函数形式来自三个建模约束。第一，Kilian（2009）、Hamilton（2009）和</w:t>
      </w:r>
      <w:r>
        <w:t xml:space="preserve"> Kilian </w:t>
      </w:r>
      <w:r>
        <w:rPr>
          <w:rFonts w:hint="eastAsia"/>
        </w:rPr>
        <w:t xml:space="preserve">与</w:t>
      </w:r>
      <w:r>
        <w:t xml:space="preserve"> </w:t>
      </w:r>
      <w:r>
        <w:rPr>
          <w:rFonts w:hint="eastAsia"/>
        </w:rPr>
        <w:t xml:space="preserve">Murphy（2014）的研究表明，油价冲击应区分物理供给、预防性需求、库存和预期再定价；因此，本文将剩余物理缺口和风险溢价分开建模。第二，题面给出恐慌情绪放大持续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表示约一周尺度的信息吸收，而指数衰减项表示市场在观察到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可知，式中指数项不是为拟合曲线任意添加，而是对</w:t>
      </w:r>
      <w:r>
        <w:rPr>
          <w:rFonts w:hint="eastAsia"/>
        </w:rPr>
        <w:t xml:space="preserve">“冲击建立–风险消化–缓冲确认”</w:t>
      </w:r>
      <w:r>
        <w:rPr>
          <w:rFonts w:hint="eastAsia"/>
        </w:rPr>
        <w:t xml:space="preserve">三类时间过程的简化表示。</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bookmarkEnd w:id="44"/>
    <w:bookmarkEnd w:id="45"/>
    <w:bookmarkStart w:id="99" w:name="参数校准与模型检验"/>
    <w:p>
      <w:pPr>
        <w:pStyle w:val="Heading1"/>
      </w:pPr>
      <w:r>
        <w:rPr>
          <w:rFonts w:hint="eastAsia"/>
        </w:rPr>
        <w:t xml:space="preserve">参数校准与模型检验</w:t>
      </w:r>
    </w:p>
    <w:bookmarkStart w:id="46"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避免把校准参数包装成外生事实。</w:t>
      </w:r>
    </w:p>
    <w:p>
      <w:pPr>
        <w:pStyle w:val="BodyText"/>
      </w:pPr>
      <w:r>
        <w:rPr>
          <w:rFonts w:hint="eastAsia"/>
        </w:rPr>
        <w:t xml:space="preserve">其中，供应中断量</w:t>
      </w:r>
      <w:r>
        <w:t xml:space="preserve"> 1493 </w:t>
      </w:r>
      <w:r>
        <w:rPr>
          <w:rFonts w:hint="eastAsia"/>
        </w:rPr>
        <w:t xml:space="preserve">万桶/日不是官方观测到的实际中断量，而是在赛题给定中断范围内由短期冲突窗口校准得到的中心情景值。本文只将其作为模型参数使用，并在长期乐观、中性、悲观情景以及蒙特卡洛抽样中覆盖</w:t>
      </w:r>
      <w:r>
        <w:t xml:space="preserve"> 1400–1800 </w:t>
      </w:r>
      <w:r>
        <w:rPr>
          <w:rFonts w:hint="eastAsia"/>
        </w:rPr>
        <w:t xml:space="preserve">万桶/日的扰动区间，避免把单一校准点误写成外生事实。</w:t>
      </w:r>
    </w:p>
    <w:bookmarkEnd w:id="46"/>
    <w:bookmarkStart w:id="53"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8" name="Picture"/>
            <a:graphic>
              <a:graphicData uri="http://schemas.openxmlformats.org/drawingml/2006/picture">
                <pic:pic>
                  <pic:nvPicPr>
                    <pic:cNvPr descr="短期模型拟合效果.png" id="49" name="Picture"/>
                    <pic:cNvPicPr>
                      <a:picLocks noChangeArrowheads="1" noChangeAspect="1"/>
                    </pic:cNvPicPr>
                  </pic:nvPicPr>
                  <pic:blipFill>
                    <a:blip r:embed="rId4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53"/>
    <w:bookmarkStart w:id="63" w:name="基准对比与鲁棒性检验"/>
    <w:p>
      <w:pPr>
        <w:pStyle w:val="Heading2"/>
      </w:pPr>
      <w:r>
        <w:rPr>
          <w:rFonts w:hint="eastAsia"/>
        </w:rPr>
        <w:t xml:space="preserve">基准对比与鲁棒性检验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55" name="Picture"/>
            <a:graphic>
              <a:graphicData uri="http://schemas.openxmlformats.org/drawingml/2006/picture">
                <pic:pic>
                  <pic:nvPicPr>
                    <pic:cNvPr descr="评审质疑防御框架图.png" id="56" name="Picture"/>
                    <pic:cNvPicPr>
                      <a:picLocks noChangeArrowheads="1" noChangeAspect="1"/>
                    </pic:cNvPicPr>
                  </pic:nvPicPr>
                  <pic:blipFill>
                    <a:blip r:embed="rId5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8" name="Picture"/>
            <a:graphic>
              <a:graphicData uri="http://schemas.openxmlformats.org/drawingml/2006/picture">
                <pic:pic>
                  <pic:nvPicPr>
                    <pic:cNvPr descr="短期模型基准对比.png" id="59" name="Picture"/>
                    <pic:cNvPicPr>
                      <a:picLocks noChangeArrowheads="1" noChangeAspect="1"/>
                    </pic:cNvPicPr>
                  </pic:nvPicPr>
                  <pic:blipFill>
                    <a:blip r:embed="rId5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1" name="Picture"/>
            <a:graphic>
              <a:graphicData uri="http://schemas.openxmlformats.org/drawingml/2006/picture">
                <pic:pic>
                  <pic:nvPicPr>
                    <pic:cNvPr descr="短期模型滞后平移检验.png" id="62" name="Picture"/>
                    <pic:cNvPicPr>
                      <a:picLocks noChangeArrowheads="1" noChangeAspect="1"/>
                    </pic:cNvPicPr>
                  </pic:nvPicPr>
                  <pic:blipFill>
                    <a:blip r:embed="rId6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63"/>
    <w:bookmarkStart w:id="67" w:name="结构稳定性检验"/>
    <w:p>
      <w:pPr>
        <w:pStyle w:val="Heading2"/>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5" name="Picture"/>
            <a:graphic>
              <a:graphicData uri="http://schemas.openxmlformats.org/drawingml/2006/picture">
                <pic:pic>
                  <pic:nvPicPr>
                    <pic:cNvPr descr="短期模型过拟合压力测试.png" id="66" name="Picture"/>
                    <pic:cNvPicPr>
                      <a:picLocks noChangeArrowheads="1" noChangeAspect="1"/>
                    </pic:cNvPicPr>
                  </pic:nvPicPr>
                  <pic:blipFill>
                    <a:blip r:embed="rId64"/>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w:t>
      </w:r>
    </w:p>
    <w:bookmarkEnd w:id="67"/>
    <w:bookmarkStart w:id="71"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9" name="Picture"/>
            <a:graphic>
              <a:graphicData uri="http://schemas.openxmlformats.org/drawingml/2006/picture">
                <pic:pic>
                  <pic:nvPicPr>
                    <pic:cNvPr descr="短期模型残差诊断增强.png" id="70" name="Picture"/>
                    <pic:cNvPicPr>
                      <a:picLocks noChangeArrowheads="1" noChangeAspect="1"/>
                    </pic:cNvPicPr>
                  </pic:nvPicPr>
                  <pic:blipFill>
                    <a:blip r:embed="rId68"/>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1"/>
    <w:bookmarkStart w:id="75" w:name="在线残差校正与机器学习辅助边界"/>
    <w:p>
      <w:pPr>
        <w:pStyle w:val="Heading2"/>
      </w:pPr>
      <w:r>
        <w:rPr>
          <w:rFonts w:hint="eastAsia"/>
        </w:rPr>
        <w:t xml:space="preserve">在线残差校正与机器学习辅助边界</w:t>
      </w:r>
    </w:p>
    <w:p>
      <w:pPr>
        <w:pStyle w:val="FirstParagraph"/>
      </w:pPr>
      <w:r>
        <w:rPr>
          <w:rFonts w:hint="eastAsia"/>
        </w:rPr>
        <w:t xml:space="preserve">考虑到短期模型残差仍存在轻微连续偏差，本文进一步引入一个轻量在线校正层。该层不替代综合机制递推主模型，只使用第</w:t>
      </w:r>
      <w:r>
        <w:t xml:space="preserve"> </w:t>
      </w:r>
      <m:oMath>
        <m:r>
          <m:t>t</m:t>
        </m:r>
        <m:r>
          <m:rPr>
            <m:sty m:val="p"/>
          </m:rPr>
          <m:t>−</m:t>
        </m:r>
        <m:r>
          <m:t>1</m:t>
        </m:r>
      </m:oMath>
      <w:r>
        <w:t xml:space="preserve"> </w:t>
      </w:r>
      <w:r>
        <w:rPr>
          <w:rFonts w:hint="eastAsia"/>
        </w:rPr>
        <w:t xml:space="preserve">日以前已经观测到的模型误差来估计第</w:t>
      </w:r>
      <w:r>
        <w:t xml:space="preserve"> </w:t>
      </w:r>
      <m:oMath>
        <m:r>
          <m:t>t</m:t>
        </m:r>
      </m:oMath>
      <w:r>
        <w:t xml:space="preserve"> </w:t>
      </w:r>
      <w:r>
        <w:rPr>
          <w:rFonts w:hint="eastAsia"/>
        </w:rPr>
        <w:t xml:space="preserve">日误差反馈：</w:t>
      </w:r>
    </w:p>
    <w:p>
      <w:pPr>
        <w:pStyle w:val="BodyText"/>
      </w:pPr>
      <m:oMathPara>
        <m:oMathParaPr>
          <m:jc m:val="center"/>
        </m:oMathParaPr>
        <m:oMath>
          <m:sSub>
            <m:e>
              <m:r>
                <m:t>e</m:t>
              </m:r>
            </m:e>
            <m:sub>
              <m:r>
                <m:t>t</m:t>
              </m:r>
            </m:sub>
          </m:sSub>
          <m:r>
            <m:rPr>
              <m:sty m:val="p"/>
            </m:rPr>
            <m:t>=</m:t>
          </m:r>
          <m:sSub>
            <m:e>
              <m:r>
                <m:t>ρ</m:t>
              </m:r>
            </m:e>
            <m:sub>
              <m:r>
                <m:t>t</m:t>
              </m:r>
            </m:sub>
          </m:sSub>
          <m:sSub>
            <m:e>
              <m:r>
                <m:t>e</m:t>
              </m:r>
            </m:e>
            <m:sub>
              <m:r>
                <m:t>t</m:t>
              </m:r>
              <m:r>
                <m:rPr>
                  <m:sty m:val="p"/>
                </m:rPr>
                <m:t>−</m:t>
              </m:r>
              <m:r>
                <m:t>1</m:t>
              </m:r>
            </m:sub>
          </m:sSub>
          <m:r>
            <m:rPr>
              <m:sty m:val="p"/>
            </m:rPr>
            <m:t>+</m:t>
          </m:r>
          <m:sSub>
            <m:e>
              <m:r>
                <m:t>η</m:t>
              </m:r>
            </m:e>
            <m:sub>
              <m:r>
                <m:t>t</m:t>
              </m:r>
            </m:sub>
          </m:sSub>
          <m:r>
            <m:rPr>
              <m:sty m:val="p"/>
            </m:rPr>
            <m:t>,</m:t>
          </m:r>
          <m:r>
            <m:t>  </m:t>
          </m:r>
          <m:sSubSup>
            <m:e>
              <m:acc>
                <m:accPr>
                  <m:chr m:val="̂"/>
                </m:accPr>
                <m:e>
                  <m:r>
                    <m:t>P</m:t>
                  </m:r>
                </m:e>
              </m:acc>
            </m:e>
            <m:sub>
              <m:r>
                <m:t>t</m:t>
              </m:r>
            </m:sub>
            <m:sup>
              <m:r>
                <m:t> </m:t>
              </m:r>
              <m:r>
                <m:t>c</m:t>
              </m:r>
            </m:sup>
          </m:sSubSup>
          <m:r>
            <m:rPr>
              <m:sty m:val="p"/>
            </m:rPr>
            <m:t>=</m:t>
          </m:r>
          <m:sSub>
            <m:e>
              <m:acc>
                <m:accPr>
                  <m:chr m:val="̂"/>
                </m:accPr>
                <m:e>
                  <m:r>
                    <m:t>P</m:t>
                  </m:r>
                </m:e>
              </m:acc>
            </m:e>
            <m:sub>
              <m:r>
                <m:t>t</m:t>
              </m:r>
            </m:sub>
          </m:sSub>
          <m:r>
            <m:rPr>
              <m:sty m:val="p"/>
            </m:rPr>
            <m:t>−</m:t>
          </m:r>
          <m:sSub>
            <m:e>
              <m:r>
                <m:t>ρ</m:t>
              </m:r>
            </m:e>
            <m:sub>
              <m:r>
                <m:t>t</m:t>
              </m:r>
            </m:sub>
          </m:sSub>
          <m:sSub>
            <m:e>
              <m:r>
                <m:t>e</m:t>
              </m:r>
            </m:e>
            <m:sub>
              <m:r>
                <m:t>t</m:t>
              </m:r>
              <m:r>
                <m:rPr>
                  <m:sty m:val="p"/>
                </m:rPr>
                <m:t>−</m:t>
              </m:r>
              <m:r>
                <m:t>1</m:t>
              </m:r>
            </m:sub>
          </m:sSub>
          <m:r>
            <m:rPr>
              <m:sty m:val="p"/>
            </m:rPr>
            <m:t>.</m:t>
          </m:r>
        </m:oMath>
      </m:oMathPara>
    </w:p>
    <w:p>
      <w:pPr>
        <w:pStyle w:val="FirstParagraph"/>
      </w:pPr>
      <w:r>
        <w:rPr>
          <w:rFonts w:hint="eastAsia"/>
        </w:rPr>
        <w:t xml:space="preserve">其中</w:t>
      </w:r>
      <w:r>
        <w:t xml:space="preserve"> </w:t>
      </w:r>
      <m:oMath>
        <m:sSub>
          <m:e>
            <m:r>
              <m:t>e</m:t>
            </m:r>
          </m:e>
          <m:sub>
            <m:r>
              <m:t>t</m:t>
            </m:r>
          </m:sub>
        </m:sSub>
        <m:r>
          <m:rPr>
            <m:sty m:val="p"/>
          </m:rPr>
          <m:t>=</m:t>
        </m:r>
        <m:sSub>
          <m:e>
            <m:acc>
              <m:accPr>
                <m:chr m:val="̂"/>
              </m:accPr>
              <m:e>
                <m:r>
                  <m:t>P</m:t>
                </m:r>
              </m:e>
            </m:acc>
          </m:e>
          <m:sub>
            <m:r>
              <m:t>t</m:t>
            </m:r>
          </m:sub>
        </m:sSub>
        <m:r>
          <m:rPr>
            <m:sty m:val="p"/>
          </m:rPr>
          <m:t>−</m:t>
        </m:r>
        <m:sSub>
          <m:e>
            <m:r>
              <m:t>P</m:t>
            </m:r>
          </m:e>
          <m:sub>
            <m:r>
              <m:t>t</m:t>
            </m:r>
          </m:sub>
        </m:sSub>
      </m:oMath>
      <w:r>
        <w:rPr>
          <w:rFonts w:hint="eastAsia"/>
        </w:rPr>
        <w:t xml:space="preserve">，</w:t>
      </w:r>
      <m:oMath>
        <m:sSub>
          <m:e>
            <m:r>
              <m:t>ρ</m:t>
            </m:r>
          </m:e>
          <m:sub>
            <m:r>
              <m:t>t</m:t>
            </m:r>
          </m:sub>
        </m:sSub>
      </m:oMath>
      <w:r>
        <w:t xml:space="preserve"> </w:t>
      </w:r>
      <w:r>
        <w:rPr>
          <w:rFonts w:hint="eastAsia"/>
        </w:rPr>
        <w:t xml:space="preserve">通过扩展窗口岭回归估计，并限制在</w:t>
      </w:r>
      <w:r>
        <w:t xml:space="preserve"> </w:t>
      </w:r>
      <m:oMath>
        <m:r>
          <m:rPr>
            <m:sty m:val="p"/>
          </m:rPr>
          <m:t>[</m:t>
        </m:r>
        <m:r>
          <m:t>0</m:t>
        </m:r>
        <m:r>
          <m:rPr>
            <m:sty m:val="p"/>
          </m:rPr>
          <m:t>,</m:t>
        </m:r>
        <m:r>
          <m:t>0.5</m:t>
        </m:r>
        <m:r>
          <m:rPr>
            <m:sty m:val="p"/>
          </m:rPr>
          <m:t>]</m:t>
        </m:r>
      </m:oMath>
      <w:r>
        <w:t xml:space="preserve"> </w:t>
      </w:r>
      <w:r>
        <w:rPr>
          <w:rFonts w:hint="eastAsia"/>
        </w:rPr>
        <w:t xml:space="preserve">内，防止校正层追逐噪声。第</w:t>
      </w:r>
      <w:r>
        <w:t xml:space="preserve"> </w:t>
      </w:r>
      <m:oMath>
        <m:r>
          <m:t>t</m:t>
        </m:r>
      </m:oMath>
      <w:r>
        <w:t xml:space="preserve"> </w:t>
      </w:r>
      <w:r>
        <w:rPr>
          <w:rFonts w:hint="eastAsia"/>
        </w:rPr>
        <w:t xml:space="preserve">日校正不能读取第</w:t>
      </w:r>
      <w:r>
        <w:t xml:space="preserve"> </w:t>
      </w:r>
      <m:oMath>
        <m:r>
          <m:t>t</m:t>
        </m:r>
      </m:oMath>
      <w:r>
        <w:t xml:space="preserve"> </w:t>
      </w:r>
      <w:r>
        <w:rPr>
          <w:rFonts w:hint="eastAsia"/>
        </w:rPr>
        <w:t xml:space="preserve">日真实价格，因此不是事后平滑曲线；它相当于把机器学习中的在线残差学习思想作为主模型的辅助滤波器。</w:t>
      </w:r>
    </w:p>
    <w:p>
      <w:pPr>
        <w:pStyle w:val="TableCaption"/>
      </w:pPr>
      <w:r>
        <w:rPr>
          <w:rFonts w:hint="eastAsia"/>
        </w:rPr>
        <w:t xml:space="preserve">短期在线残差校正效果</w:t>
      </w:r>
    </w:p>
    <w:tbl>
      <w:tblPr>
        <w:tblStyle w:val="Table"/>
        <w:tblW w:type="auto" w:w="0"/>
        <w:tblLook w:firstRow="1" w:lastRow="0" w:firstColumn="0" w:lastColumn="0" w:noHBand="0" w:noVBand="0" w:val="0020"/>
        <w:tblCaption w:val="短期在线残差校正效果"/>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机制递推主模型</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2.858%</w:t>
            </w:r>
          </w:p>
        </w:tc>
        <w:tc>
          <w:tcPr/>
          <w:p>
            <w:pPr>
              <w:pStyle w:val="Compact"/>
              <w:jc w:val="right"/>
            </w:pPr>
            <w:r>
              <w:t xml:space="preserve">64.4%</w:t>
            </w:r>
          </w:p>
        </w:tc>
      </w:tr>
      <w:tr>
        <w:tc>
          <w:tcPr/>
          <w:p>
            <w:pPr>
              <w:pStyle w:val="Compact"/>
              <w:jc w:val="left"/>
            </w:pPr>
            <w:r>
              <w:rPr>
                <w:rFonts w:hint="eastAsia"/>
              </w:rPr>
              <w:t xml:space="preserve">在线残差校正模型</w:t>
            </w:r>
          </w:p>
        </w:tc>
        <w:tc>
          <w:tcPr/>
          <w:p>
            <w:pPr>
              <w:pStyle w:val="Compact"/>
              <w:jc w:val="right"/>
            </w:pPr>
            <w:r>
              <w:t xml:space="preserve">3.383</w:t>
            </w:r>
          </w:p>
        </w:tc>
        <w:tc>
          <w:tcPr/>
          <w:p>
            <w:pPr>
              <w:pStyle w:val="Compact"/>
              <w:jc w:val="right"/>
            </w:pPr>
            <w:r>
              <w:t xml:space="preserve">2.794</w:t>
            </w:r>
          </w:p>
        </w:tc>
        <w:tc>
          <w:tcPr/>
          <w:p>
            <w:pPr>
              <w:pStyle w:val="Compact"/>
              <w:jc w:val="right"/>
            </w:pPr>
            <w:r>
              <w:t xml:space="preserve">2.797%</w:t>
            </w:r>
          </w:p>
        </w:tc>
        <w:tc>
          <w:tcPr/>
          <w:p>
            <w:pPr>
              <w:pStyle w:val="Compact"/>
              <w:jc w:val="right"/>
            </w:pPr>
            <w:r>
              <w:t xml:space="preserve">57.8%</w:t>
            </w:r>
          </w:p>
        </w:tc>
      </w:tr>
      <w:tr>
        <w:tc>
          <w:tcPr/>
          <w:p>
            <w:pPr>
              <w:pStyle w:val="Compact"/>
              <w:jc w:val="left"/>
            </w:pPr>
            <w:r>
              <w:rPr>
                <w:rFonts w:hint="eastAsia"/>
              </w:rPr>
              <w:t xml:space="preserve">朴素上一日基准</w:t>
            </w:r>
          </w:p>
        </w:tc>
        <w:tc>
          <w:tcPr/>
          <w:p>
            <w:pPr>
              <w:pStyle w:val="Compact"/>
              <w:jc w:val="right"/>
            </w:pPr>
            <w:r>
              <w:t xml:space="preserve">4.467</w:t>
            </w:r>
          </w:p>
        </w:tc>
        <w:tc>
          <w:tcPr/>
          <w:p>
            <w:pPr>
              <w:pStyle w:val="Compact"/>
              <w:jc w:val="right"/>
            </w:pPr>
            <w:r>
              <w:t xml:space="preserve">3.570</w:t>
            </w:r>
          </w:p>
        </w:tc>
        <w:tc>
          <w:tcPr/>
          <w:p>
            <w:pPr>
              <w:pStyle w:val="Compact"/>
              <w:jc w:val="right"/>
            </w:pPr>
            <w:r>
              <w:t xml:space="preserve">3.541%</w:t>
            </w:r>
          </w:p>
        </w:tc>
        <w:tc>
          <w:tcPr/>
          <w:p>
            <w:pPr>
              <w:pStyle w:val="Compact"/>
              <w:jc w:val="right"/>
            </w:pPr>
            <w:r>
              <w:t xml:space="preserve">46.7%</w:t>
            </w:r>
          </w:p>
        </w:tc>
      </w:tr>
    </w:tbl>
    <w:p>
      <w:pPr>
        <w:pStyle w:val="CaptionedFigure"/>
      </w:pPr>
      <w:r>
        <w:drawing>
          <wp:inline>
            <wp:extent cx="4907280" cy="3655675"/>
            <wp:effectExtent b="0" l="0" r="0" t="0"/>
            <wp:docPr descr="" title="" id="73" name="Picture"/>
            <a:graphic>
              <a:graphicData uri="http://schemas.openxmlformats.org/drawingml/2006/picture">
                <pic:pic>
                  <pic:nvPicPr>
                    <pic:cNvPr descr="短期模型在线残差校正效果.png" id="74" name="Picture"/>
                    <pic:cNvPicPr>
                      <a:picLocks noChangeArrowheads="1" noChangeAspect="1"/>
                    </pic:cNvPicPr>
                  </pic:nvPicPr>
                  <pic:blipFill>
                    <a:blip r:embed="rId7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短期模型在线残差校正效果。校正层降低了价格水平误差，但方向解释仍以机制主模型为准。</w:t>
      </w:r>
    </w:p>
    <w:p>
      <w:pPr>
        <w:pStyle w:val="BodyText"/>
      </w:pPr>
      <w:r>
        <w:rPr>
          <w:rFonts w:hint="eastAsia"/>
        </w:rPr>
        <w:t xml:space="preserve">结果显示，在线校正可将</w:t>
      </w:r>
      <w:r>
        <w:t xml:space="preserve"> RMSE </w:t>
      </w:r>
      <w:r>
        <w:rPr>
          <w:rFonts w:hint="eastAsia"/>
        </w:rPr>
        <w:t xml:space="preserve">从</w:t>
      </w:r>
      <w:r>
        <w:t xml:space="preserve"> 3.440 </w:t>
      </w:r>
      <w:r>
        <w:rPr>
          <w:rFonts w:hint="eastAsia"/>
        </w:rPr>
        <w:t xml:space="preserve">降至</w:t>
      </w:r>
      <w:r>
        <w:t xml:space="preserve"> </w:t>
      </w:r>
      <w:r>
        <w:rPr>
          <w:rFonts w:hint="eastAsia"/>
        </w:rPr>
        <w:t xml:space="preserve">3.383，MAE</w:t>
      </w:r>
      <w:r>
        <w:t xml:space="preserve"> </w:t>
      </w:r>
      <w:r>
        <w:rPr>
          <w:rFonts w:hint="eastAsia"/>
        </w:rPr>
        <w:t xml:space="preserve">从</w:t>
      </w:r>
      <w:r>
        <w:t xml:space="preserve"> 2.855 </w:t>
      </w:r>
      <w:r>
        <w:rPr>
          <w:rFonts w:hint="eastAsia"/>
        </w:rPr>
        <w:t xml:space="preserve">降至</w:t>
      </w:r>
      <w:r>
        <w:t xml:space="preserve"> </w:t>
      </w:r>
      <w:r>
        <w:rPr>
          <w:rFonts w:hint="eastAsia"/>
        </w:rPr>
        <w:t xml:space="preserve">2.794，最大绝对误差也有所下降。这说明冲突窗口中确实存在可利用的短期误差惯性。但在线校正后的方向命中率低于机制主模型，因此本文不将其升级为新的主模型，而是把它作为计算机方法的克制引入：主模型负责机制解释和方向判断，在线校正层只用于说明残差层面仍存在有限的自适应改进空间。</w:t>
      </w:r>
    </w:p>
    <w:bookmarkEnd w:id="75"/>
    <w:bookmarkStart w:id="79" w:name="时间轴语义与删块稳健性复核"/>
    <w:p>
      <w:pPr>
        <w:pStyle w:val="Heading2"/>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77" name="Picture"/>
            <a:graphic>
              <a:graphicData uri="http://schemas.openxmlformats.org/drawingml/2006/picture">
                <pic:pic>
                  <pic:nvPicPr>
                    <pic:cNvPr descr="短期模型时间轴与删块稳健性.png" id="78" name="Picture"/>
                    <pic:cNvPicPr>
                      <a:picLocks noChangeArrowheads="1" noChangeAspect="1"/>
                    </pic:cNvPicPr>
                  </pic:nvPicPr>
                  <pic:blipFill>
                    <a:blip r:embed="rId76"/>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79"/>
    <w:bookmarkStart w:id="86" w:name="统计检验与-r-语言辅助定位"/>
    <w:p>
      <w:pPr>
        <w:pStyle w:val="Heading2"/>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1" name="Picture"/>
            <a:graphic>
              <a:graphicData uri="http://schemas.openxmlformats.org/drawingml/2006/picture">
                <pic:pic>
                  <pic:nvPicPr>
                    <pic:cNvPr descr="短期模型统计审计.png" id="82" name="Picture"/>
                    <pic:cNvPicPr>
                      <a:picLocks noChangeArrowheads="1" noChangeAspect="1"/>
                    </pic:cNvPicPr>
                  </pic:nvPicPr>
                  <pic:blipFill>
                    <a:blip r:embed="rId80"/>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4" name="Picture"/>
            <a:graphic>
              <a:graphicData uri="http://schemas.openxmlformats.org/drawingml/2006/picture">
                <pic:pic>
                  <pic:nvPicPr>
                    <pic:cNvPr descr="R短期误差学术诊断.png" id="85" name="Picture"/>
                    <pic:cNvPicPr>
                      <a:picLocks noChangeArrowheads="1" noChangeAspect="1"/>
                    </pic:cNvPicPr>
                  </pic:nvPicPr>
                  <pic:blipFill>
                    <a:blip r:embed="rId83"/>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86"/>
    <w:bookmarkStart w:id="87"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87"/>
    <w:bookmarkStart w:id="91"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89" name="Picture"/>
            <a:graphic>
              <a:graphicData uri="http://schemas.openxmlformats.org/drawingml/2006/picture">
                <pic:pic>
                  <pic:nvPicPr>
                    <pic:cNvPr descr="短期模型拐点局部检验.png" id="90" name="Picture"/>
                    <pic:cNvPicPr>
                      <a:picLocks noChangeArrowheads="1" noChangeAspect="1"/>
                    </pic:cNvPicPr>
                  </pic:nvPicPr>
                  <pic:blipFill>
                    <a:blip r:embed="rId88"/>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91"/>
    <w:bookmarkStart w:id="95"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3" name="Picture"/>
            <a:graphic>
              <a:graphicData uri="http://schemas.openxmlformats.org/drawingml/2006/picture">
                <pic:pic>
                  <pic:nvPicPr>
                    <pic:cNvPr descr="短期模型稳健性带.png" id="94" name="Picture"/>
                    <pic:cNvPicPr>
                      <a:picLocks noChangeArrowheads="1" noChangeAspect="1"/>
                    </pic:cNvPicPr>
                  </pic:nvPicPr>
                  <pic:blipFill>
                    <a:blip r:embed="rId92"/>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bookmarkEnd w:id="95"/>
    <w:bookmarkStart w:id="96" w:name="内生性反事实基准与结构边界"/>
    <w:p>
      <w:pPr>
        <w:pStyle w:val="Heading2"/>
      </w:pPr>
      <w:r>
        <w:rPr>
          <w:rFonts w:hint="eastAsia"/>
        </w:rPr>
        <w:t xml:space="preserve">内生性、反事实基准与结构边界</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“低短期弹性静态供需模型会显著高估现实价格，必须引入库存、SPR、绕道、需求收缩、价格传导折价和预期修复等动态机制解释现实平台”</w:t>
      </w:r>
      <w:r>
        <w:t xml:space="preserve">。</w:t>
      </w:r>
    </w:p>
    <w:p>
      <w:pPr>
        <w:pStyle w:val="BodyText"/>
      </w:pPr>
      <w:r>
        <w:rPr>
          <w:rFonts w:hint="eastAsia"/>
        </w:rPr>
        <w:t xml:space="preserve">最后，本文检查递推结构的价格边界。短期动态递推函数中不存在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美元只作为题面观测参考区间出现在图表阴影和展示配置中，不参与价格递推计算。需要强调的是，当前模型也不是严格意义上的微观多智能体涌现模型，更准确的表述应是机制递推模型；本文可以说明</w:t>
      </w:r>
      <w:r>
        <w:t xml:space="preserve"> 120 </w:t>
      </w:r>
      <w:r>
        <w:rPr>
          <w:rFonts w:hint="eastAsia"/>
        </w:rPr>
        <w:t xml:space="preserve">美元平台不是外生价格上限，但不声称已经实现了多智能体动态纳什均衡。</w:t>
      </w:r>
    </w:p>
    <w:bookmarkEnd w:id="96"/>
    <w:bookmarkStart w:id="98" w:name="鲁棒性与边界检验总览"/>
    <w:p>
      <w:pPr>
        <w:pStyle w:val="Heading2"/>
      </w:pPr>
      <w:r>
        <w:rPr>
          <w:rFonts w:hint="eastAsia"/>
        </w:rPr>
        <w:t xml:space="preserve">鲁棒性与边界检验总览</w:t>
      </w:r>
    </w:p>
    <w:p>
      <w:pPr>
        <w:pStyle w:val="FirstParagraph"/>
      </w:pPr>
      <w:r>
        <w:rPr>
          <w:rFonts w:hint="eastAsia"/>
        </w:rPr>
        <w:t xml:space="preserve">为避免模型检验只呈现有利指标，本文将关键不确定性来源转化为鲁棒性与边界检验。表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中的检验均不重新寻找最优参数，而是在同一模型框架下改变某个关键条件，观察主结论是否保持稳定。</w:t>
      </w:r>
    </w:p>
    <w:bookmarkStart w:id="97"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97"/>
    <w:bookmarkEnd w:id="98"/>
    <w:bookmarkEnd w:id="99"/>
    <w:bookmarkStart w:id="119" w:name="天三情景预测"/>
    <w:p>
      <w:pPr>
        <w:pStyle w:val="Heading1"/>
      </w:pPr>
      <w:r>
        <w:t xml:space="preserve">60–180 </w:t>
      </w:r>
      <w:r>
        <w:rPr>
          <w:rFonts w:hint="eastAsia"/>
        </w:rPr>
        <w:t xml:space="preserve">天三情景预测</w:t>
      </w:r>
    </w:p>
    <w:bookmarkStart w:id="100"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0"/>
    <w:bookmarkStart w:id="103"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为避免参数自由度过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校验方式见表</w:t>
      </w:r>
      <w:r>
        <w:t xml:space="preserve"> </w:t>
      </w:r>
      <w:hyperlink w:anchor="tab:long-parameter-audit">
        <w:r>
          <w:rPr>
            <w:rStyle w:val="Hyperlink"/>
          </w:rPr>
          <w:t xml:space="preserve">4</w:t>
        </w:r>
      </w:hyperlink>
      <w:r>
        <w:t xml:space="preserve">。</w:t>
      </w:r>
    </w:p>
    <w:bookmarkStart w:id="101"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101"/>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。具体做法不是用外部数据替代赛题参数，而是由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02"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02"/>
    <w:bookmarkEnd w:id="103"/>
    <w:bookmarkStart w:id="118"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07" w:name="fig:long-term-fan"/>
    <w:p>
      <w:pPr>
        <w:pStyle w:val="CaptionedFigure"/>
      </w:pPr>
      <w:r>
        <w:drawing>
          <wp:inline>
            <wp:extent cx="5227320" cy="2777013"/>
            <wp:effectExtent b="0" l="0" r="0" t="0"/>
            <wp:docPr descr="" title="" id="105" name="Picture"/>
            <a:graphic>
              <a:graphicData uri="http://schemas.openxmlformats.org/drawingml/2006/picture">
                <pic:pic>
                  <pic:nvPicPr>
                    <pic:cNvPr descr="蒙特卡洛情景树高级组合图.png" id="106" name="Picture"/>
                    <pic:cNvPicPr>
                      <a:picLocks noChangeArrowheads="1" noChangeAspect="1"/>
                    </pic:cNvPicPr>
                  </pic:nvPicPr>
                  <pic:blipFill>
                    <a:blip r:embed="rId104"/>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w:t>
      </w:r>
    </w:p>
    <w:bookmarkEnd w:id="107"/>
    <w:p>
      <w:pPr>
        <w:pStyle w:val="CaptionedFigure"/>
      </w:pPr>
      <w:r>
        <w:drawing>
          <wp:inline>
            <wp:extent cx="5013960" cy="2757678"/>
            <wp:effectExtent b="0" l="0" r="0" t="0"/>
            <wp:docPr descr="" title="" id="109" name="Picture"/>
            <a:graphic>
              <a:graphicData uri="http://schemas.openxmlformats.org/drawingml/2006/picture">
                <pic:pic>
                  <pic:nvPicPr>
                    <pic:cNvPr descr="短期拟合与长期预测总览.png" id="110" name="Picture"/>
                    <pic:cNvPicPr>
                      <a:picLocks noChangeArrowheads="1" noChangeAspect="1"/>
                    </pic:cNvPicPr>
                  </pic:nvPicPr>
                  <pic:blipFill>
                    <a:blip r:embed="rId108"/>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这样得到的长期图不再是一条孤立直线，而是中心路径、状态概率和尾部区间的组合。</w:t>
      </w:r>
    </w:p>
    <w:bookmarkStart w:id="114" w:name="fig:state-transition-fan"/>
    <w:p>
      <w:pPr>
        <w:pStyle w:val="CaptionedFigure"/>
      </w:pPr>
      <w:r>
        <w:drawing>
          <wp:inline>
            <wp:extent cx="5013960" cy="3654242"/>
            <wp:effectExtent b="0" l="0" r="0" t="0"/>
            <wp:docPr descr="" title="" id="112" name="Picture"/>
            <a:graphic>
              <a:graphicData uri="http://schemas.openxmlformats.org/drawingml/2006/picture">
                <pic:pic>
                  <pic:nvPicPr>
                    <pic:cNvPr descr="长期状态转移情景树.png" id="113" name="Picture"/>
                    <pic:cNvPicPr>
                      <a:picLocks noChangeArrowheads="1" noChangeAspect="1"/>
                    </pic:cNvPicPr>
                  </pic:nvPicPr>
                  <pic:blipFill>
                    <a:blip r:embed="rId111"/>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114"/>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86.31–95.55 </w:t>
      </w:r>
      <w:r>
        <w:rPr>
          <w:rFonts w:hint="eastAsia"/>
        </w:rPr>
        <w:t xml:space="preserve">美元/桶，外推期最高价</w:t>
      </w:r>
      <w:r>
        <w:t xml:space="preserve"> P95 </w:t>
      </w:r>
      <w:r>
        <w:rPr>
          <w:rFonts w:hint="eastAsia"/>
        </w:rPr>
        <w:t xml:space="preserve">为</w:t>
      </w:r>
      <w:r>
        <w:t xml:space="preserve"> 128.72 </w:t>
      </w:r>
      <w:r>
        <w:rPr>
          <w:rFonts w:hint="eastAsia"/>
        </w:rPr>
        <w:t xml:space="preserve">美元/桶，说明长期中心路径的日度精度不能单独夸大，真正应关注的是尾部区间和状态切换风险。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86.31–95.55 </w:t>
            </w:r>
            <w:r>
              <w:rPr>
                <w:rFonts w:hint="eastAsia"/>
              </w:rPr>
              <w:t xml:space="preserve">美元/桶，外推期最高价</w:t>
            </w:r>
            <w:r>
              <w:t xml:space="preserve"> P95 </w:t>
            </w:r>
            <w:r>
              <w:rPr>
                <w:rFonts w:hint="eastAsia"/>
              </w:rPr>
              <w:t xml:space="preserve">为</w:t>
            </w:r>
            <w:r>
              <w:t xml:space="preserve"> 128.72 </w:t>
            </w:r>
            <w:r>
              <w:rPr>
                <w:rFonts w:hint="eastAsia"/>
              </w:rPr>
              <w:t xml:space="preserve">美元/桶</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天物理缺口已基本闭合，但价格仍高于战前</w:t>
      </w:r>
      <w:r>
        <w:t xml:space="preserve"> 75 </w:t>
      </w:r>
      <w:r>
        <w:rPr>
          <w:rFonts w:hint="eastAsia"/>
        </w:rPr>
        <w:t xml:space="preserve">美元/桶，并非供需项失效，而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16" name="Picture"/>
            <a:graphic>
              <a:graphicData uri="http://schemas.openxmlformats.org/drawingml/2006/picture">
                <pic:pic>
                  <pic:nvPicPr>
                    <pic:cNvPr descr="库存与供需缺口风险.png" id="117" name="Picture"/>
                    <pic:cNvPicPr>
                      <a:picLocks noChangeArrowheads="1" noChangeAspect="1"/>
                    </pic:cNvPicPr>
                  </pic:nvPicPr>
                  <pic:blipFill>
                    <a:blip r:embed="rId115"/>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118"/>
    <w:bookmarkEnd w:id="119"/>
    <w:bookmarkStart w:id="158" w:name="敏感性分析"/>
    <w:p>
      <w:pPr>
        <w:pStyle w:val="Heading1"/>
      </w:pPr>
      <w:r>
        <w:rPr>
          <w:rFonts w:hint="eastAsia"/>
        </w:rPr>
        <w:t xml:space="preserve">敏感性分析</w:t>
      </w:r>
    </w:p>
    <w:bookmarkStart w:id="120"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20"/>
    <w:bookmarkStart w:id="12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22" name="Picture"/>
            <a:graphic>
              <a:graphicData uri="http://schemas.openxmlformats.org/drawingml/2006/picture">
                <pic:pic>
                  <pic:nvPicPr>
                    <pic:cNvPr descr="参数敏感性龙卷风图.png" id="123" name="Picture"/>
                    <pic:cNvPicPr>
                      <a:picLocks noChangeArrowheads="1" noChangeAspect="1"/>
                    </pic:cNvPicPr>
                  </pic:nvPicPr>
                  <pic:blipFill>
                    <a:blip r:embed="rId121"/>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天终点价格对市场风险吸收速度最敏感。封锁风险衰减速度从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24"/>
    <w:bookmarkStart w:id="13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为避免蒙特卡洛区间完全依赖主观设定，本文进一步利用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26" name="Picture"/>
            <a:graphic>
              <a:graphicData uri="http://schemas.openxmlformats.org/drawingml/2006/picture">
                <pic:pic>
                  <pic:nvPicPr>
                    <pic:cNvPr descr="历史波动参数校准.png" id="127" name="Picture"/>
                    <pic:cNvPicPr>
                      <a:picLocks noChangeArrowheads="1" noChangeAspect="1"/>
                    </pic:cNvPicPr>
                  </pic:nvPicPr>
                  <pic:blipFill>
                    <a:blip r:embed="rId12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31" w:name="fig:mc-path-cloud"/>
    <w:p>
      <w:pPr>
        <w:pStyle w:val="CaptionedFigure"/>
      </w:pPr>
      <w:r>
        <w:drawing>
          <wp:inline>
            <wp:extent cx="4907280" cy="2661575"/>
            <wp:effectExtent b="0" l="0" r="0" t="0"/>
            <wp:docPr descr="" title="" id="129" name="Picture"/>
            <a:graphic>
              <a:graphicData uri="http://schemas.openxmlformats.org/drawingml/2006/picture">
                <pic:pic>
                  <pic:nvPicPr>
                    <pic:cNvPr descr="传统蒙特卡洛路径云图.png" id="130" name="Picture"/>
                    <pic:cNvPicPr>
                      <a:picLocks noChangeArrowheads="1" noChangeAspect="1"/>
                    </pic:cNvPicPr>
                  </pic:nvPicPr>
                  <pic:blipFill>
                    <a:blip r:embed="rId12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3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33" name="Picture"/>
            <a:graphic>
              <a:graphicData uri="http://schemas.openxmlformats.org/drawingml/2006/picture">
                <pic:pic>
                  <pic:nvPicPr>
                    <pic:cNvPr descr="蒙特卡洛尾部风险概率.png" id="134" name="Picture"/>
                    <pic:cNvPicPr>
                      <a:picLocks noChangeArrowheads="1" noChangeAspect="1"/>
                    </pic:cNvPicPr>
                  </pic:nvPicPr>
                  <pic:blipFill>
                    <a:blip r:embed="rId13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35"/>
    <w:bookmarkStart w:id="13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89.49 </w:t>
      </w:r>
      <w:r>
        <w:rPr>
          <w:rFonts w:hint="eastAsia"/>
        </w:rPr>
        <w:t xml:space="preserve">美元/桶，5%–95%</w:t>
      </w:r>
      <w:r>
        <w:t xml:space="preserve"> </w:t>
      </w:r>
      <w:r>
        <w:rPr>
          <w:rFonts w:hint="eastAsia"/>
        </w:rPr>
        <w:t xml:space="preserve">条件区间为</w:t>
      </w:r>
      <w:r>
        <w:t xml:space="preserve"> 86.31–95.55 </w:t>
      </w:r>
      <w:r>
        <w:rPr>
          <w:rFonts w:hint="eastAsia"/>
        </w:rPr>
        <w:t xml:space="preserve">美元/桶；外推期最高价</w:t>
      </w:r>
      <w:r>
        <w:t xml:space="preserve"> P95 </w:t>
      </w:r>
      <w:r>
        <w:rPr>
          <w:rFonts w:hint="eastAsia"/>
        </w:rPr>
        <w:t xml:space="preserve">为</w:t>
      </w:r>
      <w:r>
        <w:t xml:space="preserve"> 128.72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27.7%，突破</w:t>
      </w:r>
      <w:r>
        <w:t xml:space="preserve"> 130 </w:t>
      </w:r>
      <w:r>
        <w:rPr>
          <w:rFonts w:hint="eastAsia"/>
        </w:rPr>
        <w:t xml:space="preserve">美元/桶的条件概率为</w:t>
      </w:r>
      <w:r>
        <w:t xml:space="preserve"> </w:t>
      </w:r>
      <w:r>
        <w:rPr>
          <w:rFonts w:hint="eastAsia"/>
        </w:rPr>
        <w:t xml:space="preserve">3.5%。这说明状态切换确实会放大外推期局部峰值，但不会推翻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37" name="Picture"/>
            <a:graphic>
              <a:graphicData uri="http://schemas.openxmlformats.org/drawingml/2006/picture">
                <pic:pic>
                  <pic:nvPicPr>
                    <pic:cNvPr descr="R长期状态转移扇形图.png" id="138" name="Picture"/>
                    <pic:cNvPicPr>
                      <a:picLocks noChangeArrowheads="1" noChangeAspect="1"/>
                    </pic:cNvPicPr>
                  </pic:nvPicPr>
                  <pic:blipFill>
                    <a:blip r:embed="rId13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39"/>
    <w:bookmarkStart w:id="14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月度指数做外部校验，并采用滞后一期口径。</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41" name="Picture"/>
            <a:graphic>
              <a:graphicData uri="http://schemas.openxmlformats.org/drawingml/2006/picture">
                <pic:pic>
                  <pic:nvPicPr>
                    <pic:cNvPr descr="地缘风险指数滞后审计.png" id="142" name="Picture"/>
                    <pic:cNvPicPr>
                      <a:picLocks noChangeArrowheads="1" noChangeAspect="1"/>
                    </pic:cNvPicPr>
                  </pic:nvPicPr>
                  <pic:blipFill>
                    <a:blip r:embed="rId14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44" name="Picture"/>
            <a:graphic>
              <a:graphicData uri="http://schemas.openxmlformats.org/drawingml/2006/picture">
                <pic:pic>
                  <pic:nvPicPr>
                    <pic:cNvPr descr="滞后GPR与布伦特收益关系.png" id="145" name="Picture"/>
                    <pic:cNvPicPr>
                      <a:picLocks noChangeArrowheads="1" noChangeAspect="1"/>
                    </pic:cNvPicPr>
                  </pic:nvPicPr>
                  <pic:blipFill>
                    <a:blip r:embed="rId14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46"/>
    <w:bookmarkStart w:id="150"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48" name="Picture"/>
            <a:graphic>
              <a:graphicData uri="http://schemas.openxmlformats.org/drawingml/2006/picture">
                <pic:pic>
                  <pic:nvPicPr>
                    <pic:cNvPr descr="OVX隐含波动率滞后检验.png" id="149" name="Picture"/>
                    <pic:cNvPicPr>
                      <a:picLocks noChangeArrowheads="1" noChangeAspect="1"/>
                    </pic:cNvPicPr>
                  </pic:nvPicPr>
                  <pic:blipFill>
                    <a:blip r:embed="rId147"/>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50"/>
    <w:bookmarkStart w:id="15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52" name="Picture"/>
            <a:graphic>
              <a:graphicData uri="http://schemas.openxmlformats.org/drawingml/2006/picture">
                <pic:pic>
                  <pic:nvPicPr>
                    <pic:cNvPr descr="历史窗口极端性检验.png" id="153" name="Picture"/>
                    <pic:cNvPicPr>
                      <a:picLocks noChangeArrowheads="1" noChangeAspect="1"/>
                    </pic:cNvPicPr>
                  </pic:nvPicPr>
                  <pic:blipFill>
                    <a:blip r:embed="rId15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55" name="Picture"/>
            <a:graphic>
              <a:graphicData uri="http://schemas.openxmlformats.org/drawingml/2006/picture">
                <pic:pic>
                  <pic:nvPicPr>
                    <pic:cNvPr descr="R历史基准误差分布图.png" id="156" name="Picture"/>
                    <pic:cNvPicPr>
                      <a:picLocks noChangeArrowheads="1" noChangeAspect="1"/>
                    </pic:cNvPicPr>
                  </pic:nvPicPr>
                  <pic:blipFill>
                    <a:blip r:embed="rId15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57"/>
    <w:bookmarkEnd w:id="158"/>
    <w:bookmarkStart w:id="162" w:name="模型评价"/>
    <w:p>
      <w:pPr>
        <w:pStyle w:val="Heading1"/>
      </w:pPr>
      <w:r>
        <w:rPr>
          <w:rFonts w:hint="eastAsia"/>
        </w:rPr>
        <w:t xml:space="preserve">模型评价</w:t>
      </w:r>
    </w:p>
    <w:bookmarkStart w:id="159"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证据链完整：从附件数据清洗、传统供需基准、动态模型、校准、鲁棒性检验、三情景预测到敏感性分析均可复现。</w:t>
      </w:r>
    </w:p>
    <w:p>
      <w:pPr>
        <w:numPr>
          <w:ilvl w:val="0"/>
          <w:numId w:val="1005"/>
        </w:numPr>
      </w:pPr>
      <w:r>
        <w:rPr>
          <w:rFonts w:hint="eastAsia"/>
        </w:rPr>
        <w:t xml:space="preserve">机制解释清晰：价格平台由供应缺口、风险溢价和缓冲折价共同递推形成，而非外生给定的价格上限。</w:t>
      </w:r>
    </w:p>
    <w:p>
      <w:pPr>
        <w:numPr>
          <w:ilvl w:val="0"/>
          <w:numId w:val="1005"/>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59"/>
    <w:bookmarkStart w:id="160"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60"/>
    <w:bookmarkStart w:id="16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专家设定进一步约束为由历史地缘风险、隐含波动率和期限结构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61"/>
    <w:bookmarkEnd w:id="162"/>
    <w:bookmarkStart w:id="16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16.3%，尾部风险主要来自多因素同时恶化；状态转移情景树进一步说明，若未来冲突状态在缓和、维持和升级之间切换，外推期最高价</w:t>
      </w:r>
      <w:r>
        <w:t xml:space="preserve"> P95 </w:t>
      </w:r>
      <w:r>
        <w:rPr>
          <w:rFonts w:hint="eastAsia"/>
        </w:rPr>
        <w:t xml:space="preserve">约为</w:t>
      </w:r>
      <w:r>
        <w:t xml:space="preserve"> 128.72 </w:t>
      </w:r>
      <w:r>
        <w:rPr>
          <w:rFonts w:hint="eastAsia"/>
        </w:rPr>
        <w:t xml:space="preserve">美元/桶。</w:t>
      </w:r>
    </w:p>
    <w:p>
      <w:pPr>
        <w:numPr>
          <w:ilvl w:val="0"/>
          <w:numId w:val="1007"/>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63"/>
    <w:bookmarkStart w:id="17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6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6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6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6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6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6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7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71">
        <w:r>
          <w:rPr>
            <w:rStyle w:val="Hyperlink"/>
          </w:rPr>
          <w:t xml:space="preserve">FRED data page</w:t>
        </w:r>
      </w:hyperlink>
      <w:r>
        <w:t xml:space="preserve">.</w:t>
      </w:r>
    </w:p>
    <w:bookmarkEnd w:id="172"/>
    <w:bookmarkStart w:id="179" w:name="附录项目结构与补充算法材料"/>
    <w:p>
      <w:pPr>
        <w:pStyle w:val="Heading1"/>
      </w:pPr>
      <w:r>
        <w:rPr>
          <w:rFonts w:hint="eastAsia"/>
        </w:rPr>
        <w:t xml:space="preserve">附录：项目结构与补充算法材料</w:t>
      </w:r>
    </w:p>
    <w:bookmarkStart w:id="173"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73"/>
    <w:bookmarkStart w:id="174"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74"/>
    <w:bookmarkStart w:id="175"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75"/>
    <w:bookmarkStart w:id="176"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76"/>
    <w:bookmarkStart w:id="177"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77"/>
    <w:bookmarkStart w:id="178"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78"/>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54" Target="media/rId154.png" /><Relationship Type="http://schemas.openxmlformats.org/officeDocument/2006/relationships/image" Id="rId83" Target="media/rId83.png" /><Relationship Type="http://schemas.openxmlformats.org/officeDocument/2006/relationships/image" Id="rId136" Target="media/rId136.png" /><Relationship Type="http://schemas.openxmlformats.org/officeDocument/2006/relationships/image" Id="rId35" Target="media/rId35.png" /><Relationship Type="http://schemas.openxmlformats.org/officeDocument/2006/relationships/image" Id="rId128" Target="media/rId128.png" /><Relationship Type="http://schemas.openxmlformats.org/officeDocument/2006/relationships/image" Id="rId21" Target="media/rId21.png" /><Relationship Type="http://schemas.openxmlformats.org/officeDocument/2006/relationships/image" Id="rId125" Target="media/rId125.png"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140" Target="media/rId140.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43" Target="media/rId143.png" /><Relationship Type="http://schemas.openxmlformats.org/officeDocument/2006/relationships/image" Id="rId108" Target="media/rId108.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88" Target="media/rId88.png" /><Relationship Type="http://schemas.openxmlformats.org/officeDocument/2006/relationships/image" Id="rId47" Target="media/rId47.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image" Id="rId40" Target="media/rId40.png" /><Relationship Type="http://schemas.openxmlformats.org/officeDocument/2006/relationships/image" Id="rId132" Target="media/rId132.png" /><Relationship Type="http://schemas.openxmlformats.org/officeDocument/2006/relationships/image" Id="rId104" Target="media/rId10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11" Target="media/rId111.png" /><Relationship Type="http://schemas.openxmlformats.org/officeDocument/2006/relationships/hyperlink" Id="rId171" Target="https://fred.stlouisfed.org/series/OVXCLS" TargetMode="External" /><Relationship Type="http://schemas.openxmlformats.org/officeDocument/2006/relationships/hyperlink" Id="rId169" Target="https://publications.opec.org/momr/chapter/147/2738" TargetMode="External" /><Relationship Type="http://schemas.openxmlformats.org/officeDocument/2006/relationships/hyperlink" Id="rId167" Target="https://www.eia.gov/dnav/pet/pet_sum_sndw_dcus_nus_w.htm" TargetMode="External" /><Relationship Type="http://schemas.openxmlformats.org/officeDocument/2006/relationships/hyperlink" Id="rId164" Target="https://www.eia.gov/international/analysis/special-topics/World_Oil_Transit_Chokepoints" TargetMode="External" /><Relationship Type="http://schemas.openxmlformats.org/officeDocument/2006/relationships/hyperlink" Id="rId165" Target="https://www.iea.org/about/oil-security-and-emergency-response/strait-of-hormuz" TargetMode="External" /><Relationship Type="http://schemas.openxmlformats.org/officeDocument/2006/relationships/hyperlink" Id="rId166" Target="https://www.iea.org/news/iea-governing-board-concludes-2022-collective-actions" TargetMode="External" /><Relationship Type="http://schemas.openxmlformats.org/officeDocument/2006/relationships/hyperlink" Id="rId168" Target="https://www.jodidata.org/oil/" TargetMode="External" /><Relationship Type="http://schemas.openxmlformats.org/officeDocument/2006/relationships/hyperlink" Id="rId17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71" Target="https://fred.stlouisfed.org/series/OVXCLS" TargetMode="External" /><Relationship Type="http://schemas.openxmlformats.org/officeDocument/2006/relationships/hyperlink" Id="rId169" Target="https://publications.opec.org/momr/chapter/147/2738" TargetMode="External" /><Relationship Type="http://schemas.openxmlformats.org/officeDocument/2006/relationships/hyperlink" Id="rId167" Target="https://www.eia.gov/dnav/pet/pet_sum_sndw_dcus_nus_w.htm" TargetMode="External" /><Relationship Type="http://schemas.openxmlformats.org/officeDocument/2006/relationships/hyperlink" Id="rId164" Target="https://www.eia.gov/international/analysis/special-topics/World_Oil_Transit_Chokepoints" TargetMode="External" /><Relationship Type="http://schemas.openxmlformats.org/officeDocument/2006/relationships/hyperlink" Id="rId165" Target="https://www.iea.org/about/oil-security-and-emergency-response/strait-of-hormuz" TargetMode="External" /><Relationship Type="http://schemas.openxmlformats.org/officeDocument/2006/relationships/hyperlink" Id="rId166" Target="https://www.iea.org/news/iea-governing-board-concludes-2022-collective-actions" TargetMode="External" /><Relationship Type="http://schemas.openxmlformats.org/officeDocument/2006/relationships/hyperlink" Id="rId168" Target="https://www.jodidata.org/oil/" TargetMode="External" /><Relationship Type="http://schemas.openxmlformats.org/officeDocument/2006/relationships/hyperlink" Id="rId17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2026-05-13T05:51:19Z</dcterms:created>
  <dcterms:modified xsi:type="dcterms:W3CDTF">2026-05-13T05:51:19Z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