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700"/>
        <w:jc w:val="center"/>
      </w:pPr>
      <w:r>
        <w:rPr>
          <w:b/>
          <w:bCs/>
          <w:color w:val="0E5C63"/>
          <w:sz w:val="60"/>
          <w:szCs w:val="60"/>
        </w:rPr>
        <w:t xml:space="preserve">ZAHY</w:t>
      </w:r>
    </w:p>
    <w:p>
      <w:pPr>
        <w:spacing w:after="300"/>
        <w:jc w:val="center"/>
      </w:pPr>
      <w:r>
        <w:rPr>
          <w:color w:val="555555"/>
          <w:sz w:val="34"/>
          <w:szCs w:val="34"/>
        </w:rPr>
        <w:t xml:space="preserve">Partner Platform</w:t>
      </w:r>
    </w:p>
    <w:p>
      <w:pPr>
        <w:spacing w:after="80"/>
        <w:jc w:val="center"/>
      </w:pPr>
      <w:r>
        <w:rPr>
          <w:b/>
          <w:bCs/>
          <w:sz w:val="29"/>
          <w:szCs w:val="29"/>
        </w:rPr>
        <w:t xml:space="preserve">Software Requirements Specification — SRS-1</w:t>
      </w:r>
    </w:p>
    <w:p>
      <w:pPr>
        <w:spacing w:after="480"/>
        <w:jc w:val="center"/>
      </w:pPr>
      <w:r>
        <w:rPr>
          <w:i/>
          <w:iCs/>
          <w:color w:val="555555"/>
          <w:sz w:val="22"/>
          <w:szCs w:val="22"/>
        </w:rPr>
        <w:t xml:space="preserve">Increment 1: Identity &amp; Access + Partner Platform Foundation</w:t>
      </w:r>
    </w:p>
    <w:p>
      <w:pPr>
        <w:spacing w:after="40"/>
        <w:jc w:val="center"/>
      </w:pPr>
      <w:r>
        <w:rPr>
          <w:color w:val="555555"/>
          <w:sz w:val="19"/>
          <w:szCs w:val="19"/>
        </w:rPr>
        <w:t xml:space="preserve">Derived from the Architecture &amp; Build Plan (v2) — Phases 1 &amp; 4</w:t>
      </w:r>
    </w:p>
    <w:p>
      <w:pPr>
        <w:spacing w:before="600"/>
        <w:jc w:val="center"/>
      </w:pPr>
      <w:r>
        <w:rPr>
          <w:color w:val="555555"/>
          <w:sz w:val="19"/>
          <w:szCs w:val="19"/>
        </w:rPr>
        <w:t xml:space="preserve">Time Solution — Zahy Platform  •  Version 1.0 (Draft)  •  June 2026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pStyle w:val="Heading2"/>
      </w:pPr>
      <w:r>
        <w:t xml:space="preserve">1.1 Purpose</w:t>
      </w:r>
    </w:p>
    <w:p>
      <w:pPr>
        <w:spacing w:after="120" w:line="276"/>
      </w:pPr>
      <w:r>
        <w:t xml:space="preserve">This SRS specifies the detailed requirements for the first build increment of the Zahy Partner Platform: the owned Identity &amp; Access layer and the Partner Platform foundation. It translates the approved BRD and Architecture &amp; Build Plan into precise, testable requirements for implementation.</w:t>
      </w:r>
    </w:p>
    <w:p>
      <w:pPr>
        <w:pStyle w:val="Heading2"/>
      </w:pPr>
      <w:r>
        <w:t xml:space="preserve">1.2 Scope of this increment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Owned Identity Provider (ABP Identity + OpenIddict) as the single sign-on authority for all user classes.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Admin authentication and the admin console foundation (the control plane missing from makookapp).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Role-based access control across three scopes (platform, merchant, partner).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Partner onboarding, lifecycle, accounts and team management.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Foundation for surfacing partner transactions and amounts into Zahy's merchant dashboard.</w:t>
      </w:r>
    </w:p>
    <w:p>
      <w:pPr>
        <w:spacing w:after="120" w:line="276"/>
      </w:pPr>
      <w:r>
        <w:rPr>
          <w:b/>
          <w:bCs/>
        </w:rPr>
        <w:t xml:space="preserve">Deferred to later increments: </w:t>
      </w:r>
      <w:r>
        <w:t xml:space="preserve">the Webhook Hub, order capture (CDC → Order Ledger), the connector framework (aggregators, 3PL, carriers), the commission engine, payouts, and the AI Agent.</w:t>
      </w:r>
    </w:p>
    <w:p>
      <w:pPr>
        <w:pStyle w:val="Heading2"/>
      </w:pPr>
      <w:r>
        <w:t xml:space="preserve">1.3 References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Zahy Partner Portal BRD v1.0 and v1.1 Addendum.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Zahy AI Agent BRD.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Zahy Partner Platform — Architecture &amp; Build Plan (v2), decisions AD-1, AD-3, AD-4, AD-7, AD-8.</w:t>
      </w:r>
    </w:p>
    <w:p>
      <w:pPr>
        <w:pStyle w:val="Heading2"/>
      </w:pPr>
      <w:r>
        <w:t xml:space="preserve">1.4 Definitions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rPr>
          <w:tblHeader/>
        </w:trPr>
        <w:tc>
          <w:tcPr>
            <w:tcW w:type="dxa" w:w="19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71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9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IdP</w:t>
            </w:r>
          </w:p>
        </w:tc>
        <w:tc>
          <w:tcPr>
            <w:tcW w:type="dxa" w:w="71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Identity Provider — the owned ABP Identity + OpenIddict authority</w:t>
            </w:r>
          </w:p>
        </w:tc>
      </w:tr>
      <w:tr>
        <w:tc>
          <w:tcPr>
            <w:tcW w:type="dxa" w:w="19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RBAC</w:t>
            </w:r>
          </w:p>
        </w:tc>
        <w:tc>
          <w:tcPr>
            <w:tcW w:type="dxa" w:w="71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Role-Based Access Control</w:t>
            </w:r>
          </w:p>
        </w:tc>
      </w:tr>
      <w:tr>
        <w:tc>
          <w:tcPr>
            <w:tcW w:type="dxa" w:w="19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Partner type</w:t>
            </w:r>
          </w:p>
        </w:tc>
        <w:tc>
          <w:tcPr>
            <w:tcW w:type="dxa" w:w="71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Aggregator, 3PL fulfilment, carrier, service, or marketplace supplier</w:t>
            </w:r>
          </w:p>
        </w:tc>
      </w:tr>
      <w:tr>
        <w:tc>
          <w:tcPr>
            <w:tcW w:type="dxa" w:w="19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Tenant</w:t>
            </w:r>
          </w:p>
        </w:tc>
        <w:tc>
          <w:tcPr>
            <w:tcW w:type="dxa" w:w="71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A merchant; the unit of data isolation</w:t>
            </w:r>
          </w:p>
        </w:tc>
      </w:tr>
      <w:tr>
        <w:tc>
          <w:tcPr>
            <w:tcW w:type="dxa" w:w="19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Client-credentials</w:t>
            </w:r>
          </w:p>
        </w:tc>
        <w:tc>
          <w:tcPr>
            <w:tcW w:type="dxa" w:w="71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OAuth2 machine-to-machine flow used by partner systems</w:t>
            </w:r>
          </w:p>
        </w:tc>
      </w:tr>
    </w:tbl>
    <w:p>
      <w:pPr>
        <w:pStyle w:val="Heading1"/>
      </w:pPr>
      <w:r>
        <w:t xml:space="preserve">2. Overall Description</w:t>
      </w:r>
    </w:p>
    <w:p>
      <w:pPr>
        <w:pStyle w:val="Heading2"/>
      </w:pPr>
      <w:r>
        <w:t xml:space="preserve">2.1 Product perspective</w:t>
      </w:r>
    </w:p>
    <w:p>
      <w:pPr>
        <w:spacing w:after="120" w:line="276"/>
      </w:pPr>
      <w:r>
        <w:t xml:space="preserve">Two connected systems: core Zahy (owned modules + isolated Commerce + Web POS + Merchant Dashboard + the IdP) and a physically separate Partner Platform. This increment delivers the IdP (in core Zahy) and the Partner Platform foundation, joined by single sign-on.</w:t>
      </w:r>
    </w:p>
    <w:p>
      <w:pPr>
        <w:pStyle w:val="Heading2"/>
      </w:pPr>
      <w:r>
        <w:t xml:space="preserve">2.2 User classes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500"/>
        <w:gridCol w:w="2826"/>
      </w:tblGrid>
      <w:tr>
        <w:trPr>
          <w:tblHeader/>
        </w:trPr>
        <w:tc>
          <w:tcPr>
            <w:tcW w:type="dxa" w:w="17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45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Roles</w:t>
            </w:r>
          </w:p>
        </w:tc>
        <w:tc>
          <w:tcPr>
            <w:tcW w:type="dxa" w:w="28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7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Platform</w:t>
            </w:r>
          </w:p>
        </w:tc>
        <w:tc>
          <w:tcPr>
            <w:tcW w:type="dxa" w:w="45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SuperAdmin, PartnerOps, Finance, Support, ReadOnly</w:t>
            </w:r>
          </w:p>
        </w:tc>
        <w:tc>
          <w:tcPr>
            <w:tcW w:type="dxa" w:w="28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Zahy staff; control plane</w:t>
            </w:r>
          </w:p>
        </w:tc>
      </w:tr>
      <w:tr>
        <w:tc>
          <w:tcPr>
            <w:tcW w:type="dxa" w:w="17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Merchant</w:t>
            </w:r>
          </w:p>
        </w:tc>
        <w:tc>
          <w:tcPr>
            <w:tcW w:type="dxa" w:w="45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MerchantOwner, Manager, Staff (cashier/POS), Viewer</w:t>
            </w:r>
          </w:p>
        </w:tc>
        <w:tc>
          <w:tcPr>
            <w:tcW w:type="dxa" w:w="28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Tenant-scoped</w:t>
            </w:r>
          </w:p>
        </w:tc>
      </w:tr>
      <w:tr>
        <w:tc>
          <w:tcPr>
            <w:tcW w:type="dxa" w:w="17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Partner</w:t>
            </w:r>
          </w:p>
        </w:tc>
        <w:tc>
          <w:tcPr>
            <w:tcW w:type="dxa" w:w="45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PartnerOwner, Manager, Staff</w:t>
            </w:r>
          </w:p>
        </w:tc>
        <w:tc>
          <w:tcPr>
            <w:tcW w:type="dxa" w:w="28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Host-level partner, isolated per partner</w:t>
            </w:r>
          </w:p>
        </w:tc>
      </w:tr>
    </w:tbl>
    <w:p>
      <w:pPr>
        <w:pStyle w:val="Heading2"/>
      </w:pPr>
      <w:r>
        <w:t xml:space="preserve">2.3 Constraints &amp; assumptions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The identity module (Tajer.Abp.OpenIddict) is missing and is built from scratch in this increment (AD-1).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All cross-system links use signed webhooks/APIs, not an internal event bus (AD-3).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Hosting inside KSA; SQL Server; modular monolith with shared DB + per-tenant option (AD-7, AD-8).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No Nafath/MFA now; the design must support MFA as a later step-up.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Exposed secrets found earlier MUST be remediated before any partner API is exposed.</w:t>
      </w:r>
    </w:p>
    <w:p>
      <w:r>
        <w:br w:type="page"/>
      </w:r>
    </w:p>
    <w:p>
      <w:pPr>
        <w:pStyle w:val="Heading1"/>
      </w:pPr>
      <w:r>
        <w:t xml:space="preserve">3. Functional Requirements</w:t>
      </w:r>
    </w:p>
    <w:p>
      <w:pPr>
        <w:pStyle w:val="Heading2"/>
      </w:pPr>
      <w:r>
        <w:t xml:space="preserve">3.1 Identity Provider (IAM)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3500"/>
        <w:gridCol w:w="700"/>
        <w:gridCol w:w="4006"/>
      </w:tblGrid>
      <w:tr>
        <w:trPr>
          <w:tblHeader/>
        </w:trPr>
        <w:tc>
          <w:tcPr>
            <w:tcW w:type="dxa" w:w="82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5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7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Pri.</w:t>
            </w:r>
          </w:p>
        </w:tc>
        <w:tc>
          <w:tcPr>
            <w:tcW w:type="dxa" w:w="400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82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IAM-1</w:t>
            </w:r>
          </w:p>
        </w:tc>
        <w:tc>
          <w:tcPr>
            <w:tcW w:type="dxa" w:w="35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Provide a single OAuth2/OIDC identity provider (ABP Identity + OpenIddict) for all user classes.</w:t>
            </w:r>
          </w:p>
        </w:tc>
        <w:tc>
          <w:tcPr>
            <w:tcW w:type="dxa" w:w="7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23A2E"/>
                <w:sz w:val="17"/>
                <w:szCs w:val="17"/>
              </w:rPr>
              <w:t xml:space="preserve">P0</w:t>
            </w:r>
          </w:p>
        </w:tc>
        <w:tc>
          <w:tcPr>
            <w:tcW w:type="dxa" w:w="400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All three user scopes authenticate against one IdP; no dependency on makookapp.</w:t>
            </w:r>
          </w:p>
        </w:tc>
      </w:tr>
      <w:tr>
        <w:tc>
          <w:tcPr>
            <w:tcW w:type="dxa" w:w="82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IAM-2</w:t>
            </w:r>
          </w:p>
        </w:tc>
        <w:tc>
          <w:tcPr>
            <w:tcW w:type="dxa" w:w="35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Authenticate interactive users via Authorization Code + PKCE.</w:t>
            </w:r>
          </w:p>
        </w:tc>
        <w:tc>
          <w:tcPr>
            <w:tcW w:type="dxa" w:w="7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23A2E"/>
                <w:sz w:val="17"/>
                <w:szCs w:val="17"/>
              </w:rPr>
              <w:t xml:space="preserve">P0</w:t>
            </w:r>
          </w:p>
        </w:tc>
        <w:tc>
          <w:tcPr>
            <w:tcW w:type="dxa" w:w="400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Browser/app login completes via Auth Code + PKCE; no implicit flow.</w:t>
            </w:r>
          </w:p>
        </w:tc>
      </w:tr>
      <w:tr>
        <w:tc>
          <w:tcPr>
            <w:tcW w:type="dxa" w:w="82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IAM-3</w:t>
            </w:r>
          </w:p>
        </w:tc>
        <w:tc>
          <w:tcPr>
            <w:tcW w:type="dxa" w:w="35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Authenticate partner systems via Client-Credentials with scopes.</w:t>
            </w:r>
          </w:p>
        </w:tc>
        <w:tc>
          <w:tcPr>
            <w:tcW w:type="dxa" w:w="7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23A2E"/>
                <w:sz w:val="17"/>
                <w:szCs w:val="17"/>
              </w:rPr>
              <w:t xml:space="preserve">P0</w:t>
            </w:r>
          </w:p>
        </w:tc>
        <w:tc>
          <w:tcPr>
            <w:tcW w:type="dxa" w:w="400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A partner client obtains a token with only its granted scopes.</w:t>
            </w:r>
          </w:p>
        </w:tc>
      </w:tr>
      <w:tr>
        <w:tc>
          <w:tcPr>
            <w:tcW w:type="dxa" w:w="82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IAM-4</w:t>
            </w:r>
          </w:p>
        </w:tc>
        <w:tc>
          <w:tcPr>
            <w:tcW w:type="dxa" w:w="35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Issue short-lived access tokens (~30 min) and rotating refresh tokens.</w:t>
            </w:r>
          </w:p>
        </w:tc>
        <w:tc>
          <w:tcPr>
            <w:tcW w:type="dxa" w:w="7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23A2E"/>
                <w:sz w:val="17"/>
                <w:szCs w:val="17"/>
              </w:rPr>
              <w:t xml:space="preserve">P0</w:t>
            </w:r>
          </w:p>
        </w:tc>
        <w:tc>
          <w:tcPr>
            <w:tcW w:type="dxa" w:w="400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Access token expires ≤ 30 min; refresh rotation invalidates the prior token.</w:t>
            </w:r>
          </w:p>
        </w:tc>
      </w:tr>
      <w:tr>
        <w:tc>
          <w:tcPr>
            <w:tcW w:type="dxa" w:w="82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IAM-5</w:t>
            </w:r>
          </w:p>
        </w:tc>
        <w:tc>
          <w:tcPr>
            <w:tcW w:type="dxa" w:w="35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Enforce scope-based authorization on protected resources.</w:t>
            </w:r>
          </w:p>
        </w:tc>
        <w:tc>
          <w:tcPr>
            <w:tcW w:type="dxa" w:w="7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23A2E"/>
                <w:sz w:val="17"/>
                <w:szCs w:val="17"/>
              </w:rPr>
              <w:t xml:space="preserve">P0</w:t>
            </w:r>
          </w:p>
        </w:tc>
        <w:tc>
          <w:tcPr>
            <w:tcW w:type="dxa" w:w="400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A call lacking the required scope is rejected (403).</w:t>
            </w:r>
          </w:p>
        </w:tc>
      </w:tr>
      <w:tr>
        <w:tc>
          <w:tcPr>
            <w:tcW w:type="dxa" w:w="82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IAM-6</w:t>
            </w:r>
          </w:p>
        </w:tc>
        <w:tc>
          <w:tcPr>
            <w:tcW w:type="dxa" w:w="35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Support MFA as a future step-up without redesign.</w:t>
            </w:r>
          </w:p>
        </w:tc>
        <w:tc>
          <w:tcPr>
            <w:tcW w:type="dxa" w:w="7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5791A"/>
                <w:sz w:val="17"/>
                <w:szCs w:val="17"/>
              </w:rPr>
              <w:t xml:space="preserve">P1</w:t>
            </w:r>
          </w:p>
        </w:tc>
        <w:tc>
          <w:tcPr>
            <w:tcW w:type="dxa" w:w="400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An MFA step-up hook exists and is togglable; off by default.</w:t>
            </w:r>
          </w:p>
        </w:tc>
      </w:tr>
      <w:tr>
        <w:tc>
          <w:tcPr>
            <w:tcW w:type="dxa" w:w="82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IAM-7</w:t>
            </w:r>
          </w:p>
        </w:tc>
        <w:tc>
          <w:tcPr>
            <w:tcW w:type="dxa" w:w="35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Provide token introspection and revocation.</w:t>
            </w:r>
          </w:p>
        </w:tc>
        <w:tc>
          <w:tcPr>
            <w:tcW w:type="dxa" w:w="7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5791A"/>
                <w:sz w:val="17"/>
                <w:szCs w:val="17"/>
              </w:rPr>
              <w:t xml:space="preserve">P1</w:t>
            </w:r>
          </w:p>
        </w:tc>
        <w:tc>
          <w:tcPr>
            <w:tcW w:type="dxa" w:w="400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A revoked/refreshed token fails introspection.</w:t>
            </w:r>
          </w:p>
        </w:tc>
      </w:tr>
    </w:tbl>
    <w:p>
      <w:pPr>
        <w:pStyle w:val="Heading2"/>
      </w:pPr>
      <w:r>
        <w:t xml:space="preserve">3.2 Admin Authentication &amp; Console (ADM)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3500"/>
        <w:gridCol w:w="700"/>
        <w:gridCol w:w="4006"/>
      </w:tblGrid>
      <w:tr>
        <w:trPr>
          <w:tblHeader/>
        </w:trPr>
        <w:tc>
          <w:tcPr>
            <w:tcW w:type="dxa" w:w="82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5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7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Pri.</w:t>
            </w:r>
          </w:p>
        </w:tc>
        <w:tc>
          <w:tcPr>
            <w:tcW w:type="dxa" w:w="400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82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ADM-1</w:t>
            </w:r>
          </w:p>
        </w:tc>
        <w:tc>
          <w:tcPr>
            <w:tcW w:type="dxa" w:w="35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Provide a secure, owned admin login independent of compiled packages.</w:t>
            </w:r>
          </w:p>
        </w:tc>
        <w:tc>
          <w:tcPr>
            <w:tcW w:type="dxa" w:w="7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23A2E"/>
                <w:sz w:val="17"/>
                <w:szCs w:val="17"/>
              </w:rPr>
              <w:t xml:space="preserve">P0</w:t>
            </w:r>
          </w:p>
        </w:tc>
        <w:tc>
          <w:tcPr>
            <w:tcW w:type="dxa" w:w="400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An admin authenticates and reaches the console; no makookapp dependency.</w:t>
            </w:r>
          </w:p>
        </w:tc>
      </w:tr>
      <w:tr>
        <w:tc>
          <w:tcPr>
            <w:tcW w:type="dxa" w:w="82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ADM-2</w:t>
            </w:r>
          </w:p>
        </w:tc>
        <w:tc>
          <w:tcPr>
            <w:tcW w:type="dxa" w:w="35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Provide an admin console shell with role-gated navigation.</w:t>
            </w:r>
          </w:p>
        </w:tc>
        <w:tc>
          <w:tcPr>
            <w:tcW w:type="dxa" w:w="7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23A2E"/>
                <w:sz w:val="17"/>
                <w:szCs w:val="17"/>
              </w:rPr>
              <w:t xml:space="preserve">P0</w:t>
            </w:r>
          </w:p>
        </w:tc>
        <w:tc>
          <w:tcPr>
            <w:tcW w:type="dxa" w:w="400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Menu items appear only for permitted roles.</w:t>
            </w:r>
          </w:p>
        </w:tc>
      </w:tr>
      <w:tr>
        <w:tc>
          <w:tcPr>
            <w:tcW w:type="dxa" w:w="82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ADM-3</w:t>
            </w:r>
          </w:p>
        </w:tc>
        <w:tc>
          <w:tcPr>
            <w:tcW w:type="dxa" w:w="35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Record an audit log of consequential admin actions.</w:t>
            </w:r>
          </w:p>
        </w:tc>
        <w:tc>
          <w:tcPr>
            <w:tcW w:type="dxa" w:w="7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5791A"/>
                <w:sz w:val="17"/>
                <w:szCs w:val="17"/>
              </w:rPr>
              <w:t xml:space="preserve">P1</w:t>
            </w:r>
          </w:p>
        </w:tc>
        <w:tc>
          <w:tcPr>
            <w:tcW w:type="dxa" w:w="400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Approvals, role changes and rule edits are logged with actor + timestamp.</w:t>
            </w:r>
          </w:p>
        </w:tc>
      </w:tr>
      <w:tr>
        <w:tc>
          <w:tcPr>
            <w:tcW w:type="dxa" w:w="82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ADM-4</w:t>
            </w:r>
          </w:p>
        </w:tc>
        <w:tc>
          <w:tcPr>
            <w:tcW w:type="dxa" w:w="35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Apply session timeout and concurrent-session policy.</w:t>
            </w:r>
          </w:p>
        </w:tc>
        <w:tc>
          <w:tcPr>
            <w:tcW w:type="dxa" w:w="7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5791A"/>
                <w:sz w:val="17"/>
                <w:szCs w:val="17"/>
              </w:rPr>
              <w:t xml:space="preserve">P1</w:t>
            </w:r>
          </w:p>
        </w:tc>
        <w:tc>
          <w:tcPr>
            <w:tcW w:type="dxa" w:w="400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Idle sessions expire; policy is configurable.</w:t>
            </w:r>
          </w:p>
        </w:tc>
      </w:tr>
    </w:tbl>
    <w:p>
      <w:pPr>
        <w:pStyle w:val="Heading2"/>
      </w:pPr>
      <w:r>
        <w:t xml:space="preserve">3.3 Roles &amp; Permissions (RBAC)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3500"/>
        <w:gridCol w:w="700"/>
        <w:gridCol w:w="4006"/>
      </w:tblGrid>
      <w:tr>
        <w:trPr>
          <w:tblHeader/>
        </w:trPr>
        <w:tc>
          <w:tcPr>
            <w:tcW w:type="dxa" w:w="82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5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7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Pri.</w:t>
            </w:r>
          </w:p>
        </w:tc>
        <w:tc>
          <w:tcPr>
            <w:tcW w:type="dxa" w:w="400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82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RBAC-1</w:t>
            </w:r>
          </w:p>
        </w:tc>
        <w:tc>
          <w:tcPr>
            <w:tcW w:type="dxa" w:w="35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Define three permission scopes (platform, merchant, partner) with the listed roles.</w:t>
            </w:r>
          </w:p>
        </w:tc>
        <w:tc>
          <w:tcPr>
            <w:tcW w:type="dxa" w:w="7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23A2E"/>
                <w:sz w:val="17"/>
                <w:szCs w:val="17"/>
              </w:rPr>
              <w:t xml:space="preserve">P0</w:t>
            </w:r>
          </w:p>
        </w:tc>
        <w:tc>
          <w:tcPr>
            <w:tcW w:type="dxa" w:w="400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Each role maps to a documented permission set.</w:t>
            </w:r>
          </w:p>
        </w:tc>
      </w:tr>
      <w:tr>
        <w:tc>
          <w:tcPr>
            <w:tcW w:type="dxa" w:w="82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RBAC-2</w:t>
            </w:r>
          </w:p>
        </w:tc>
        <w:tc>
          <w:tcPr>
            <w:tcW w:type="dxa" w:w="35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Apply least-privilege via ABP permission groups.</w:t>
            </w:r>
          </w:p>
        </w:tc>
        <w:tc>
          <w:tcPr>
            <w:tcW w:type="dxa" w:w="7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23A2E"/>
                <w:sz w:val="17"/>
                <w:szCs w:val="17"/>
              </w:rPr>
              <w:t xml:space="preserve">P0</w:t>
            </w:r>
          </w:p>
        </w:tc>
        <w:tc>
          <w:tcPr>
            <w:tcW w:type="dxa" w:w="400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No role holds permissions beyond its documented set.</w:t>
            </w:r>
          </w:p>
        </w:tc>
      </w:tr>
      <w:tr>
        <w:tc>
          <w:tcPr>
            <w:tcW w:type="dxa" w:w="82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RBAC-3</w:t>
            </w:r>
          </w:p>
        </w:tc>
        <w:tc>
          <w:tcPr>
            <w:tcW w:type="dxa" w:w="35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Allow authorised admins to assign/revoke roles within their scope.</w:t>
            </w:r>
          </w:p>
        </w:tc>
        <w:tc>
          <w:tcPr>
            <w:tcW w:type="dxa" w:w="7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23A2E"/>
                <w:sz w:val="17"/>
                <w:szCs w:val="17"/>
              </w:rPr>
              <w:t xml:space="preserve">P0</w:t>
            </w:r>
          </w:p>
        </w:tc>
        <w:tc>
          <w:tcPr>
            <w:tcW w:type="dxa" w:w="400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A PartnerOps user cannot grant platform SuperAdmin.</w:t>
            </w:r>
          </w:p>
        </w:tc>
      </w:tr>
      <w:tr>
        <w:tc>
          <w:tcPr>
            <w:tcW w:type="dxa" w:w="82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RBAC-4</w:t>
            </w:r>
          </w:p>
        </w:tc>
        <w:tc>
          <w:tcPr>
            <w:tcW w:type="dxa" w:w="35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Enforce the tenant boundary on every permission check.</w:t>
            </w:r>
          </w:p>
        </w:tc>
        <w:tc>
          <w:tcPr>
            <w:tcW w:type="dxa" w:w="7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23A2E"/>
                <w:sz w:val="17"/>
                <w:szCs w:val="17"/>
              </w:rPr>
              <w:t xml:space="preserve">P0</w:t>
            </w:r>
          </w:p>
        </w:tc>
        <w:tc>
          <w:tcPr>
            <w:tcW w:type="dxa" w:w="400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A user cannot access another tenant's data under any role.</w:t>
            </w:r>
          </w:p>
        </w:tc>
      </w:tr>
    </w:tbl>
    <w:p>
      <w:pPr>
        <w:pStyle w:val="Heading2"/>
      </w:pPr>
      <w:r>
        <w:t xml:space="preserve">3.4 Partner Onboarding &amp; Lifecycle (PON)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3500"/>
        <w:gridCol w:w="700"/>
        <w:gridCol w:w="4006"/>
      </w:tblGrid>
      <w:tr>
        <w:trPr>
          <w:tblHeader/>
        </w:trPr>
        <w:tc>
          <w:tcPr>
            <w:tcW w:type="dxa" w:w="82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5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7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Pri.</w:t>
            </w:r>
          </w:p>
        </w:tc>
        <w:tc>
          <w:tcPr>
            <w:tcW w:type="dxa" w:w="400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82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PON-1</w:t>
            </w:r>
          </w:p>
        </w:tc>
        <w:tc>
          <w:tcPr>
            <w:tcW w:type="dxa" w:w="35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Allow a prospective partner to self-register with business, bank and partner-type details.</w:t>
            </w:r>
          </w:p>
        </w:tc>
        <w:tc>
          <w:tcPr>
            <w:tcW w:type="dxa" w:w="7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23A2E"/>
                <w:sz w:val="17"/>
                <w:szCs w:val="17"/>
              </w:rPr>
              <w:t xml:space="preserve">P0</w:t>
            </w:r>
          </w:p>
        </w:tc>
        <w:tc>
          <w:tcPr>
            <w:tcW w:type="dxa" w:w="400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A registration creates a Pending partner record.</w:t>
            </w:r>
          </w:p>
        </w:tc>
      </w:tr>
      <w:tr>
        <w:tc>
          <w:tcPr>
            <w:tcW w:type="dxa" w:w="82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PON-2</w:t>
            </w:r>
          </w:p>
        </w:tc>
        <w:tc>
          <w:tcPr>
            <w:tcW w:type="dxa" w:w="35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Allow an admin to review and approve/reject/suspend a partner.</w:t>
            </w:r>
          </w:p>
        </w:tc>
        <w:tc>
          <w:tcPr>
            <w:tcW w:type="dxa" w:w="7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23A2E"/>
                <w:sz w:val="17"/>
                <w:szCs w:val="17"/>
              </w:rPr>
              <w:t xml:space="preserve">P0</w:t>
            </w:r>
          </w:p>
        </w:tc>
        <w:tc>
          <w:tcPr>
            <w:tcW w:type="dxa" w:w="400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Status transitions are restricted to authorised admins.</w:t>
            </w:r>
          </w:p>
        </w:tc>
      </w:tr>
      <w:tr>
        <w:tc>
          <w:tcPr>
            <w:tcW w:type="dxa" w:w="82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PON-3</w:t>
            </w:r>
          </w:p>
        </w:tc>
        <w:tc>
          <w:tcPr>
            <w:tcW w:type="dxa" w:w="35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Maintain a status state machine: Pending → Active → Suspended → Closed.</w:t>
            </w:r>
          </w:p>
        </w:tc>
        <w:tc>
          <w:tcPr>
            <w:tcW w:type="dxa" w:w="7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23A2E"/>
                <w:sz w:val="17"/>
                <w:szCs w:val="17"/>
              </w:rPr>
              <w:t xml:space="preserve">P0</w:t>
            </w:r>
          </w:p>
        </w:tc>
        <w:tc>
          <w:tcPr>
            <w:tcW w:type="dxa" w:w="400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Illegal transitions are rejected.</w:t>
            </w:r>
          </w:p>
        </w:tc>
      </w:tr>
      <w:tr>
        <w:tc>
          <w:tcPr>
            <w:tcW w:type="dxa" w:w="82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PON-4</w:t>
            </w:r>
          </w:p>
        </w:tc>
        <w:tc>
          <w:tcPr>
            <w:tcW w:type="dxa" w:w="35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On approval, issue an OAuth client-credentials client with scopes per partner type.</w:t>
            </w:r>
          </w:p>
        </w:tc>
        <w:tc>
          <w:tcPr>
            <w:tcW w:type="dxa" w:w="7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23A2E"/>
                <w:sz w:val="17"/>
                <w:szCs w:val="17"/>
              </w:rPr>
              <w:t xml:space="preserve">P0</w:t>
            </w:r>
          </w:p>
        </w:tc>
        <w:tc>
          <w:tcPr>
            <w:tcW w:type="dxa" w:w="400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An approved partner receives client id + one-time secret + scopes.</w:t>
            </w:r>
          </w:p>
        </w:tc>
      </w:tr>
      <w:tr>
        <w:tc>
          <w:tcPr>
            <w:tcW w:type="dxa" w:w="82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PON-5</w:t>
            </w:r>
          </w:p>
        </w:tc>
        <w:tc>
          <w:tcPr>
            <w:tcW w:type="dxa" w:w="35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Drive available features by partner type.</w:t>
            </w:r>
          </w:p>
        </w:tc>
        <w:tc>
          <w:tcPr>
            <w:tcW w:type="dxa" w:w="7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5791A"/>
                <w:sz w:val="17"/>
                <w:szCs w:val="17"/>
              </w:rPr>
              <w:t xml:space="preserve">P1</w:t>
            </w:r>
          </w:p>
        </w:tc>
        <w:tc>
          <w:tcPr>
            <w:tcW w:type="dxa" w:w="400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A 3PL partner sees fulfilment features; an aggregator sees channel features.</w:t>
            </w:r>
          </w:p>
        </w:tc>
      </w:tr>
    </w:tbl>
    <w:p>
      <w:pPr>
        <w:pStyle w:val="Heading2"/>
      </w:pPr>
      <w:r>
        <w:t xml:space="preserve">3.5 Partner Accounts &amp; Team (PTM)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3500"/>
        <w:gridCol w:w="700"/>
        <w:gridCol w:w="4006"/>
      </w:tblGrid>
      <w:tr>
        <w:trPr>
          <w:tblHeader/>
        </w:trPr>
        <w:tc>
          <w:tcPr>
            <w:tcW w:type="dxa" w:w="82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5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7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Pri.</w:t>
            </w:r>
          </w:p>
        </w:tc>
        <w:tc>
          <w:tcPr>
            <w:tcW w:type="dxa" w:w="400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82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PTM-1</w:t>
            </w:r>
          </w:p>
        </w:tc>
        <w:tc>
          <w:tcPr>
            <w:tcW w:type="dxa" w:w="35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Allow a PartnerOwner to invite team members and assign partner-scope roles.</w:t>
            </w:r>
          </w:p>
        </w:tc>
        <w:tc>
          <w:tcPr>
            <w:tcW w:type="dxa" w:w="7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5791A"/>
                <w:sz w:val="17"/>
                <w:szCs w:val="17"/>
              </w:rPr>
              <w:t xml:space="preserve">P1</w:t>
            </w:r>
          </w:p>
        </w:tc>
        <w:tc>
          <w:tcPr>
            <w:tcW w:type="dxa" w:w="400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Invited user receives the assigned partner role only.</w:t>
            </w:r>
          </w:p>
        </w:tc>
      </w:tr>
      <w:tr>
        <w:tc>
          <w:tcPr>
            <w:tcW w:type="dxa" w:w="82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PTM-2</w:t>
            </w:r>
          </w:p>
        </w:tc>
        <w:tc>
          <w:tcPr>
            <w:tcW w:type="dxa" w:w="35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Restrict partner users to their own partner's data.</w:t>
            </w:r>
          </w:p>
        </w:tc>
        <w:tc>
          <w:tcPr>
            <w:tcW w:type="dxa" w:w="7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23A2E"/>
                <w:sz w:val="17"/>
                <w:szCs w:val="17"/>
              </w:rPr>
              <w:t xml:space="preserve">P0</w:t>
            </w:r>
          </w:p>
        </w:tc>
        <w:tc>
          <w:tcPr>
            <w:tcW w:type="dxa" w:w="400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A partner user cannot read another partner's data.</w:t>
            </w:r>
          </w:p>
        </w:tc>
      </w:tr>
      <w:tr>
        <w:tc>
          <w:tcPr>
            <w:tcW w:type="dxa" w:w="82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PTM-3</w:t>
            </w:r>
          </w:p>
        </w:tc>
        <w:tc>
          <w:tcPr>
            <w:tcW w:type="dxa" w:w="35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Provide credential management (view client id, rotate secret; secret shown once).</w:t>
            </w:r>
          </w:p>
        </w:tc>
        <w:tc>
          <w:tcPr>
            <w:tcW w:type="dxa" w:w="7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5791A"/>
                <w:sz w:val="17"/>
                <w:szCs w:val="17"/>
              </w:rPr>
              <w:t xml:space="preserve">P1</w:t>
            </w:r>
          </w:p>
        </w:tc>
        <w:tc>
          <w:tcPr>
            <w:tcW w:type="dxa" w:w="400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Rotating invalidates the old secret; new secret displayed once.</w:t>
            </w:r>
          </w:p>
        </w:tc>
      </w:tr>
    </w:tbl>
    <w:p>
      <w:pPr>
        <w:pStyle w:val="Heading2"/>
      </w:pPr>
      <w:r>
        <w:t xml:space="preserve">3.6 Transaction Surfacing Foundation (TXN)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3500"/>
        <w:gridCol w:w="700"/>
        <w:gridCol w:w="4006"/>
      </w:tblGrid>
      <w:tr>
        <w:trPr>
          <w:tblHeader/>
        </w:trPr>
        <w:tc>
          <w:tcPr>
            <w:tcW w:type="dxa" w:w="82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5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7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Pri.</w:t>
            </w:r>
          </w:p>
        </w:tc>
        <w:tc>
          <w:tcPr>
            <w:tcW w:type="dxa" w:w="400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82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TXN-1</w:t>
            </w:r>
          </w:p>
        </w:tc>
        <w:tc>
          <w:tcPr>
            <w:tcW w:type="dxa" w:w="35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Partner Platform pushes transaction records (type, amount, status, time) to core Zahy via signed webhook/API.</w:t>
            </w:r>
          </w:p>
        </w:tc>
        <w:tc>
          <w:tcPr>
            <w:tcW w:type="dxa" w:w="7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5791A"/>
                <w:sz w:val="17"/>
                <w:szCs w:val="17"/>
              </w:rPr>
              <w:t xml:space="preserve">P1</w:t>
            </w:r>
          </w:p>
        </w:tc>
        <w:tc>
          <w:tcPr>
            <w:tcW w:type="dxa" w:w="400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A test transaction arrives signed and verified at Zahy.</w:t>
            </w:r>
          </w:p>
        </w:tc>
      </w:tr>
      <w:tr>
        <w:tc>
          <w:tcPr>
            <w:tcW w:type="dxa" w:w="82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TXN-2</w:t>
            </w:r>
          </w:p>
        </w:tc>
        <w:tc>
          <w:tcPr>
            <w:tcW w:type="dxa" w:w="35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Merchant Dashboard displays partner transactions and amounts for that merchant.</w:t>
            </w:r>
          </w:p>
        </w:tc>
        <w:tc>
          <w:tcPr>
            <w:tcW w:type="dxa" w:w="7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5791A"/>
                <w:sz w:val="17"/>
                <w:szCs w:val="17"/>
              </w:rPr>
              <w:t xml:space="preserve">P1</w:t>
            </w:r>
          </w:p>
        </w:tc>
        <w:tc>
          <w:tcPr>
            <w:tcW w:type="dxa" w:w="400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A merchant sees only their own partner transactions.</w:t>
            </w:r>
          </w:p>
        </w:tc>
      </w:tr>
      <w:tr>
        <w:tc>
          <w:tcPr>
            <w:tcW w:type="dxa" w:w="82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TXN-3</w:t>
            </w:r>
          </w:p>
        </w:tc>
        <w:tc>
          <w:tcPr>
            <w:tcW w:type="dxa" w:w="35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Surfaced records are read-only and reconciled to the owned ledger.</w:t>
            </w:r>
          </w:p>
        </w:tc>
        <w:tc>
          <w:tcPr>
            <w:tcW w:type="dxa" w:w="7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5791A"/>
                <w:sz w:val="17"/>
                <w:szCs w:val="17"/>
              </w:rPr>
              <w:t xml:space="preserve">P1</w:t>
            </w:r>
          </w:p>
        </w:tc>
        <w:tc>
          <w:tcPr>
            <w:tcW w:type="dxa" w:w="400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Dashboard cannot mutate a transaction; totals reconcile.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Key Use Cases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2300"/>
        <w:gridCol w:w="2926"/>
      </w:tblGrid>
      <w:tr>
        <w:trPr>
          <w:tblHeader/>
        </w:trPr>
        <w:tc>
          <w:tcPr>
            <w:tcW w:type="dxa" w:w="8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  <w:tc>
          <w:tcPr>
            <w:tcW w:type="dxa" w:w="23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29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Outcome</w:t>
            </w:r>
          </w:p>
        </w:tc>
      </w:tr>
      <w:tr>
        <w:tc>
          <w:tcPr>
            <w:tcW w:type="dxa" w:w="8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UC-1</w:t>
            </w:r>
          </w:p>
        </w:tc>
        <w:tc>
          <w:tcPr>
            <w:tcW w:type="dxa" w:w="30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Admin login</w:t>
            </w:r>
          </w:p>
        </w:tc>
        <w:tc>
          <w:tcPr>
            <w:tcW w:type="dxa" w:w="23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Platform Admin</w:t>
            </w:r>
          </w:p>
        </w:tc>
        <w:tc>
          <w:tcPr>
            <w:tcW w:type="dxa" w:w="29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Authenticated session + role-gated console</w:t>
            </w:r>
          </w:p>
        </w:tc>
      </w:tr>
      <w:tr>
        <w:tc>
          <w:tcPr>
            <w:tcW w:type="dxa" w:w="8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UC-2</w:t>
            </w:r>
          </w:p>
        </w:tc>
        <w:tc>
          <w:tcPr>
            <w:tcW w:type="dxa" w:w="30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Partner self-registration</w:t>
            </w:r>
          </w:p>
        </w:tc>
        <w:tc>
          <w:tcPr>
            <w:tcW w:type="dxa" w:w="23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Prospective Partner</w:t>
            </w:r>
          </w:p>
        </w:tc>
        <w:tc>
          <w:tcPr>
            <w:tcW w:type="dxa" w:w="29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Pending partner record created</w:t>
            </w:r>
          </w:p>
        </w:tc>
      </w:tr>
      <w:tr>
        <w:tc>
          <w:tcPr>
            <w:tcW w:type="dxa" w:w="8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UC-3</w:t>
            </w:r>
          </w:p>
        </w:tc>
        <w:tc>
          <w:tcPr>
            <w:tcW w:type="dxa" w:w="30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Approve partner</w:t>
            </w:r>
          </w:p>
        </w:tc>
        <w:tc>
          <w:tcPr>
            <w:tcW w:type="dxa" w:w="23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PartnerOps Admin</w:t>
            </w:r>
          </w:p>
        </w:tc>
        <w:tc>
          <w:tcPr>
            <w:tcW w:type="dxa" w:w="29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Partner Active; OAuth client + scopes issued</w:t>
            </w:r>
          </w:p>
        </w:tc>
      </w:tr>
      <w:tr>
        <w:tc>
          <w:tcPr>
            <w:tcW w:type="dxa" w:w="8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UC-4</w:t>
            </w:r>
          </w:p>
        </w:tc>
        <w:tc>
          <w:tcPr>
            <w:tcW w:type="dxa" w:w="30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Invite partner team member</w:t>
            </w:r>
          </w:p>
        </w:tc>
        <w:tc>
          <w:tcPr>
            <w:tcW w:type="dxa" w:w="23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PartnerOwner</w:t>
            </w:r>
          </w:p>
        </w:tc>
        <w:tc>
          <w:tcPr>
            <w:tcW w:type="dxa" w:w="29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New partner user with scoped role</w:t>
            </w:r>
          </w:p>
        </w:tc>
      </w:tr>
      <w:tr>
        <w:tc>
          <w:tcPr>
            <w:tcW w:type="dxa" w:w="8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UC-5</w:t>
            </w:r>
          </w:p>
        </w:tc>
        <w:tc>
          <w:tcPr>
            <w:tcW w:type="dxa" w:w="30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Rotate API secret</w:t>
            </w:r>
          </w:p>
        </w:tc>
        <w:tc>
          <w:tcPr>
            <w:tcW w:type="dxa" w:w="23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PartnerOwner</w:t>
            </w:r>
          </w:p>
        </w:tc>
        <w:tc>
          <w:tcPr>
            <w:tcW w:type="dxa" w:w="29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Old secret invalidated; new shown once</w:t>
            </w:r>
          </w:p>
        </w:tc>
      </w:tr>
      <w:tr>
        <w:tc>
          <w:tcPr>
            <w:tcW w:type="dxa" w:w="8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UC-6</w:t>
            </w:r>
          </w:p>
        </w:tc>
        <w:tc>
          <w:tcPr>
            <w:tcW w:type="dxa" w:w="30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View partner transactions</w:t>
            </w:r>
          </w:p>
        </w:tc>
        <w:tc>
          <w:tcPr>
            <w:tcW w:type="dxa" w:w="23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Merchant user</w:t>
            </w:r>
          </w:p>
        </w:tc>
        <w:tc>
          <w:tcPr>
            <w:tcW w:type="dxa" w:w="29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Transactions &amp; amounts shown on dashboard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5. Data Dictionary (this increment)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67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 fields</w:t>
            </w:r>
          </w:p>
        </w:tc>
      </w:tr>
      <w:tr>
        <w:tc>
          <w:tcPr>
            <w:tcW w:type="dxa" w:w="23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User</w:t>
            </w:r>
          </w:p>
        </w:tc>
        <w:tc>
          <w:tcPr>
            <w:tcW w:type="dxa" w:w="67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Id, scope, status, contact, roles, tenantId (nullable for host users)</w:t>
            </w:r>
          </w:p>
        </w:tc>
      </w:tr>
      <w:tr>
        <w:tc>
          <w:tcPr>
            <w:tcW w:type="dxa" w:w="23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Role / Permission</w:t>
            </w:r>
          </w:p>
        </w:tc>
        <w:tc>
          <w:tcPr>
            <w:tcW w:type="dxa" w:w="67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Name, scope, permission set (ABP permission groups)</w:t>
            </w:r>
          </w:p>
        </w:tc>
      </w:tr>
      <w:tr>
        <w:tc>
          <w:tcPr>
            <w:tcW w:type="dxa" w:w="23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OAuthClient</w:t>
            </w:r>
          </w:p>
        </w:tc>
        <w:tc>
          <w:tcPr>
            <w:tcW w:type="dxa" w:w="67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ClientId, secret hash, grant type, scopes, partnerId, status</w:t>
            </w:r>
          </w:p>
        </w:tc>
      </w:tr>
      <w:tr>
        <w:tc>
          <w:tcPr>
            <w:tcW w:type="dxa" w:w="23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Partner</w:t>
            </w:r>
          </w:p>
        </w:tc>
        <w:tc>
          <w:tcPr>
            <w:tcW w:type="dxa" w:w="67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Id, type, status, legalName, contact, bankInfo, defaultCommissionRuleRef</w:t>
            </w:r>
          </w:p>
        </w:tc>
      </w:tr>
      <w:tr>
        <w:tc>
          <w:tcPr>
            <w:tcW w:type="dxa" w:w="23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PartnerUser</w:t>
            </w:r>
          </w:p>
        </w:tc>
        <w:tc>
          <w:tcPr>
            <w:tcW w:type="dxa" w:w="67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Id, partnerId, role, status</w:t>
            </w:r>
          </w:p>
        </w:tc>
      </w:tr>
      <w:tr>
        <w:tc>
          <w:tcPr>
            <w:tcW w:type="dxa" w:w="23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TransactionRecord</w:t>
            </w:r>
          </w:p>
        </w:tc>
        <w:tc>
          <w:tcPr>
            <w:tcW w:type="dxa" w:w="67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Id, merchantId, partnerId, type, amount, currency(SAR), status, createdAt</w:t>
            </w:r>
          </w:p>
        </w:tc>
      </w:tr>
      <w:tr>
        <w:tc>
          <w:tcPr>
            <w:tcW w:type="dxa" w:w="23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AdminAuditLog</w:t>
            </w:r>
          </w:p>
        </w:tc>
        <w:tc>
          <w:tcPr>
            <w:tcW w:type="dxa" w:w="67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Id, actor, action, target, timestamp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6. External Interfaces (this increment)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526"/>
      </w:tblGrid>
      <w:tr>
        <w:trPr>
          <w:tblHeader/>
        </w:trPr>
        <w:tc>
          <w:tcPr>
            <w:tcW w:type="dxa" w:w="30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Link</w:t>
            </w:r>
          </w:p>
        </w:tc>
        <w:tc>
          <w:tcPr>
            <w:tcW w:type="dxa" w:w="35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Mechanism</w:t>
            </w:r>
          </w:p>
        </w:tc>
        <w:tc>
          <w:tcPr>
            <w:tcW w:type="dxa" w:w="25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Security</w:t>
            </w:r>
          </w:p>
        </w:tc>
      </w:tr>
      <w:tr>
        <w:tc>
          <w:tcPr>
            <w:tcW w:type="dxa" w:w="30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Users → IdP</w:t>
            </w:r>
          </w:p>
        </w:tc>
        <w:tc>
          <w:tcPr>
            <w:tcW w:type="dxa" w:w="35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OAuth2 / OIDC (Auth Code + PKCE)</w:t>
            </w:r>
          </w:p>
        </w:tc>
        <w:tc>
          <w:tcPr>
            <w:tcW w:type="dxa" w:w="25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Tokens, PKCE</w:t>
            </w:r>
          </w:p>
        </w:tc>
      </w:tr>
      <w:tr>
        <w:tc>
          <w:tcPr>
            <w:tcW w:type="dxa" w:w="30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Partner systems → IdP</w:t>
            </w:r>
          </w:p>
        </w:tc>
        <w:tc>
          <w:tcPr>
            <w:tcW w:type="dxa" w:w="35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Client-Credentials + scopes</w:t>
            </w:r>
          </w:p>
        </w:tc>
        <w:tc>
          <w:tcPr>
            <w:tcW w:type="dxa" w:w="25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Scoped tokens</w:t>
            </w:r>
          </w:p>
        </w:tc>
      </w:tr>
      <w:tr>
        <w:tc>
          <w:tcPr>
            <w:tcW w:type="dxa" w:w="30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Admin Console → IdP</w:t>
            </w:r>
          </w:p>
        </w:tc>
        <w:tc>
          <w:tcPr>
            <w:tcW w:type="dxa" w:w="35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OAuth2 (MFA-ready)</w:t>
            </w:r>
          </w:p>
        </w:tc>
        <w:tc>
          <w:tcPr>
            <w:tcW w:type="dxa" w:w="25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Roles + audit</w:t>
            </w:r>
          </w:p>
        </w:tc>
      </w:tr>
      <w:tr>
        <w:tc>
          <w:tcPr>
            <w:tcW w:type="dxa" w:w="30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Partner Platform → Zahy Dashboard</w:t>
            </w:r>
          </w:p>
        </w:tc>
        <w:tc>
          <w:tcPr>
            <w:tcW w:type="dxa" w:w="35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Signed webhook / API</w:t>
            </w:r>
          </w:p>
        </w:tc>
        <w:tc>
          <w:tcPr>
            <w:tcW w:type="dxa" w:w="25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HMAC / token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Out of scope here: </w:t>
      </w:r>
      <w:r>
        <w:t xml:space="preserve">Commerce CDC, the Webhook Hub event catalogue, and all partner connectors — specified in the next SRS increment.</w:t>
      </w:r>
    </w:p>
    <w:p>
      <w:pPr>
        <w:pStyle w:val="Heading1"/>
      </w:pPr>
      <w:r>
        <w:t xml:space="preserve">7. Non-Functional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rPr>
          <w:tblHeader/>
        </w:trPr>
        <w:tc>
          <w:tcPr>
            <w:tcW w:type="dxa" w:w="19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71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9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Security</w:t>
            </w:r>
          </w:p>
        </w:tc>
        <w:tc>
          <w:tcPr>
            <w:tcW w:type="dxa" w:w="71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OAuth scopes; HMAC-signed webhooks; secrets in a managed store; exposed-secret remediation is a prerequisite; tenant isolation enforced everywhere.</w:t>
            </w:r>
          </w:p>
        </w:tc>
      </w:tr>
      <w:tr>
        <w:tc>
          <w:tcPr>
            <w:tcW w:type="dxa" w:w="19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Availability</w:t>
            </w:r>
          </w:p>
        </w:tc>
        <w:tc>
          <w:tcPr>
            <w:tcW w:type="dxa" w:w="71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The IdP is critical-path; target high availability with graceful token-refresh handling.</w:t>
            </w:r>
          </w:p>
        </w:tc>
      </w:tr>
      <w:tr>
        <w:tc>
          <w:tcPr>
            <w:tcW w:type="dxa" w:w="19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Performance</w:t>
            </w:r>
          </w:p>
        </w:tc>
        <w:tc>
          <w:tcPr>
            <w:tcW w:type="dxa" w:w="71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Token issuance and authorization checks within low latency; dashboard surfacing near-real-time.</w:t>
            </w:r>
          </w:p>
        </w:tc>
      </w:tr>
      <w:tr>
        <w:tc>
          <w:tcPr>
            <w:tcW w:type="dxa" w:w="19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Data residency</w:t>
            </w:r>
          </w:p>
        </w:tc>
        <w:tc>
          <w:tcPr>
            <w:tcW w:type="dxa" w:w="71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All data stored inside Saudi Arabia.</w:t>
            </w:r>
          </w:p>
        </w:tc>
      </w:tr>
      <w:tr>
        <w:tc>
          <w:tcPr>
            <w:tcW w:type="dxa" w:w="19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Localization</w:t>
            </w:r>
          </w:p>
        </w:tc>
        <w:tc>
          <w:tcPr>
            <w:tcW w:type="dxa" w:w="71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Arabic (RTL) and English across admin, partner and merchant surfaces.</w:t>
            </w:r>
          </w:p>
        </w:tc>
      </w:tr>
      <w:tr>
        <w:tc>
          <w:tcPr>
            <w:tcW w:type="dxa" w:w="19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Auditability</w:t>
            </w:r>
          </w:p>
        </w:tc>
        <w:tc>
          <w:tcPr>
            <w:tcW w:type="dxa" w:w="71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Consequential admin and partner actions are logged and queryable.</w:t>
            </w:r>
          </w:p>
        </w:tc>
      </w:tr>
      <w:tr>
        <w:tc>
          <w:tcPr>
            <w:tcW w:type="dxa" w:w="19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Scalability</w:t>
            </w:r>
          </w:p>
        </w:tc>
        <w:tc>
          <w:tcPr>
            <w:tcW w:type="dxa" w:w="71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Multi-tenant; shared DB + per-tenant DB option for large clients.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8. Traceability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 group</w:t>
            </w:r>
          </w:p>
        </w:tc>
        <w:tc>
          <w:tcPr>
            <w:tcW w:type="dxa" w:w="60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 decision / BRD</w:t>
            </w:r>
          </w:p>
        </w:tc>
      </w:tr>
      <w:tr>
        <w:tc>
          <w:tcPr>
            <w:tcW w:type="dxa" w:w="30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IAM, ADM, RBAC</w:t>
            </w:r>
          </w:p>
        </w:tc>
        <w:tc>
          <w:tcPr>
            <w:tcW w:type="dxa" w:w="60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AD-1 (owned identity); BRD v1.1 A3 (admin login)</w:t>
            </w:r>
          </w:p>
        </w:tc>
      </w:tr>
      <w:tr>
        <w:tc>
          <w:tcPr>
            <w:tcW w:type="dxa" w:w="30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PON, PTM</w:t>
            </w:r>
          </w:p>
        </w:tc>
        <w:tc>
          <w:tcPr>
            <w:tcW w:type="dxa" w:w="60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BRD v1.0 §7.A/7.B; AD-4 (partner platform)</w:t>
            </w:r>
          </w:p>
        </w:tc>
      </w:tr>
      <w:tr>
        <w:tc>
          <w:tcPr>
            <w:tcW w:type="dxa" w:w="30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TXN</w:t>
            </w:r>
          </w:p>
        </w:tc>
        <w:tc>
          <w:tcPr>
            <w:tcW w:type="dxa" w:w="60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AD-4 (surface to Zahy dashboard); AD-3 (webhooks)</w:t>
            </w:r>
          </w:p>
        </w:tc>
      </w:tr>
      <w:tr>
        <w:tc>
          <w:tcPr>
            <w:tcW w:type="dxa" w:w="30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NFR (residency/host)</w:t>
            </w:r>
          </w:p>
        </w:tc>
        <w:tc>
          <w:tcPr>
            <w:tcW w:type="dxa" w:w="60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AD-7, AD-8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9. Open Items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Repo location, namespace convention (Zahy.* / App.* / Tajer.*) and ABP + Angular versions — to be set when the GitHub repo is created and connected to Cursor.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Final admin session/password policy values.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Hosting confirmation (Google Cloud Dammam via CNTXT).</w:t>
      </w:r>
    </w:p>
    <w:p>
      <w:pPr>
        <w:pBdr>
          <w:bottom w:val="single" w:color="0E5C63" w:sz="6" w:space="1"/>
        </w:pBdr>
        <w:spacing w:after="120"/>
      </w:pPr>
      <w:r>
        <w:t xml:space="preserve"/>
      </w:r>
    </w:p>
    <w:p>
      <w:pPr>
        <w:jc w:val="center"/>
      </w:pPr>
      <w:r>
        <w:rPr>
          <w:i/>
          <w:iCs/>
          <w:color w:val="555555"/>
          <w:sz w:val="18"/>
          <w:szCs w:val="18"/>
        </w:rPr>
        <w:t xml:space="preserve">Next: Solution Design (SDD) for this increment — component design, data model, API contracts and sequence diagrams — then the Cursor build prompt for Phase 1 (Owned Identity).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6"/>
        <w:szCs w:val="16"/>
      </w:rPr>
      <w:t xml:space="preserve"> of </w:t>
    </w:r>
    <w:r>
      <w:rPr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EAEC" w:sz="4" w:space="2"/>
      </w:pBdr>
      <w:tabs>
        <w:tab w:val="right" w:pos="9026"/>
      </w:tabs>
    </w:pPr>
    <w:r>
      <w:rPr>
        <w:color w:val="555555"/>
        <w:sz w:val="15"/>
        <w:szCs w:val="15"/>
      </w:rPr>
      <w:t xml:space="preserve">Zahy Partner Platform — SRS-1 (Identity &amp; Partner Foundation)</w:t>
    </w:r>
    <w:r>
      <w:rPr>
        <w:color w:val="555555"/>
        <w:sz w:val="15"/>
        <w:szCs w:val="15"/>
      </w:rPr>
      <w:t xml:space="preserve">	Confidential — Time Solution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EAEC" w:sz="4" w:space="4"/>
      </w:pBdr>
      <w:spacing w:after="140" w:before="280"/>
      <w:outlineLvl w:val="0"/>
    </w:pPr>
    <w:rPr>
      <w:rFonts w:ascii="Arial" w:cs="Arial" w:eastAsia="Arial" w:hAnsi="Arial"/>
      <w:b/>
      <w:bCs/>
      <w:color w:val="0E5C63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1A1A1A"/>
      <w:sz w:val="23"/>
      <w:szCs w:val="23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0E5C63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Zahy Partner Platform — SRS-1</dc:title>
  <dc:creator>Time Solution</dc:creator>
  <cp:lastModifiedBy>Un-named</cp:lastModifiedBy>
  <cp:revision>1</cp:revision>
  <dcterms:created xsi:type="dcterms:W3CDTF">2026-06-18T15:38:58.636Z</dcterms:created>
  <dcterms:modified xsi:type="dcterms:W3CDTF">2026-06-18T15:38:58.651Z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