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1909" w14:textId="77777777" w:rsidR="006073EC" w:rsidRPr="006073EC" w:rsidRDefault="006073EC" w:rsidP="0060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3EC">
        <w:rPr>
          <w:rFonts w:ascii="Times New Roman" w:eastAsia="Times New Roman" w:hAnsi="Times New Roman" w:cs="Times New Roman"/>
          <w:b/>
          <w:bCs/>
          <w:sz w:val="27"/>
          <w:szCs w:val="27"/>
        </w:rPr>
        <w:t>1) Profitability — Insurance Types and Regions</w:t>
      </w:r>
    </w:p>
    <w:p w14:paraId="5FD6190D" w14:textId="77777777" w:rsidR="006073EC" w:rsidRPr="006073EC" w:rsidRDefault="006073EC" w:rsidP="0060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Motor Insurance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is the least profitable product line — with an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claim ratio of about 72%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>, high claim frequency, and large average loss amounts.</w:t>
      </w:r>
    </w:p>
    <w:p w14:paraId="338BFD10" w14:textId="77777777" w:rsidR="006073EC" w:rsidRPr="006073EC" w:rsidRDefault="006073EC" w:rsidP="0060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Insurance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shows a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claim ratio of around 58%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>, representing moderate risk, but an increasing trend has been observed in recent months. Stronger control of medical costs and pre-authorization is required.</w:t>
      </w:r>
    </w:p>
    <w:p w14:paraId="1C782A87" w14:textId="77777777" w:rsidR="006073EC" w:rsidRPr="006073EC" w:rsidRDefault="006073EC" w:rsidP="0060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and Travel Insurance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profitable lines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>, maintaining claim ratios below 35% with stable risk performance.</w:t>
      </w:r>
    </w:p>
    <w:p w14:paraId="49043D1B" w14:textId="77777777" w:rsidR="006073EC" w:rsidRPr="006073EC" w:rsidRDefault="006073EC" w:rsidP="0060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Situation: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The highest frequency and severity occur in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Baku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Ganja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regions — mainly due to urban risk concentration and possible pricing gaps.</w:t>
      </w:r>
    </w:p>
    <w:p w14:paraId="42A91A43" w14:textId="77777777" w:rsidR="006073EC" w:rsidRPr="006073EC" w:rsidRDefault="006073EC" w:rsidP="0060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sz w:val="24"/>
          <w:szCs w:val="24"/>
        </w:rPr>
        <w:pict w14:anchorId="6703C8C2">
          <v:rect id="_x0000_i1052" style="width:0;height:1.5pt" o:hralign="center" o:hrstd="t" o:hr="t" fillcolor="#a0a0a0" stroked="f"/>
        </w:pict>
      </w:r>
    </w:p>
    <w:p w14:paraId="6C6153EE" w14:textId="77777777" w:rsidR="006073EC" w:rsidRPr="006073EC" w:rsidRDefault="006073EC" w:rsidP="0060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3EC">
        <w:rPr>
          <w:rFonts w:ascii="Times New Roman" w:eastAsia="Times New Roman" w:hAnsi="Times New Roman" w:cs="Times New Roman"/>
          <w:b/>
          <w:bCs/>
          <w:sz w:val="27"/>
          <w:szCs w:val="27"/>
        </w:rPr>
        <w:t>2) Channels and Brokers Driving Losses</w:t>
      </w:r>
    </w:p>
    <w:p w14:paraId="6CDDB843" w14:textId="77777777" w:rsidR="006073EC" w:rsidRPr="006073EC" w:rsidRDefault="006073EC" w:rsidP="00607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Broker Channel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accounts for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around 63% of total premiums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but generates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over 70% of total claims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, leading to a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claim ratio 12–15 percentage points higher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than direct or online sales.</w:t>
      </w:r>
    </w:p>
    <w:p w14:paraId="10F2C446" w14:textId="77777777" w:rsidR="006073EC" w:rsidRPr="006073EC" w:rsidRDefault="006073EC" w:rsidP="00607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Top Loss Brokers: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73EC">
        <w:rPr>
          <w:rFonts w:ascii="Times New Roman" w:eastAsia="Times New Roman" w:hAnsi="Times New Roman" w:cs="Times New Roman"/>
          <w:i/>
          <w:iCs/>
          <w:sz w:val="24"/>
          <w:szCs w:val="24"/>
        </w:rPr>
        <w:t>Araz Broker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73EC">
        <w:rPr>
          <w:rFonts w:ascii="Times New Roman" w:eastAsia="Times New Roman" w:hAnsi="Times New Roman" w:cs="Times New Roman"/>
          <w:i/>
          <w:iCs/>
          <w:sz w:val="24"/>
          <w:szCs w:val="24"/>
        </w:rPr>
        <w:t>Sigma Consulting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— claim ratios exceed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80%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0747D" w14:textId="4B475CFD" w:rsidR="006073EC" w:rsidRPr="006073EC" w:rsidRDefault="006073EC" w:rsidP="00607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Top Performing Brokers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channels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73EC">
        <w:rPr>
          <w:rFonts w:ascii="Times New Roman" w:eastAsia="Times New Roman" w:hAnsi="Times New Roman" w:cs="Times New Roman"/>
          <w:i/>
          <w:iCs/>
          <w:sz w:val="24"/>
          <w:szCs w:val="24"/>
        </w:rPr>
        <w:t>FinTrust Agency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73EC">
        <w:rPr>
          <w:rFonts w:ascii="Times New Roman" w:eastAsia="Times New Roman" w:hAnsi="Times New Roman" w:cs="Times New Roman"/>
          <w:i/>
          <w:iCs/>
          <w:sz w:val="24"/>
          <w:szCs w:val="24"/>
        </w:rPr>
        <w:t>Online Sales Channel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— stable profitability (&lt;40% claim ratio). Cooperation with these partners should be strengthened.</w:t>
      </w:r>
    </w:p>
    <w:p w14:paraId="2B61CF0E" w14:textId="77777777" w:rsidR="006073EC" w:rsidRPr="006073EC" w:rsidRDefault="006073EC" w:rsidP="0060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sz w:val="24"/>
          <w:szCs w:val="24"/>
        </w:rPr>
        <w:pict w14:anchorId="1739ABEC">
          <v:rect id="_x0000_i1053" style="width:0;height:1.5pt" o:hralign="center" o:hrstd="t" o:hr="t" fillcolor="#a0a0a0" stroked="f"/>
        </w:pict>
      </w:r>
    </w:p>
    <w:p w14:paraId="62511849" w14:textId="77777777" w:rsidR="006073EC" w:rsidRPr="006073EC" w:rsidRDefault="006073EC" w:rsidP="0060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3EC">
        <w:rPr>
          <w:rFonts w:ascii="Times New Roman" w:eastAsia="Times New Roman" w:hAnsi="Times New Roman" w:cs="Times New Roman"/>
          <w:b/>
          <w:bCs/>
          <w:sz w:val="27"/>
          <w:szCs w:val="27"/>
        </w:rPr>
        <w:t>3) Fraud and Risk Indicators</w:t>
      </w:r>
    </w:p>
    <w:p w14:paraId="5C1D9E4E" w14:textId="77777777" w:rsidR="006073EC" w:rsidRPr="006073EC" w:rsidRDefault="006073EC" w:rsidP="00607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Early Claims (≤30 days):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About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8% of all claims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occur within the first month of the policy, mainly in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Baku and Absheron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— this may also be due to the high number of vehicles rather than fraud.</w:t>
      </w:r>
    </w:p>
    <w:p w14:paraId="774F04DA" w14:textId="77777777" w:rsidR="006073EC" w:rsidRPr="006073EC" w:rsidRDefault="006073EC" w:rsidP="00607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High-Risk Customers: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96 customers have a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loss ratio above 0.8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three claims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within 12 months. Most belong to broker-sold policies with late payments.</w:t>
      </w:r>
    </w:p>
    <w:p w14:paraId="2D7A1C54" w14:textId="77777777" w:rsidR="006073EC" w:rsidRPr="006073EC" w:rsidRDefault="006073EC" w:rsidP="00607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Payment Discipline: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About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11% of policies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were delayed or unpaid, and their average claim ratio was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25% higher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than those paid on time.</w:t>
      </w:r>
    </w:p>
    <w:p w14:paraId="409D832E" w14:textId="77777777" w:rsidR="006073EC" w:rsidRPr="006073EC" w:rsidRDefault="006073EC" w:rsidP="00607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Outliers: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Exceptionally large claims were detected in Property and Motor insurance categories — internal audit and documentation checks are recommended.</w:t>
      </w:r>
    </w:p>
    <w:p w14:paraId="75BE4C2E" w14:textId="77777777" w:rsidR="006073EC" w:rsidRPr="006073EC" w:rsidRDefault="006073EC" w:rsidP="0060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sz w:val="24"/>
          <w:szCs w:val="24"/>
        </w:rPr>
        <w:pict w14:anchorId="1A85305D">
          <v:rect id="_x0000_i1054" style="width:0;height:1.5pt" o:hralign="center" o:hrstd="t" o:hr="t" fillcolor="#a0a0a0" stroked="f"/>
        </w:pict>
      </w:r>
    </w:p>
    <w:p w14:paraId="207D8410" w14:textId="77777777" w:rsidR="006073EC" w:rsidRPr="006073EC" w:rsidRDefault="006073EC" w:rsidP="0060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3EC">
        <w:rPr>
          <w:rFonts w:ascii="Times New Roman" w:eastAsia="Times New Roman" w:hAnsi="Times New Roman" w:cs="Times New Roman"/>
          <w:b/>
          <w:bCs/>
          <w:sz w:val="27"/>
          <w:szCs w:val="27"/>
        </w:rPr>
        <w:t>4) Management Actions — Next 90 Days</w:t>
      </w:r>
    </w:p>
    <w:p w14:paraId="0A401D54" w14:textId="77777777" w:rsidR="006073EC" w:rsidRPr="006073EC" w:rsidRDefault="006073EC" w:rsidP="00607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Pricing and Underwriting: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Motor and Medical segments should be re-rated, and acceptance criteria in high-risk regions should be tightened.</w:t>
      </w:r>
    </w:p>
    <w:p w14:paraId="58B1C5E1" w14:textId="77777777" w:rsidR="006073EC" w:rsidRPr="006073EC" w:rsidRDefault="006073EC" w:rsidP="00607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Broker Oversight: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Broker Performance System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(claim ratio, early claims, overdue payments, etc.) should be implemented, with commission structures adjusted based on results.</w:t>
      </w:r>
    </w:p>
    <w:p w14:paraId="37012294" w14:textId="77777777" w:rsidR="006073EC" w:rsidRPr="006073EC" w:rsidRDefault="006073EC" w:rsidP="00607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Fraud Control: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Automatic detection and investigation of early claims should be established.</w:t>
      </w:r>
    </w:p>
    <w:p w14:paraId="41985970" w14:textId="77777777" w:rsidR="006073EC" w:rsidRPr="006073EC" w:rsidRDefault="006073EC" w:rsidP="00607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Retention: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Provide renewal discounts or additional services for low-risk clients; apply risk-based pricing for higher-risk renewals.</w:t>
      </w:r>
    </w:p>
    <w:p w14:paraId="0CABF715" w14:textId="77777777" w:rsidR="006073EC" w:rsidRPr="006073EC" w:rsidRDefault="006073EC" w:rsidP="00607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3EC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6073EC">
        <w:rPr>
          <w:rFonts w:ascii="Times New Roman" w:eastAsia="Times New Roman" w:hAnsi="Times New Roman" w:cs="Times New Roman"/>
          <w:sz w:val="24"/>
          <w:szCs w:val="24"/>
        </w:rPr>
        <w:t xml:space="preserve"> A monthly Power BI portfolio dashboard (Insurance Type × Region × Channel) should be maintained and reviewed at the management level.</w:t>
      </w:r>
    </w:p>
    <w:p w14:paraId="1EDCDAEB" w14:textId="71C2BA03" w:rsidR="00D9480A" w:rsidRDefault="00D9480A" w:rsidP="006073EC"/>
    <w:sectPr w:rsidR="00D9480A" w:rsidSect="006073EC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7B31"/>
    <w:multiLevelType w:val="multilevel"/>
    <w:tmpl w:val="A0F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539"/>
    <w:multiLevelType w:val="multilevel"/>
    <w:tmpl w:val="2C78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3E67"/>
    <w:multiLevelType w:val="multilevel"/>
    <w:tmpl w:val="4CE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603D4"/>
    <w:multiLevelType w:val="multilevel"/>
    <w:tmpl w:val="2A9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32E27"/>
    <w:multiLevelType w:val="multilevel"/>
    <w:tmpl w:val="B29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B5C76"/>
    <w:multiLevelType w:val="multilevel"/>
    <w:tmpl w:val="D7A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53801"/>
    <w:multiLevelType w:val="multilevel"/>
    <w:tmpl w:val="704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D2E89"/>
    <w:multiLevelType w:val="multilevel"/>
    <w:tmpl w:val="107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93019">
    <w:abstractNumId w:val="5"/>
  </w:num>
  <w:num w:numId="2" w16cid:durableId="43873875">
    <w:abstractNumId w:val="1"/>
  </w:num>
  <w:num w:numId="3" w16cid:durableId="678503822">
    <w:abstractNumId w:val="3"/>
  </w:num>
  <w:num w:numId="4" w16cid:durableId="1766463347">
    <w:abstractNumId w:val="6"/>
  </w:num>
  <w:num w:numId="5" w16cid:durableId="949359648">
    <w:abstractNumId w:val="0"/>
  </w:num>
  <w:num w:numId="6" w16cid:durableId="1005286279">
    <w:abstractNumId w:val="7"/>
  </w:num>
  <w:num w:numId="7" w16cid:durableId="1173571709">
    <w:abstractNumId w:val="2"/>
  </w:num>
  <w:num w:numId="8" w16cid:durableId="727993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CF"/>
    <w:rsid w:val="006073EC"/>
    <w:rsid w:val="00C609CF"/>
    <w:rsid w:val="00D9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A593"/>
  <w15:chartTrackingRefBased/>
  <w15:docId w15:val="{218EF4D3-014C-49E5-BC48-03668FC4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73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073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7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073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7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 Mahmudzadə</dc:creator>
  <cp:keywords/>
  <dc:description/>
  <cp:lastModifiedBy>Fuad Mahmudzadə</cp:lastModifiedBy>
  <cp:revision>2</cp:revision>
  <dcterms:created xsi:type="dcterms:W3CDTF">2025-10-18T15:42:00Z</dcterms:created>
  <dcterms:modified xsi:type="dcterms:W3CDTF">2025-10-18T15:43:00Z</dcterms:modified>
</cp:coreProperties>
</file>