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right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时间管理APP</w:t>
      </w:r>
    </w:p>
    <w:p>
      <w:pPr>
        <w:pStyle w:val="2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0"/>
        <w:jc w:val="right"/>
      </w:pPr>
    </w:p>
    <w:p>
      <w:pPr>
        <w:pStyle w:val="2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0.1.0</w:t>
      </w:r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20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0"/>
      </w:pPr>
      <w:r>
        <w:rPr>
          <w:rFonts w:hint="eastAsia"/>
        </w:rPr>
        <w:t>修订历史记录</w:t>
      </w:r>
    </w:p>
    <w:tbl>
      <w:tblPr>
        <w:tblStyle w:val="3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hint="eastAsia" w:ascii="Times New Roman"/>
                <w:lang w:val="en-US" w:eastAsia="zh-CN"/>
              </w:rPr>
              <w:t>01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2020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hint="eastAsia" w:ascii="Times New Roman"/>
                <w:lang w:val="en-US" w:eastAsia="zh-CN"/>
              </w:rPr>
              <w:t>0.1.0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完成了逻辑架构与物理架构部分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陈治西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0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2</w:t>
      </w:r>
      <w:r>
        <w:fldChar w:fldCharType="end"/>
      </w:r>
    </w:p>
    <w:p>
      <w:pPr>
        <w:pStyle w:val="2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2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2</w:t>
      </w:r>
      <w:r>
        <w:fldChar w:fldCharType="end"/>
      </w:r>
    </w:p>
    <w:p>
      <w:pPr>
        <w:pStyle w:val="20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/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本节参考3 Tiers架构风格，将系统划分为表示层，业务逻辑层，数据访问层三个层次以及若干模块，并列出了对每一层次预计的实现方式。</w:t>
      </w:r>
    </w:p>
    <w:p>
      <w:pPr>
        <w:pStyle w:val="1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07025" cy="2976880"/>
            <wp:effectExtent l="0" t="0" r="3175" b="10160"/>
            <wp:docPr id="3" name="Picture 3" descr="逻辑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逻辑架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包含用户与系统交互的模块，即前端的显示页面，支持登录、注册、维护用户信息、设置闹钟、专注模式、维护好友信息、为好友设置闹钟、更改设置以及查看报表。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业务逻辑层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包括系统的业务逻辑模块，接受表示层发送的信息并启动对应服务，执行相关业务逻辑，并调用数据访问层提供的接口。任务闹钟和专注模式的业务逻辑在客户端本地执行，其余业务逻辑在服务器端执行。</w:t>
      </w:r>
      <w:bookmarkStart w:id="11" w:name="_GoBack"/>
      <w:bookmarkEnd w:id="11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数据访问层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包括系统的数据库以及与数据库交互的模块，负责执行数据库持久性操作。客户端通过安卓文件访问接口与本地数据交互，服务器端通过JDBC与数据库交互。</w:t>
      </w:r>
    </w:p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pStyle w:val="47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pPr>
        <w:pStyle w:val="11"/>
        <w:rPr>
          <w:rFonts w:hint="default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本系统的物理架构使用Client/Server架构。如下图所示，描述了运行本系统的一种物理硬件配置，共有三种物理节点，用户端的安卓设备通过internet连接到Web服务器，Web服务器与数据库通过Socket或TCP/IP连接。在进程视图完成后，将会对物理架构进行进一步完善，并添加各进程到物理节点的映射。</w:t>
      </w:r>
    </w:p>
    <w:p>
      <w:pPr>
        <w:pStyle w:val="11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53640" cy="2912745"/>
            <wp:effectExtent l="0" t="0" r="0" b="13335"/>
            <wp:docPr id="2" name="Picture 2" descr="物理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物理架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Device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所有安装了本系统客户端应用的安卓设备，可以通过互联网连接到系统部署的云服务器。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Cloud Server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安装了本系统服务器端应用的云服务器，可以通过互联网连接。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Database Service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为本系统提供数据库服务的设备，系统服务器端可以通过互联网连接。</w:t>
      </w:r>
    </w:p>
    <w:p>
      <w:pPr>
        <w:rPr>
          <w:rFonts w:hint="default"/>
          <w:lang w:val="en-US" w:eastAsia="zh-CN"/>
        </w:rPr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pPr>
        <w:pStyle w:val="47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/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数据视图（可选）</w:t>
      </w:r>
      <w:bookmarkEnd w:id="9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1"/>
        <w:rPr>
          <w:rFonts w:hint="eastAsia"/>
        </w:rPr>
      </w:pPr>
    </w:p>
    <w:p>
      <w:pPr>
        <w:pStyle w:val="2"/>
        <w:ind w:left="360" w:hanging="360"/>
      </w:pPr>
      <w:bookmarkStart w:id="10" w:name="_Toc356851236"/>
      <w:r>
        <w:rPr>
          <w:rFonts w:hint="eastAsia"/>
        </w:rPr>
        <w:t>核心算法设计（可选）</w:t>
      </w:r>
      <w:bookmarkEnd w:id="10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1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01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2020</w:t>
          </w:r>
          <w:r>
            <w:rPr>
              <w:rFonts w:ascii="Times New Roman"/>
            </w:rPr>
            <w:t>&gt;</w:t>
          </w:r>
        </w:p>
      </w:tc>
    </w:tr>
  </w:tbl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7760A"/>
    <w:rsid w:val="00575EF6"/>
    <w:rsid w:val="0079201D"/>
    <w:rsid w:val="009A3548"/>
    <w:rsid w:val="00CC3BDD"/>
    <w:rsid w:val="00FB1A25"/>
    <w:rsid w:val="08AF267B"/>
    <w:rsid w:val="0CEA5717"/>
    <w:rsid w:val="0E5859DE"/>
    <w:rsid w:val="35E33977"/>
    <w:rsid w:val="36D62B79"/>
    <w:rsid w:val="3A325AB7"/>
    <w:rsid w:val="3BB2137D"/>
    <w:rsid w:val="3D01249E"/>
    <w:rsid w:val="3D955FA1"/>
    <w:rsid w:val="3E8716BC"/>
    <w:rsid w:val="474A46C4"/>
    <w:rsid w:val="565C2DA8"/>
    <w:rsid w:val="56E154D5"/>
    <w:rsid w:val="5B34149E"/>
    <w:rsid w:val="6414749F"/>
    <w:rsid w:val="735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keepLines/>
      <w:spacing w:after="120"/>
      <w:ind w:left="720"/>
    </w:pPr>
  </w:style>
  <w:style w:type="paragraph" w:styleId="12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3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14">
    <w:name w:val="Document Map"/>
    <w:basedOn w:val="1"/>
    <w:semiHidden/>
    <w:uiPriority w:val="0"/>
    <w:pPr>
      <w:shd w:val="clear" w:color="auto" w:fill="000080"/>
    </w:pPr>
  </w:style>
  <w:style w:type="paragraph" w:styleId="1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7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8">
    <w:name w:val="Normal Indent"/>
    <w:basedOn w:val="1"/>
    <w:uiPriority w:val="0"/>
    <w:pPr>
      <w:ind w:left="900" w:hanging="900"/>
    </w:pPr>
  </w:style>
  <w:style w:type="paragraph" w:styleId="19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toc 5"/>
    <w:basedOn w:val="1"/>
    <w:next w:val="1"/>
    <w:semiHidden/>
    <w:uiPriority w:val="0"/>
    <w:pPr>
      <w:ind w:left="800"/>
    </w:p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7"/>
    <w:basedOn w:val="1"/>
    <w:next w:val="1"/>
    <w:semiHidden/>
    <w:uiPriority w:val="0"/>
    <w:pPr>
      <w:ind w:left="1200"/>
    </w:pPr>
  </w:style>
  <w:style w:type="paragraph" w:styleId="28">
    <w:name w:val="toc 8"/>
    <w:basedOn w:val="1"/>
    <w:next w:val="1"/>
    <w:semiHidden/>
    <w:qFormat/>
    <w:uiPriority w:val="0"/>
    <w:pPr>
      <w:ind w:left="140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footnote reference"/>
    <w:semiHidden/>
    <w:uiPriority w:val="0"/>
    <w:rPr>
      <w:sz w:val="20"/>
      <w:vertAlign w:val="superscript"/>
    </w:rPr>
  </w:style>
  <w:style w:type="character" w:styleId="33">
    <w:name w:val="Hyperlink"/>
    <w:uiPriority w:val="0"/>
    <w:rPr>
      <w:color w:val="0000FF"/>
      <w:u w:val="single"/>
    </w:rPr>
  </w:style>
  <w:style w:type="character" w:styleId="34">
    <w:name w:val="page number"/>
    <w:basedOn w:val="30"/>
    <w:uiPriority w:val="0"/>
  </w:style>
  <w:style w:type="character" w:styleId="35">
    <w:name w:val="Strong"/>
    <w:qFormat/>
    <w:uiPriority w:val="0"/>
    <w:rPr>
      <w:b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1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5</Pages>
  <Words>312</Words>
  <Characters>1781</Characters>
  <Lines>14</Lines>
  <Paragraphs>4</Paragraphs>
  <TotalTime>8</TotalTime>
  <ScaleCrop>false</ScaleCrop>
  <LinksUpToDate>false</LinksUpToDate>
  <CharactersWithSpaces>2089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ASUS</cp:lastModifiedBy>
  <cp:lastPrinted>2113-01-01T00:00:00Z</cp:lastPrinted>
  <dcterms:modified xsi:type="dcterms:W3CDTF">2020-11-01T11:08:39Z</dcterms:modified>
  <dc:subject>&lt;项目名称&gt;</dc:subject>
  <dc:title>软件架构文档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1033-11.2.0.9669</vt:lpwstr>
  </property>
</Properties>
</file>