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B8990"/>
    <w:p w14:paraId="24181759"/>
    <w:p w14:paraId="0D6A3032"/>
    <w:p w14:paraId="644326F4"/>
    <w:p w14:paraId="5B9D0077">
      <w:pPr>
        <w:jc w:val="center"/>
      </w:pPr>
      <w:r>
        <w:rPr>
          <w:b/>
          <w:color w:val="1A56DB"/>
          <w:sz w:val="72"/>
        </w:rPr>
        <w:t>智蜱卫士</w:t>
      </w:r>
    </w:p>
    <w:p w14:paraId="46996519">
      <w:pPr>
        <w:jc w:val="center"/>
      </w:pPr>
      <w:r>
        <w:rPr>
          <w:color w:val="333333"/>
          <w:sz w:val="40"/>
        </w:rPr>
        <w:t>基于AI细粒度识别的蜱虫智能防控系统</w:t>
      </w:r>
    </w:p>
    <w:p w14:paraId="6B44FA64"/>
    <w:p w14:paraId="6306A61B"/>
    <w:p w14:paraId="1D7DE965">
      <w:pPr>
        <w:jc w:val="center"/>
      </w:pPr>
      <w:r>
        <w:rPr>
          <w:b/>
          <w:sz w:val="48"/>
        </w:rPr>
        <w:t>商 业 计 划 书</w:t>
      </w:r>
    </w:p>
    <w:p w14:paraId="157F70C6"/>
    <w:p w14:paraId="4A513A43"/>
    <w:p w14:paraId="1196484C">
      <w:pPr>
        <w:jc w:val="center"/>
      </w:pPr>
      <w:r>
        <w:rPr>
          <w:sz w:val="28"/>
        </w:rPr>
        <w:t>参赛赛道：青年创新专项赛</w:t>
      </w:r>
    </w:p>
    <w:p w14:paraId="73E5E9BF">
      <w:pPr>
        <w:jc w:val="center"/>
      </w:pPr>
      <w:r>
        <w:rPr>
          <w:sz w:val="28"/>
        </w:rPr>
        <w:t>项目负责人：郑良鑫</w:t>
      </w:r>
    </w:p>
    <w:p w14:paraId="5B3166A4">
      <w:pPr>
        <w:jc w:val="center"/>
      </w:pPr>
      <w:r>
        <w:rPr>
          <w:sz w:val="28"/>
        </w:rPr>
        <w:t>所属领域：人工智能·智慧医疗·现代农业</w:t>
      </w:r>
    </w:p>
    <w:p w14:paraId="752400E7">
      <w:r>
        <w:br w:type="page"/>
      </w:r>
    </w:p>
    <w:p w14:paraId="540871E3">
      <w:pPr>
        <w:pStyle w:val="3"/>
      </w:pPr>
      <w:r>
        <w:rPr>
          <w:color w:val="1A56DB"/>
        </w:rPr>
        <w:t>目录</w:t>
      </w:r>
    </w:p>
    <w:p w14:paraId="5B9309A5">
      <w:pPr>
        <w:spacing w:after="160"/>
      </w:pPr>
      <w:r>
        <w:rPr>
          <w:sz w:val="26"/>
        </w:rPr>
        <w:t>一、执行摘要</w:t>
      </w:r>
    </w:p>
    <w:p w14:paraId="7A5FCBAC">
      <w:pPr>
        <w:spacing w:after="160"/>
      </w:pPr>
      <w:r>
        <w:rPr>
          <w:sz w:val="26"/>
        </w:rPr>
        <w:t>二、创业团队</w:t>
      </w:r>
    </w:p>
    <w:p w14:paraId="4A677660">
      <w:pPr>
        <w:spacing w:after="160"/>
      </w:pPr>
      <w:r>
        <w:rPr>
          <w:sz w:val="26"/>
        </w:rPr>
        <w:t>三、产品与服务描述</w:t>
      </w:r>
    </w:p>
    <w:p w14:paraId="6AB50946">
      <w:pPr>
        <w:spacing w:after="160"/>
      </w:pPr>
      <w:r>
        <w:rPr>
          <w:sz w:val="26"/>
        </w:rPr>
        <w:t>四、行业与市场分析</w:t>
      </w:r>
    </w:p>
    <w:p w14:paraId="307843CF">
      <w:pPr>
        <w:spacing w:after="160"/>
      </w:pPr>
      <w:r>
        <w:rPr>
          <w:sz w:val="26"/>
        </w:rPr>
        <w:t>五、营销计划</w:t>
      </w:r>
    </w:p>
    <w:p w14:paraId="5D077445">
      <w:pPr>
        <w:spacing w:after="160"/>
      </w:pPr>
      <w:r>
        <w:rPr>
          <w:sz w:val="26"/>
        </w:rPr>
        <w:t>六、运营管理</w:t>
      </w:r>
    </w:p>
    <w:p w14:paraId="72F03671">
      <w:pPr>
        <w:spacing w:after="160"/>
      </w:pPr>
      <w:r>
        <w:rPr>
          <w:sz w:val="26"/>
        </w:rPr>
        <w:t>七、财务计划</w:t>
      </w:r>
    </w:p>
    <w:p w14:paraId="1C420A21">
      <w:pPr>
        <w:spacing w:after="160"/>
      </w:pPr>
      <w:r>
        <w:rPr>
          <w:sz w:val="26"/>
        </w:rPr>
        <w:t>八、风险控制</w:t>
      </w:r>
    </w:p>
    <w:p w14:paraId="4FD2BA7B">
      <w:r>
        <w:br w:type="page"/>
      </w:r>
    </w:p>
    <w:p w14:paraId="4260A2C5">
      <w:pPr>
        <w:pStyle w:val="3"/>
      </w:pPr>
      <w:r>
        <w:rPr>
          <w:color w:val="1A56DB"/>
        </w:rPr>
        <w:t>一、执行摘要</w:t>
      </w:r>
    </w:p>
    <w:p w14:paraId="2531D8FB">
      <w:pPr>
        <w:pStyle w:val="4"/>
      </w:pPr>
      <w:r>
        <w:rPr>
          <w:color w:val="1A56DB"/>
        </w:rPr>
        <w:t>1.1 项目背景</w:t>
      </w:r>
    </w:p>
    <w:p w14:paraId="27C22D5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蜱虫是全球第二大虫媒传染病传播媒介，仅次于蚊虫。据美国CDC估计，美国每年莱姆病实际感染人数约47.6万；2023年报告病例达89,486例，为近十年最高。（来源：cdc.gov/lyme/data-research/facts-stats）。中国疾控中心数据显示，2005-2024年20年间我国蜱媒传染病累计报告38,241例、死亡1,656例，病死率4.33%，为四类媒介传染病中最高。其中发热伴血小板减少综合征（SFTS）占89%，病死率高达4.79%，疫区以每年新增约7个城市的速度持续扩散。（来源：China CDC Weekly, 2025）。过去十年我国新鉴定28种新兴蜱媒病原体，其中11种为全球首次发现的人类感染病例（Lancet, 2025）。蜱媒传染病呈显著上升趋势，防控形势严峻。</w:t>
      </w:r>
    </w:p>
    <w:p w14:paraId="2214033B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然而，传统蜱虫识别依赖昆虫学专家人工镜检，单只鉴定平均耗时15分钟以上，且基层疾控人员和农牧从业者普遍缺乏专业鉴别能力，误判率高达40%以上。市场上缺乏一款能够快速、准确、自动化识别蜱虫并进行状态分析的产品。</w:t>
      </w:r>
    </w:p>
    <w:p w14:paraId="3A17AA71">
      <w:pPr>
        <w:pStyle w:val="4"/>
      </w:pPr>
      <w:r>
        <w:rPr>
          <w:color w:val="1A56DB"/>
        </w:rPr>
        <w:t>1.2 项目概述</w:t>
      </w:r>
    </w:p>
    <w:p w14:paraId="57B5097D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智蜱卫士是一款基于Mask R-CNN深度学习框架的蜱虫细粒度识别系统。项目创新性地设计了"实例分割+部位解析+状态分类"三层级检测头架构，突破现有技术仅能定位虫体轮廓的局限，实现对蜱虫节肢结构、体态特征及腹部干瘪/饱满状态的精确识别。经实测，系统在测试集上达到mAP@0.50=0.842的检测精度，处于行业领先水平。</w:t>
      </w:r>
    </w:p>
    <w:p w14:paraId="66001331">
      <w:pPr>
        <w:pStyle w:val="4"/>
      </w:pPr>
      <w:r>
        <w:rPr>
          <w:color w:val="1A56DB"/>
        </w:rPr>
        <w:t>1.3 市场机会</w:t>
      </w:r>
    </w:p>
    <w:p w14:paraId="074C56B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目标市场覆盖公共卫生监测、农牧业养殖管理和宠物医疗三大领域，总市场规模超过200亿元。当前市场上尚无专门针对蜱虫细粒度识别的AI产品，属于蓝海市场。项目契合国家"健康中国2030"战略和"智慧农业"发展政策，具备巨大的市场潜力和社会价值。</w:t>
      </w:r>
    </w:p>
    <w:p w14:paraId="2304E97D">
      <w:pPr>
        <w:pStyle w:val="4"/>
      </w:pPr>
      <w:r>
        <w:rPr>
          <w:color w:val="1A56DB"/>
        </w:rPr>
        <w:t>1.4 竞争优势</w:t>
      </w:r>
    </w:p>
    <w:p w14:paraId="6DFF7504">
      <w:pPr>
        <w:spacing w:before="80" w:after="80"/>
        <w:ind w:left="567"/>
      </w:pPr>
      <w:r>
        <w:rPr>
          <w:b/>
          <w:color w:val="1A56DB"/>
          <w:sz w:val="22"/>
        </w:rPr>
        <w:t>▶ 技术领先：独创三层级检测头架构，实现细粒度属性识别，精度达mAP@50=0.842</w:t>
      </w:r>
    </w:p>
    <w:p w14:paraId="3A3101A7">
      <w:pPr>
        <w:spacing w:before="80" w:after="80"/>
        <w:ind w:left="567"/>
      </w:pPr>
      <w:r>
        <w:rPr>
          <w:b/>
          <w:color w:val="1A56DB"/>
          <w:sz w:val="22"/>
        </w:rPr>
        <w:t>▶ 数据壁垒：融合蜱虫专类数据与通用昆虫数据，模型抗干扰能力强</w:t>
      </w:r>
    </w:p>
    <w:p w14:paraId="5BEC2616">
      <w:pPr>
        <w:spacing w:before="80" w:after="80"/>
        <w:ind w:left="567"/>
      </w:pPr>
      <w:r>
        <w:rPr>
          <w:b/>
          <w:color w:val="1A56DB"/>
          <w:sz w:val="22"/>
        </w:rPr>
        <w:t>▶ 先发优势：国内尚无同类蜱虫AI识别产品，抢占空白市场</w:t>
      </w:r>
    </w:p>
    <w:p w14:paraId="5BF66E57">
      <w:pPr>
        <w:spacing w:before="80" w:after="80"/>
        <w:ind w:left="567"/>
      </w:pPr>
      <w:r>
        <w:rPr>
          <w:b/>
          <w:color w:val="1A56DB"/>
          <w:sz w:val="22"/>
        </w:rPr>
        <w:t>▶ 轻量化部署：支持移动端、边缘设备和无人机巡检系统</w:t>
      </w:r>
    </w:p>
    <w:p w14:paraId="6425D074">
      <w:pPr>
        <w:pStyle w:val="4"/>
      </w:pPr>
      <w:r>
        <w:rPr>
          <w:color w:val="1A56DB"/>
        </w:rPr>
        <w:t>1.5 财务亮点</w:t>
      </w:r>
    </w:p>
    <w:p w14:paraId="3825FFFD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项目预计第一年完成产品研发和种子用户积累，第二年实现盈亏平衡，第三年营收突破500万元。毛利率预计维持在65%-75%。当前寻求50万元天使轮融资，用于技术开发和市场验证。</w:t>
      </w:r>
    </w:p>
    <w:p w14:paraId="45CF9F9A">
      <w:r>
        <w:br w:type="page"/>
      </w:r>
    </w:p>
    <w:p w14:paraId="49F9BC89">
      <w:pPr>
        <w:pStyle w:val="3"/>
      </w:pPr>
      <w:r>
        <w:rPr>
          <w:color w:val="1A56DB"/>
        </w:rPr>
        <w:t>二、创业团队</w:t>
      </w:r>
    </w:p>
    <w:p w14:paraId="289273DD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团队目前由一名创始人构成，采用"一人公司+AI辅助+外部协作"的精益模式，契合青年创新专项赛对青年创业者的定位。未来将根据业务发展逐步引入商业化运营和市场拓展人才。</w:t>
      </w:r>
    </w:p>
    <w:p w14:paraId="6FF82D8C">
      <w:pPr>
        <w:pStyle w:val="4"/>
      </w:pPr>
      <w:r>
        <w:rPr>
          <w:color w:val="1A56DB"/>
        </w:rPr>
        <w:t>2.1 创始人简介</w:t>
      </w:r>
    </w:p>
    <w:p w14:paraId="6FFEB29D">
      <w:r>
        <w:rPr>
          <w:b/>
          <w:sz w:val="24"/>
        </w:rPr>
        <w:t>【创始人】郑良鑫 | 项目负责人</w:t>
      </w:r>
    </w:p>
    <w:p w14:paraId="4D5B69C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软件工程专业在读本科生（35周岁以下），深耕计算机视觉领域，具有丰富的深度学习项目实战经验。已独立完成目标检测、图像分割及多任务学习等CV方向的完整项目开发。</w:t>
      </w:r>
    </w:p>
    <w:p w14:paraId="719B4409">
      <w:pPr>
        <w:pStyle w:val="4"/>
      </w:pPr>
      <w:r>
        <w:rPr>
          <w:color w:val="1A56DB"/>
        </w:rPr>
        <w:t>2.2 核心能力</w:t>
      </w:r>
    </w:p>
    <w:p w14:paraId="003F1F2A">
      <w:pPr>
        <w:spacing w:before="80" w:after="80"/>
        <w:ind w:left="567"/>
      </w:pPr>
      <w:r>
        <w:rPr>
          <w:b/>
          <w:color w:val="1A56DB"/>
          <w:sz w:val="22"/>
        </w:rPr>
        <w:t>▶ 计算机视觉：精通Mask R-CNN、YOLO等主流目标检测框架，掌握实例分割、语义分割技术</w:t>
      </w:r>
    </w:p>
    <w:p w14:paraId="439F6556">
      <w:pPr>
        <w:spacing w:before="80" w:after="80"/>
        <w:ind w:left="567"/>
      </w:pPr>
      <w:r>
        <w:rPr>
          <w:b/>
          <w:color w:val="1A56DB"/>
          <w:sz w:val="22"/>
        </w:rPr>
        <w:t>▶ 深度学习：熟练使用PyTorch、TensorFlow，具备迁移学习和模型优化的实际经验</w:t>
      </w:r>
    </w:p>
    <w:p w14:paraId="42F7F1F0">
      <w:pPr>
        <w:spacing w:before="80" w:after="80"/>
        <w:ind w:left="567"/>
      </w:pPr>
      <w:r>
        <w:rPr>
          <w:b/>
          <w:color w:val="1A56DB"/>
          <w:sz w:val="22"/>
        </w:rPr>
        <w:t>▶ 全栈开发：掌握Python、数据标注工具链、模型部署（ONNX/TensorRT）等技术</w:t>
      </w:r>
    </w:p>
    <w:p w14:paraId="2D234764">
      <w:pPr>
        <w:spacing w:before="80" w:after="80"/>
        <w:ind w:left="567"/>
      </w:pPr>
      <w:r>
        <w:rPr>
          <w:b/>
          <w:color w:val="1A56DB"/>
          <w:sz w:val="22"/>
        </w:rPr>
        <w:t>▶ 项目驱动：独立完成从数据采集、标注、模型训练到推理部署的完整pipeline</w:t>
      </w:r>
    </w:p>
    <w:p w14:paraId="134CAAD6">
      <w:pPr>
        <w:pStyle w:val="4"/>
      </w:pPr>
      <w:r>
        <w:rPr>
          <w:color w:val="1A56DB"/>
        </w:rPr>
        <w:t>2.3 团队优势</w:t>
      </w:r>
    </w:p>
    <w:p w14:paraId="6AE2836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1）专业知识高度契合：创始人专业背景与项目核心技术直接对应，无需额外技术学习成本。（2）独立交付能力：已独立完成阶段一全部开发工作，验证了一人团队的可行性。（3）敏捷迭代：扁平化管理，决策效率高，可快速响应市场反馈进行产品迭代。</w:t>
      </w:r>
    </w:p>
    <w:p w14:paraId="19C5D91C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导师支撑：项目获得计算机视觉方向</w:t>
      </w:r>
      <w:r>
        <w:rPr>
          <w:rFonts w:hint="eastAsia"/>
          <w:sz w:val="22"/>
          <w:lang w:val="en-US" w:eastAsia="zh-CN"/>
        </w:rPr>
        <w:t>人工智能</w:t>
      </w:r>
      <w:r>
        <w:rPr>
          <w:rFonts w:ascii="宋体" w:hAnsi="宋体" w:eastAsia="宋体"/>
          <w:sz w:val="22"/>
        </w:rPr>
        <w:t>专业教师的技术指导，以及创业学院提供的创业辅导资源。</w:t>
      </w:r>
    </w:p>
    <w:p w14:paraId="0A62562C">
      <w:r>
        <w:br w:type="page"/>
      </w:r>
    </w:p>
    <w:p w14:paraId="6E69DA23">
      <w:pPr>
        <w:pStyle w:val="3"/>
      </w:pPr>
      <w:r>
        <w:rPr>
          <w:color w:val="1A56DB"/>
        </w:rPr>
        <w:t>三、产品与服务描述</w:t>
      </w:r>
    </w:p>
    <w:p w14:paraId="22B9B9D4">
      <w:pPr>
        <w:pStyle w:val="4"/>
      </w:pPr>
      <w:r>
        <w:rPr>
          <w:color w:val="1A56DB"/>
        </w:rPr>
        <w:t>3.1 用户痛点</w:t>
      </w:r>
    </w:p>
    <w:p w14:paraId="172E8A2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痛点一：识别效率低。传统人工镜检鉴定蜱虫平均耗时15分钟/只，野外调查时每日需处理数百只样本，效率极低。</w:t>
      </w:r>
    </w:p>
    <w:p w14:paraId="00F90C2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痛点二：专业门槛高。蜱虫物种鉴定和状态判断需要昆虫学专业知识，基层疾控人员、农牧养殖户和宠物主人普遍不具备鉴别能力，误判率超40%。</w:t>
      </w:r>
    </w:p>
    <w:p w14:paraId="4F599F04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痛点三：缺乏实时监测手段。现有蜱虫监测依赖人工采集后送实验室检验，无法实现野外实时预警，错过了最佳防控窗口期。</w:t>
      </w:r>
    </w:p>
    <w:p w14:paraId="4E00DF3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痛点四：与其他昆虫混淆。野外环境中螨虫、蜘蛛等与蜱虫形态相似，非专业人员难以区分，造成大量误报。</w:t>
      </w:r>
    </w:p>
    <w:p w14:paraId="132AAADA">
      <w:pPr>
        <w:pStyle w:val="4"/>
      </w:pPr>
      <w:r>
        <w:rPr>
          <w:color w:val="1A56DB"/>
        </w:rPr>
        <w:t>3.2 解决方案：三层级检测头架构</w:t>
      </w:r>
    </w:p>
    <w:p w14:paraId="4A577E1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智蜱卫士基于改进的Mask R-CNN深度学习框架，自主设计了三层级检测头架构，突破传统目标检测仅输出边界框的局限：</w:t>
      </w:r>
    </w:p>
    <w:p w14:paraId="6B0F5CB8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第一层——实例分割头：基于ResNet-50-FPN骨干网络提取多尺度特征，通过区域建议网络（RPN）生成候选区域，输出蜱虫的像素级分割掩码，实现复杂背景下（草地、树枝、动物毛发等）的精确虫体定位。</w:t>
      </w:r>
    </w:p>
    <w:p w14:paraId="15AC0FC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第二层——部位解析头：在实例分割基础上，进一步识别头胸、腹部、口器等关键部位，为后续状态判断提供结构级特征信息。这一层级能够区分蜱虫的形态完整性，排除虫体残缺导致的误判。</w:t>
      </w:r>
    </w:p>
    <w:p w14:paraId="1512F346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第三层——状态分类头：结合全局特征和部位级特征，判断蜱虫的腹部状态（unfed扁平/fed饱满），以及体态特征（flat扁平/swollen肿胀/engorged鼓胀），评估吸血程度和发育阶段。该系统已基于TickIDNet数据集的fed/unfed标注进行了初步训练。</w:t>
      </w:r>
    </w:p>
    <w:p w14:paraId="0686E78F">
      <w:pPr>
        <w:pStyle w:val="4"/>
      </w:pPr>
      <w:r>
        <w:rPr>
          <w:color w:val="1A56DB"/>
        </w:rPr>
        <w:t>3.3 技术指标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40E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38EE22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2880" w:type="dxa"/>
          </w:tcPr>
          <w:p w14:paraId="53AD6C8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w="2880" w:type="dxa"/>
          </w:tcPr>
          <w:p w14:paraId="6F4B9F2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1F7D2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E35060">
            <w:pPr>
              <w:spacing w:after="0" w:line="240" w:lineRule="auto"/>
              <w:jc w:val="center"/>
            </w:pPr>
            <w:r>
              <w:rPr>
                <w:sz w:val="20"/>
              </w:rPr>
              <w:t>mAP@0.50</w:t>
            </w:r>
          </w:p>
        </w:tc>
        <w:tc>
          <w:tcPr>
            <w:tcW w:w="2880" w:type="dxa"/>
          </w:tcPr>
          <w:p w14:paraId="5FB10347">
            <w:pPr>
              <w:spacing w:after="0" w:line="240" w:lineRule="auto"/>
              <w:jc w:val="center"/>
            </w:pPr>
            <w:r>
              <w:rPr>
                <w:sz w:val="20"/>
              </w:rPr>
              <w:t>0.842</w:t>
            </w:r>
          </w:p>
        </w:tc>
        <w:tc>
          <w:tcPr>
            <w:tcW w:w="2880" w:type="dxa"/>
          </w:tcPr>
          <w:p w14:paraId="7C85E45B">
            <w:pPr>
              <w:spacing w:after="0" w:line="240" w:lineRule="auto"/>
              <w:jc w:val="center"/>
            </w:pPr>
            <w:r>
              <w:rPr>
                <w:sz w:val="20"/>
              </w:rPr>
              <w:t>蜱虫检测精度（COCO标准）</w:t>
            </w:r>
          </w:p>
        </w:tc>
      </w:tr>
      <w:tr w14:paraId="3066C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7E00FA">
            <w:pPr>
              <w:spacing w:after="0" w:line="240" w:lineRule="auto"/>
              <w:jc w:val="center"/>
            </w:pPr>
            <w:r>
              <w:rPr>
                <w:sz w:val="20"/>
              </w:rPr>
              <w:t>单张推理时间</w:t>
            </w:r>
          </w:p>
        </w:tc>
        <w:tc>
          <w:tcPr>
            <w:tcW w:w="2880" w:type="dxa"/>
          </w:tcPr>
          <w:p w14:paraId="35284F21">
            <w:pPr>
              <w:spacing w:after="0" w:line="240" w:lineRule="auto"/>
              <w:jc w:val="center"/>
            </w:pPr>
            <w:r>
              <w:rPr>
                <w:sz w:val="20"/>
              </w:rPr>
              <w:t>&lt;200ms</w:t>
            </w:r>
          </w:p>
        </w:tc>
        <w:tc>
          <w:tcPr>
            <w:tcW w:w="2880" w:type="dxa"/>
          </w:tcPr>
          <w:p w14:paraId="4233A33E">
            <w:pPr>
              <w:spacing w:after="0" w:line="240" w:lineRule="auto"/>
              <w:jc w:val="center"/>
            </w:pPr>
            <w:r>
              <w:rPr>
                <w:sz w:val="20"/>
              </w:rPr>
              <w:t>GPU推理（NVIDIA RTX系列）</w:t>
            </w:r>
          </w:p>
        </w:tc>
      </w:tr>
      <w:tr w14:paraId="4F1C76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12F15A">
            <w:pPr>
              <w:spacing w:after="0" w:line="240" w:lineRule="auto"/>
              <w:jc w:val="center"/>
            </w:pPr>
            <w:r>
              <w:rPr>
                <w:sz w:val="20"/>
              </w:rPr>
              <w:t>支持类别</w:t>
            </w:r>
          </w:p>
        </w:tc>
        <w:tc>
          <w:tcPr>
            <w:tcW w:w="2880" w:type="dxa"/>
          </w:tcPr>
          <w:p w14:paraId="5D68BAB3">
            <w:pPr>
              <w:spacing w:after="0" w:line="240" w:lineRule="auto"/>
              <w:jc w:val="center"/>
            </w:pPr>
            <w:r>
              <w:rPr>
                <w:sz w:val="20"/>
              </w:rPr>
              <w:t>2-28类</w:t>
            </w:r>
          </w:p>
        </w:tc>
        <w:tc>
          <w:tcPr>
            <w:tcW w:w="2880" w:type="dxa"/>
          </w:tcPr>
          <w:p w14:paraId="4EF39BA1">
            <w:pPr>
              <w:spacing w:after="0" w:line="240" w:lineRule="auto"/>
              <w:jc w:val="center"/>
            </w:pPr>
            <w:r>
              <w:rPr>
                <w:sz w:val="20"/>
              </w:rPr>
              <w:t>单类/多类昆虫可配置</w:t>
            </w:r>
          </w:p>
        </w:tc>
      </w:tr>
      <w:tr w14:paraId="47B0D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A4715E">
            <w:pPr>
              <w:spacing w:after="0" w:line="240" w:lineRule="auto"/>
              <w:jc w:val="center"/>
            </w:pPr>
            <w:r>
              <w:rPr>
                <w:sz w:val="20"/>
              </w:rPr>
              <w:t>输入分辨率</w:t>
            </w:r>
          </w:p>
        </w:tc>
        <w:tc>
          <w:tcPr>
            <w:tcW w:w="2880" w:type="dxa"/>
          </w:tcPr>
          <w:p w14:paraId="399A489D">
            <w:pPr>
              <w:spacing w:after="0" w:line="240" w:lineRule="auto"/>
              <w:jc w:val="center"/>
            </w:pPr>
            <w:r>
              <w:rPr>
                <w:sz w:val="20"/>
              </w:rPr>
              <w:t>≥224×224</w:t>
            </w:r>
          </w:p>
        </w:tc>
        <w:tc>
          <w:tcPr>
            <w:tcW w:w="2880" w:type="dxa"/>
          </w:tcPr>
          <w:p w14:paraId="36A2A90A">
            <w:pPr>
              <w:spacing w:after="0" w:line="240" w:lineRule="auto"/>
              <w:jc w:val="center"/>
            </w:pPr>
            <w:r>
              <w:rPr>
                <w:sz w:val="20"/>
              </w:rPr>
              <w:t>适配移动端和野外设备</w:t>
            </w:r>
          </w:p>
        </w:tc>
      </w:tr>
      <w:tr w14:paraId="11F94D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974A9A">
            <w:pPr>
              <w:spacing w:after="0" w:line="240" w:lineRule="auto"/>
              <w:jc w:val="center"/>
            </w:pPr>
            <w:r>
              <w:rPr>
                <w:sz w:val="20"/>
              </w:rPr>
              <w:t>模型大小</w:t>
            </w:r>
          </w:p>
        </w:tc>
        <w:tc>
          <w:tcPr>
            <w:tcW w:w="2880" w:type="dxa"/>
          </w:tcPr>
          <w:p w14:paraId="51861B95">
            <w:pPr>
              <w:spacing w:after="0" w:line="240" w:lineRule="auto"/>
              <w:jc w:val="center"/>
            </w:pPr>
            <w:r>
              <w:rPr>
                <w:sz w:val="20"/>
              </w:rPr>
              <w:t>~170MB</w:t>
            </w:r>
          </w:p>
        </w:tc>
        <w:tc>
          <w:tcPr>
            <w:tcW w:w="2880" w:type="dxa"/>
          </w:tcPr>
          <w:p w14:paraId="040A5DD0">
            <w:pPr>
              <w:spacing w:after="0" w:line="240" w:lineRule="auto"/>
              <w:jc w:val="center"/>
            </w:pPr>
            <w:r>
              <w:rPr>
                <w:sz w:val="20"/>
              </w:rPr>
              <w:t>可压缩至50MB以下部署</w:t>
            </w:r>
          </w:p>
        </w:tc>
      </w:tr>
    </w:tbl>
    <w:p w14:paraId="2BD5E90D"/>
    <w:p w14:paraId="28E57D4C">
      <w:pPr>
        <w:pStyle w:val="4"/>
      </w:pPr>
      <w:r>
        <w:rPr>
          <w:color w:val="1A56DB"/>
        </w:rPr>
        <w:t>3.4 产品形态</w:t>
      </w:r>
    </w:p>
    <w:p w14:paraId="0720D0E5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API云服务：提供RESTful API接口，支持图片上传后返回检测结果，适用于健康监测平台和农牧管理系统的集成。</w:t>
      </w:r>
    </w:p>
    <w:p w14:paraId="332636E8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移动端APP：开发Android/iOS应用，支持拍照即识别，面向户外爱好者、宠物主人和基层疾控人员。</w:t>
      </w:r>
    </w:p>
    <w:p w14:paraId="39627F4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边缘部署包：提供ONNX/TensorRT格式模型，支持部署到野外监测站、无人机巡检系统等边缘设备。</w:t>
      </w:r>
    </w:p>
    <w:p w14:paraId="0AF83207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Web管理后台：提供历史检测记录查询、数据统计分析和疫情趋势预警功能。</w:t>
      </w:r>
    </w:p>
    <w:p w14:paraId="043069AD">
      <w:pPr>
        <w:pStyle w:val="4"/>
      </w:pPr>
      <w:r>
        <w:rPr>
          <w:color w:val="1A56DB"/>
        </w:rPr>
        <w:t xml:space="preserve">3.5 </w:t>
      </w:r>
      <w:bookmarkStart w:id="0" w:name="_GoBack"/>
      <w:r>
        <w:rPr>
          <w:color w:val="1A56DB"/>
        </w:rPr>
        <w:t>产品迭代规划</w:t>
      </w:r>
      <w:bookmarkEnd w:id="0"/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38BD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C88B8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2160" w:type="dxa"/>
          </w:tcPr>
          <w:p w14:paraId="0BA4F9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核心功能</w:t>
            </w:r>
          </w:p>
        </w:tc>
        <w:tc>
          <w:tcPr>
            <w:tcW w:w="2160" w:type="dxa"/>
          </w:tcPr>
          <w:p w14:paraId="371F52F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目标用户</w:t>
            </w:r>
          </w:p>
        </w:tc>
        <w:tc>
          <w:tcPr>
            <w:tcW w:w="2160" w:type="dxa"/>
          </w:tcPr>
          <w:p w14:paraId="125D607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预计时间</w:t>
            </w:r>
          </w:p>
        </w:tc>
      </w:tr>
      <w:tr w14:paraId="354FDE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43FD46">
            <w:pPr>
              <w:spacing w:after="0" w:line="240" w:lineRule="auto"/>
              <w:jc w:val="center"/>
            </w:pPr>
            <w:r>
              <w:rPr>
                <w:sz w:val="20"/>
              </w:rPr>
              <w:t>V1.0 检测版</w:t>
            </w:r>
          </w:p>
        </w:tc>
        <w:tc>
          <w:tcPr>
            <w:tcW w:w="2160" w:type="dxa"/>
          </w:tcPr>
          <w:p w14:paraId="2EA4B92A">
            <w:pPr>
              <w:spacing w:after="0" w:line="240" w:lineRule="auto"/>
              <w:jc w:val="center"/>
            </w:pPr>
            <w:r>
              <w:rPr>
                <w:sz w:val="20"/>
              </w:rPr>
              <w:t>蜱虫目标检测+分割</w:t>
            </w:r>
          </w:p>
        </w:tc>
        <w:tc>
          <w:tcPr>
            <w:tcW w:w="2160" w:type="dxa"/>
          </w:tcPr>
          <w:p w14:paraId="57C0369F">
            <w:pPr>
              <w:spacing w:after="0" w:line="240" w:lineRule="auto"/>
              <w:jc w:val="center"/>
            </w:pPr>
            <w:r>
              <w:rPr>
                <w:sz w:val="20"/>
              </w:rPr>
              <w:t>疾控原型验证</w:t>
            </w:r>
          </w:p>
        </w:tc>
        <w:tc>
          <w:tcPr>
            <w:tcW w:w="2160" w:type="dxa"/>
          </w:tcPr>
          <w:p w14:paraId="579B50E7">
            <w:pPr>
              <w:spacing w:after="0" w:line="240" w:lineRule="auto"/>
              <w:jc w:val="center"/>
            </w:pPr>
            <w:r>
              <w:rPr>
                <w:sz w:val="20"/>
              </w:rPr>
              <w:t>已实现</w:t>
            </w:r>
          </w:p>
        </w:tc>
      </w:tr>
      <w:tr w14:paraId="216FE8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F7C2D2">
            <w:pPr>
              <w:spacing w:after="0" w:line="240" w:lineRule="auto"/>
              <w:jc w:val="center"/>
            </w:pPr>
            <w:r>
              <w:rPr>
                <w:sz w:val="20"/>
              </w:rPr>
              <w:t>V2.0 多类版</w:t>
            </w:r>
          </w:p>
        </w:tc>
        <w:tc>
          <w:tcPr>
            <w:tcW w:w="2160" w:type="dxa"/>
          </w:tcPr>
          <w:p w14:paraId="3467C7A8">
            <w:pPr>
              <w:spacing w:after="0" w:line="240" w:lineRule="auto"/>
              <w:jc w:val="center"/>
            </w:pPr>
            <w:r>
              <w:rPr>
                <w:sz w:val="20"/>
              </w:rPr>
              <w:t>多类昆虫检测（降低误检）</w:t>
            </w:r>
          </w:p>
        </w:tc>
        <w:tc>
          <w:tcPr>
            <w:tcW w:w="2160" w:type="dxa"/>
          </w:tcPr>
          <w:p w14:paraId="59E8E13E">
            <w:pPr>
              <w:spacing w:after="0" w:line="240" w:lineRule="auto"/>
              <w:jc w:val="center"/>
            </w:pPr>
            <w:r>
              <w:rPr>
                <w:sz w:val="20"/>
              </w:rPr>
              <w:t>野外监测</w:t>
            </w:r>
          </w:p>
        </w:tc>
        <w:tc>
          <w:tcPr>
            <w:tcW w:w="2160" w:type="dxa"/>
          </w:tcPr>
          <w:p w14:paraId="32790AB8">
            <w:pPr>
              <w:spacing w:after="0" w:line="240" w:lineRule="auto"/>
              <w:jc w:val="center"/>
            </w:pPr>
            <w:r>
              <w:rPr>
                <w:sz w:val="20"/>
              </w:rPr>
              <w:t>6个月</w:t>
            </w:r>
          </w:p>
        </w:tc>
      </w:tr>
      <w:tr w14:paraId="60AD04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119C24">
            <w:pPr>
              <w:spacing w:after="0" w:line="240" w:lineRule="auto"/>
              <w:jc w:val="center"/>
            </w:pPr>
            <w:r>
              <w:rPr>
                <w:sz w:val="20"/>
              </w:rPr>
              <w:t>V3.0 细粒度版</w:t>
            </w:r>
          </w:p>
        </w:tc>
        <w:tc>
          <w:tcPr>
            <w:tcW w:w="2160" w:type="dxa"/>
          </w:tcPr>
          <w:p w14:paraId="2529D164">
            <w:pPr>
              <w:spacing w:after="0" w:line="240" w:lineRule="auto"/>
              <w:jc w:val="center"/>
            </w:pPr>
            <w:r>
              <w:rPr>
                <w:sz w:val="20"/>
              </w:rPr>
              <w:t>腹部状态+体态分类</w:t>
            </w:r>
          </w:p>
        </w:tc>
        <w:tc>
          <w:tcPr>
            <w:tcW w:w="2160" w:type="dxa"/>
          </w:tcPr>
          <w:p w14:paraId="62D42FBA">
            <w:pPr>
              <w:spacing w:after="0" w:line="240" w:lineRule="auto"/>
              <w:jc w:val="center"/>
            </w:pPr>
            <w:r>
              <w:rPr>
                <w:sz w:val="20"/>
              </w:rPr>
              <w:t>宠物医疗/疾控</w:t>
            </w:r>
          </w:p>
        </w:tc>
        <w:tc>
          <w:tcPr>
            <w:tcW w:w="2160" w:type="dxa"/>
          </w:tcPr>
          <w:p w14:paraId="5637E522">
            <w:pPr>
              <w:spacing w:after="0" w:line="240" w:lineRule="auto"/>
              <w:jc w:val="center"/>
            </w:pPr>
            <w:r>
              <w:rPr>
                <w:sz w:val="20"/>
              </w:rPr>
              <w:t>12个月</w:t>
            </w:r>
          </w:p>
        </w:tc>
      </w:tr>
      <w:tr w14:paraId="2205D1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4C4C46">
            <w:pPr>
              <w:spacing w:after="0" w:line="240" w:lineRule="auto"/>
              <w:jc w:val="center"/>
            </w:pPr>
            <w:r>
              <w:rPr>
                <w:sz w:val="20"/>
              </w:rPr>
              <w:t>V4.0 生态平台</w:t>
            </w:r>
          </w:p>
        </w:tc>
        <w:tc>
          <w:tcPr>
            <w:tcW w:w="2160" w:type="dxa"/>
          </w:tcPr>
          <w:p w14:paraId="740F85C5">
            <w:pPr>
              <w:spacing w:after="0" w:line="240" w:lineRule="auto"/>
              <w:jc w:val="center"/>
            </w:pPr>
            <w:r>
              <w:rPr>
                <w:sz w:val="20"/>
              </w:rPr>
              <w:t>多端部署+疫情预警</w:t>
            </w:r>
          </w:p>
        </w:tc>
        <w:tc>
          <w:tcPr>
            <w:tcW w:w="2160" w:type="dxa"/>
          </w:tcPr>
          <w:p w14:paraId="5BB7B20C">
            <w:pPr>
              <w:spacing w:after="0" w:line="240" w:lineRule="auto"/>
              <w:jc w:val="center"/>
            </w:pPr>
            <w:r>
              <w:rPr>
                <w:sz w:val="20"/>
              </w:rPr>
              <w:t>全场景覆盖</w:t>
            </w:r>
          </w:p>
        </w:tc>
        <w:tc>
          <w:tcPr>
            <w:tcW w:w="2160" w:type="dxa"/>
          </w:tcPr>
          <w:p w14:paraId="672A5B48">
            <w:pPr>
              <w:spacing w:after="0" w:line="240" w:lineRule="auto"/>
              <w:jc w:val="center"/>
            </w:pPr>
            <w:r>
              <w:rPr>
                <w:sz w:val="20"/>
              </w:rPr>
              <w:t>18个月</w:t>
            </w:r>
          </w:p>
        </w:tc>
      </w:tr>
    </w:tbl>
    <w:p w14:paraId="233AE038"/>
    <w:p w14:paraId="477AA6C9">
      <w:pPr>
        <w:pStyle w:val="4"/>
      </w:pPr>
      <w:r>
        <w:rPr>
          <w:color w:val="1A56DB"/>
        </w:rPr>
        <w:t>3.6 盈利模式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573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3A88E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收入来源</w:t>
            </w:r>
          </w:p>
        </w:tc>
        <w:tc>
          <w:tcPr>
            <w:tcW w:w="2880" w:type="dxa"/>
          </w:tcPr>
          <w:p w14:paraId="53FBDA2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定价策略</w:t>
            </w:r>
          </w:p>
        </w:tc>
        <w:tc>
          <w:tcPr>
            <w:tcW w:w="2880" w:type="dxa"/>
          </w:tcPr>
          <w:p w14:paraId="2D5A5E2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目标占比</w:t>
            </w:r>
          </w:p>
        </w:tc>
      </w:tr>
      <w:tr w14:paraId="2893B5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1EB930">
            <w:pPr>
              <w:spacing w:after="0" w:line="240" w:lineRule="auto"/>
              <w:jc w:val="center"/>
            </w:pPr>
            <w:r>
              <w:rPr>
                <w:sz w:val="20"/>
              </w:rPr>
              <w:t>API调用服务</w:t>
            </w:r>
          </w:p>
        </w:tc>
        <w:tc>
          <w:tcPr>
            <w:tcW w:w="2880" w:type="dxa"/>
          </w:tcPr>
          <w:p w14:paraId="2F5A51E4">
            <w:pPr>
              <w:spacing w:after="0" w:line="240" w:lineRule="auto"/>
              <w:jc w:val="center"/>
            </w:pPr>
            <w:r>
              <w:rPr>
                <w:sz w:val="20"/>
              </w:rPr>
              <w:t>按调用量阶梯收费，0.01-0.05元/次</w:t>
            </w:r>
          </w:p>
        </w:tc>
        <w:tc>
          <w:tcPr>
            <w:tcW w:w="2880" w:type="dxa"/>
          </w:tcPr>
          <w:p w14:paraId="704D9114">
            <w:pPr>
              <w:spacing w:after="0" w:line="240" w:lineRule="auto"/>
              <w:jc w:val="center"/>
            </w:pPr>
            <w:r>
              <w:rPr>
                <w:sz w:val="20"/>
              </w:rPr>
              <w:t>40%</w:t>
            </w:r>
          </w:p>
        </w:tc>
      </w:tr>
      <w:tr w14:paraId="263471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6B0153">
            <w:pPr>
              <w:spacing w:after="0" w:line="240" w:lineRule="auto"/>
              <w:jc w:val="center"/>
            </w:pPr>
            <w:r>
              <w:rPr>
                <w:sz w:val="20"/>
              </w:rPr>
              <w:t>SaaS订阅</w:t>
            </w:r>
          </w:p>
        </w:tc>
        <w:tc>
          <w:tcPr>
            <w:tcW w:w="2880" w:type="dxa"/>
          </w:tcPr>
          <w:p w14:paraId="2512A142">
            <w:pPr>
              <w:spacing w:after="0" w:line="240" w:lineRule="auto"/>
              <w:jc w:val="center"/>
            </w:pPr>
            <w:r>
              <w:rPr>
                <w:sz w:val="20"/>
              </w:rPr>
              <w:t>99-299元/月（含智能分析报告）</w:t>
            </w:r>
          </w:p>
        </w:tc>
        <w:tc>
          <w:tcPr>
            <w:tcW w:w="2880" w:type="dxa"/>
          </w:tcPr>
          <w:p w14:paraId="4D751488">
            <w:pPr>
              <w:spacing w:after="0" w:line="240" w:lineRule="auto"/>
              <w:jc w:val="center"/>
            </w:pPr>
            <w:r>
              <w:rPr>
                <w:sz w:val="20"/>
              </w:rPr>
              <w:t>30%</w:t>
            </w:r>
          </w:p>
        </w:tc>
      </w:tr>
      <w:tr w14:paraId="40AE4B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7E8AD0">
            <w:pPr>
              <w:spacing w:after="0" w:line="240" w:lineRule="auto"/>
              <w:jc w:val="center"/>
            </w:pPr>
            <w:r>
              <w:rPr>
                <w:sz w:val="20"/>
              </w:rPr>
              <w:t>APP增值服务</w:t>
            </w:r>
          </w:p>
        </w:tc>
        <w:tc>
          <w:tcPr>
            <w:tcW w:w="2880" w:type="dxa"/>
          </w:tcPr>
          <w:p w14:paraId="494897F6">
            <w:pPr>
              <w:spacing w:after="0" w:line="240" w:lineRule="auto"/>
              <w:jc w:val="center"/>
            </w:pPr>
            <w:r>
              <w:rPr>
                <w:sz w:val="20"/>
              </w:rPr>
              <w:t>免费基础版+高级订阅29.9元/月</w:t>
            </w:r>
          </w:p>
        </w:tc>
        <w:tc>
          <w:tcPr>
            <w:tcW w:w="2880" w:type="dxa"/>
          </w:tcPr>
          <w:p w14:paraId="5E324C44">
            <w:pPr>
              <w:spacing w:after="0" w:line="240" w:lineRule="auto"/>
              <w:jc w:val="center"/>
            </w:pPr>
            <w:r>
              <w:rPr>
                <w:sz w:val="20"/>
              </w:rPr>
              <w:t>15%</w:t>
            </w:r>
          </w:p>
        </w:tc>
      </w:tr>
      <w:tr w14:paraId="75AFA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A65D36">
            <w:pPr>
              <w:spacing w:after="0" w:line="240" w:lineRule="auto"/>
              <w:jc w:val="center"/>
            </w:pPr>
            <w:r>
              <w:rPr>
                <w:sz w:val="20"/>
              </w:rPr>
              <w:t>定制化部署</w:t>
            </w:r>
          </w:p>
        </w:tc>
        <w:tc>
          <w:tcPr>
            <w:tcW w:w="2880" w:type="dxa"/>
          </w:tcPr>
          <w:p w14:paraId="6781F8E1">
            <w:pPr>
              <w:spacing w:after="0" w:line="240" w:lineRule="auto"/>
              <w:jc w:val="center"/>
            </w:pPr>
            <w:r>
              <w:rPr>
                <w:sz w:val="20"/>
              </w:rPr>
              <w:t>按项目收费，2-5万元/套</w:t>
            </w:r>
          </w:p>
        </w:tc>
        <w:tc>
          <w:tcPr>
            <w:tcW w:w="2880" w:type="dxa"/>
          </w:tcPr>
          <w:p w14:paraId="094C2C22">
            <w:pPr>
              <w:spacing w:after="0" w:line="240" w:lineRule="auto"/>
              <w:jc w:val="center"/>
            </w:pPr>
            <w:r>
              <w:rPr>
                <w:sz w:val="20"/>
              </w:rPr>
              <w:t>10%</w:t>
            </w:r>
          </w:p>
        </w:tc>
      </w:tr>
      <w:tr w14:paraId="5CAFA5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A4B3AC">
            <w:pPr>
              <w:spacing w:after="0" w:line="240" w:lineRule="auto"/>
              <w:jc w:val="center"/>
            </w:pPr>
            <w:r>
              <w:rPr>
                <w:sz w:val="20"/>
              </w:rPr>
              <w:t>数据服务</w:t>
            </w:r>
          </w:p>
        </w:tc>
        <w:tc>
          <w:tcPr>
            <w:tcW w:w="2880" w:type="dxa"/>
          </w:tcPr>
          <w:p w14:paraId="4116EB70">
            <w:pPr>
              <w:spacing w:after="0" w:line="240" w:lineRule="auto"/>
              <w:jc w:val="center"/>
            </w:pPr>
            <w:r>
              <w:rPr>
                <w:sz w:val="20"/>
              </w:rPr>
              <w:t>疫区风险评估报告</w:t>
            </w:r>
          </w:p>
        </w:tc>
        <w:tc>
          <w:tcPr>
            <w:tcW w:w="2880" w:type="dxa"/>
          </w:tcPr>
          <w:p w14:paraId="643F817C">
            <w:pPr>
              <w:spacing w:after="0" w:line="240" w:lineRule="auto"/>
              <w:jc w:val="center"/>
            </w:pPr>
            <w:r>
              <w:rPr>
                <w:sz w:val="20"/>
              </w:rPr>
              <w:t>5%</w:t>
            </w:r>
          </w:p>
        </w:tc>
      </w:tr>
    </w:tbl>
    <w:p w14:paraId="6F8A3AEF"/>
    <w:p w14:paraId="5F0E3B8C">
      <w:pPr>
        <w:pStyle w:val="4"/>
      </w:pPr>
      <w:r>
        <w:rPr>
          <w:color w:val="1A56DB"/>
        </w:rPr>
        <w:t>3.7 核心资源</w:t>
      </w:r>
    </w:p>
    <w:p w14:paraId="5D197D2A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（1）技术专利：三层级检测头架构具有独创性，计划申请发明专利和软件著作权。（2）数据集：已积累蜱虫标注数据集（COCO格式），数据壁垒是核心竞争力之一。（3）模型资产：训练完成的Mask R-CNN模型权重，可快速迁移和迭代。</w:t>
      </w:r>
    </w:p>
    <w:p w14:paraId="5BA28766">
      <w:r>
        <w:br w:type="page"/>
      </w:r>
    </w:p>
    <w:p w14:paraId="2F4299E0">
      <w:pPr>
        <w:pStyle w:val="3"/>
      </w:pPr>
      <w:r>
        <w:rPr>
          <w:color w:val="1A56DB"/>
        </w:rPr>
        <w:t>四、行业与市场分析</w:t>
      </w:r>
    </w:p>
    <w:p w14:paraId="3108E6D0">
      <w:pPr>
        <w:pStyle w:val="4"/>
      </w:pPr>
      <w:r>
        <w:rPr>
          <w:color w:val="1A56DB"/>
        </w:rPr>
        <w:t>4.1 PEST分析</w:t>
      </w:r>
    </w:p>
    <w:p w14:paraId="6EDD76F5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【政策环境（Policy）】</w:t>
      </w:r>
    </w:p>
    <w:p w14:paraId="2AAFD9BA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"健康中国2030"规划纲要将虫媒传染病防控列为公共卫生重点任务。农业农村部发布《农作物病虫害监测与预报管理办法》，推动智慧农业技术应用。广东省大力支持人工智能与医疗健康融合创新，相关政策持续利好。</w:t>
      </w:r>
    </w:p>
    <w:p w14:paraId="08D685B3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【经济环境（Economy）】</w:t>
      </w:r>
    </w:p>
    <w:p w14:paraId="1444C64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中国宠物消费市场规模已达3,126亿元（2025年，《中国宠物行业白皮书》），其中宠物诊疗消费占比持续提升（来源：chinareports.org.cn）。预计2028年突破4,050亿元，养宠主力90后占比42.7%。全球病媒控制市场（Vector Control）2025年规模约220-278亿美元（来源：Knowledge Sourcing Intelligence / GlobeNewsWire, 2026），AI+虫害防治是增速最快的技术赛道。</w:t>
      </w:r>
    </w:p>
    <w:p w14:paraId="3016193E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【社会环境（Society）】</w:t>
      </w:r>
    </w:p>
    <w:p w14:paraId="3E5D7BBD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户外运动（徒步、露营）参与人数快速增长，蜱虫叮咬风险增加，公众对蜱虫防护意识提升。美国CDC估计该国每年约47.6万人被诊断为莱姆病（来源：cdc.gov/lyme/data-research/facts-stats），蜱虫叮咬相关疾病已成为严重的公共卫生问题。宠物饲养率持续攀升（中国城镇家庭饲养率超30%），宠物健康监测需求增加。中国蜱媒传染病疫区持续扩大，基层疾控能力建设受到更多重视。</w:t>
      </w:r>
    </w:p>
    <w:p w14:paraId="1F4EA9D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【技术环境（Technology）】</w:t>
      </w:r>
    </w:p>
    <w:p w14:paraId="0861F433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AI视觉技术成熟度提高，Mask R-CNN等模型已达到实用化水平。移动端算力提升（NPU/AI芯片普及），使端侧AI推理成为可能。5G/物联网技术为野外设备联网监测提供基础设施支撑。</w:t>
      </w:r>
    </w:p>
    <w:p w14:paraId="3E6FB51A">
      <w:pPr>
        <w:pStyle w:val="4"/>
      </w:pPr>
      <w:r>
        <w:rPr>
          <w:color w:val="1A56DB"/>
        </w:rPr>
        <w:t>4.2 市场容量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CB26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DB959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细分市场</w:t>
            </w:r>
          </w:p>
        </w:tc>
        <w:tc>
          <w:tcPr>
            <w:tcW w:w="1728" w:type="dxa"/>
          </w:tcPr>
          <w:p w14:paraId="307DC0C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当前规模（2025）</w:t>
            </w:r>
          </w:p>
        </w:tc>
        <w:tc>
          <w:tcPr>
            <w:tcW w:w="1728" w:type="dxa"/>
          </w:tcPr>
          <w:p w14:paraId="2AC824B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未来5年预期</w:t>
            </w:r>
          </w:p>
        </w:tc>
        <w:tc>
          <w:tcPr>
            <w:tcW w:w="1728" w:type="dxa"/>
          </w:tcPr>
          <w:p w14:paraId="6E5C6EC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可触达份额</w:t>
            </w:r>
          </w:p>
        </w:tc>
        <w:tc>
          <w:tcPr>
            <w:tcW w:w="1728" w:type="dxa"/>
          </w:tcPr>
          <w:p w14:paraId="5D07025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数据来源</w:t>
            </w:r>
          </w:p>
        </w:tc>
      </w:tr>
      <w:tr w14:paraId="532A0E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1D0C25">
            <w:pPr>
              <w:spacing w:after="0" w:line="240" w:lineRule="auto"/>
              <w:jc w:val="center"/>
            </w:pPr>
            <w:r>
              <w:rPr>
                <w:sz w:val="20"/>
              </w:rPr>
              <w:t>公共卫生监测</w:t>
            </w:r>
          </w:p>
        </w:tc>
        <w:tc>
          <w:tcPr>
            <w:tcW w:w="1728" w:type="dxa"/>
          </w:tcPr>
          <w:p w14:paraId="73D2224D">
            <w:pPr>
              <w:spacing w:after="0" w:line="240" w:lineRule="auto"/>
              <w:jc w:val="center"/>
            </w:pPr>
            <w:r>
              <w:rPr>
                <w:sz w:val="20"/>
              </w:rPr>
              <w:t>约30亿元</w:t>
            </w:r>
          </w:p>
        </w:tc>
        <w:tc>
          <w:tcPr>
            <w:tcW w:w="1728" w:type="dxa"/>
          </w:tcPr>
          <w:p w14:paraId="20B3A83F">
            <w:pPr>
              <w:spacing w:after="0" w:line="240" w:lineRule="auto"/>
              <w:jc w:val="center"/>
            </w:pPr>
            <w:r>
              <w:rPr>
                <w:sz w:val="20"/>
              </w:rPr>
              <w:t>50亿元（CAGR 10%）</w:t>
            </w:r>
          </w:p>
        </w:tc>
        <w:tc>
          <w:tcPr>
            <w:tcW w:w="1728" w:type="dxa"/>
          </w:tcPr>
          <w:p w14:paraId="3920D001">
            <w:pPr>
              <w:spacing w:after="0" w:line="240" w:lineRule="auto"/>
              <w:jc w:val="center"/>
            </w:pPr>
            <w:r>
              <w:rPr>
                <w:sz w:val="20"/>
              </w:rPr>
              <w:t>5%-10%</w:t>
            </w:r>
          </w:p>
        </w:tc>
        <w:tc>
          <w:tcPr>
            <w:tcW w:w="1728" w:type="dxa"/>
          </w:tcPr>
          <w:p w14:paraId="67ED3CC4">
            <w:pPr>
              <w:spacing w:after="0" w:line="240" w:lineRule="auto"/>
              <w:jc w:val="center"/>
            </w:pPr>
            <w:r>
              <w:rPr>
                <w:sz w:val="20"/>
              </w:rPr>
              <w:t>China CDC Weekly</w:t>
            </w:r>
          </w:p>
        </w:tc>
      </w:tr>
      <w:tr w14:paraId="162740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75EB41">
            <w:pPr>
              <w:spacing w:after="0" w:line="240" w:lineRule="auto"/>
              <w:jc w:val="center"/>
            </w:pPr>
            <w:r>
              <w:rPr>
                <w:sz w:val="20"/>
              </w:rPr>
              <w:t>宠物医疗市场</w:t>
            </w:r>
          </w:p>
        </w:tc>
        <w:tc>
          <w:tcPr>
            <w:tcW w:w="1728" w:type="dxa"/>
          </w:tcPr>
          <w:p w14:paraId="3F54ABE3">
            <w:pPr>
              <w:spacing w:after="0" w:line="240" w:lineRule="auto"/>
              <w:jc w:val="center"/>
            </w:pPr>
            <w:r>
              <w:rPr>
                <w:sz w:val="20"/>
              </w:rPr>
              <w:t>约120亿元</w:t>
            </w:r>
          </w:p>
        </w:tc>
        <w:tc>
          <w:tcPr>
            <w:tcW w:w="1728" w:type="dxa"/>
          </w:tcPr>
          <w:p w14:paraId="657C5966">
            <w:pPr>
              <w:spacing w:after="0" w:line="240" w:lineRule="auto"/>
              <w:jc w:val="center"/>
            </w:pPr>
            <w:r>
              <w:rPr>
                <w:sz w:val="20"/>
              </w:rPr>
              <w:t>250亿元（CAGR 15%）</w:t>
            </w:r>
          </w:p>
        </w:tc>
        <w:tc>
          <w:tcPr>
            <w:tcW w:w="1728" w:type="dxa"/>
          </w:tcPr>
          <w:p w14:paraId="61433BDA">
            <w:pPr>
              <w:spacing w:after="0" w:line="240" w:lineRule="auto"/>
              <w:jc w:val="center"/>
            </w:pPr>
            <w:r>
              <w:rPr>
                <w:sz w:val="20"/>
              </w:rPr>
              <w:t>2%-5%</w:t>
            </w:r>
          </w:p>
        </w:tc>
        <w:tc>
          <w:tcPr>
            <w:tcW w:w="1728" w:type="dxa"/>
          </w:tcPr>
          <w:p w14:paraId="402777B4">
            <w:pPr>
              <w:spacing w:after="0" w:line="240" w:lineRule="auto"/>
              <w:jc w:val="center"/>
            </w:pPr>
            <w:r>
              <w:rPr>
                <w:sz w:val="20"/>
              </w:rPr>
              <w:t>宠物行业白皮书2025</w:t>
            </w:r>
          </w:p>
        </w:tc>
      </w:tr>
      <w:tr w14:paraId="58F53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604775">
            <w:pPr>
              <w:spacing w:after="0" w:line="240" w:lineRule="auto"/>
              <w:jc w:val="center"/>
            </w:pPr>
            <w:r>
              <w:rPr>
                <w:sz w:val="20"/>
              </w:rPr>
              <w:t>农牧业虫害防治</w:t>
            </w:r>
          </w:p>
        </w:tc>
        <w:tc>
          <w:tcPr>
            <w:tcW w:w="1728" w:type="dxa"/>
          </w:tcPr>
          <w:p w14:paraId="0B998745">
            <w:pPr>
              <w:spacing w:after="0" w:line="240" w:lineRule="auto"/>
              <w:jc w:val="center"/>
            </w:pPr>
            <w:r>
              <w:rPr>
                <w:sz w:val="20"/>
              </w:rPr>
              <w:t>约50亿元</w:t>
            </w:r>
          </w:p>
        </w:tc>
        <w:tc>
          <w:tcPr>
            <w:tcW w:w="1728" w:type="dxa"/>
          </w:tcPr>
          <w:p w14:paraId="6F638EDA">
            <w:pPr>
              <w:spacing w:after="0" w:line="240" w:lineRule="auto"/>
              <w:jc w:val="center"/>
            </w:pPr>
            <w:r>
              <w:rPr>
                <w:sz w:val="20"/>
              </w:rPr>
              <w:t>90亿元（CAGR 12%）</w:t>
            </w:r>
          </w:p>
        </w:tc>
        <w:tc>
          <w:tcPr>
            <w:tcW w:w="1728" w:type="dxa"/>
          </w:tcPr>
          <w:p w14:paraId="1A1CD62C">
            <w:pPr>
              <w:spacing w:after="0" w:line="240" w:lineRule="auto"/>
              <w:jc w:val="center"/>
            </w:pPr>
            <w:r>
              <w:rPr>
                <w:sz w:val="20"/>
              </w:rPr>
              <w:t>3%-8%</w:t>
            </w:r>
          </w:p>
        </w:tc>
        <w:tc>
          <w:tcPr>
            <w:tcW w:w="1728" w:type="dxa"/>
          </w:tcPr>
          <w:p w14:paraId="59747F9E">
            <w:pPr>
              <w:spacing w:after="0" w:line="240" w:lineRule="auto"/>
              <w:jc w:val="center"/>
            </w:pPr>
            <w:r>
              <w:rPr>
                <w:sz w:val="20"/>
              </w:rPr>
              <w:t>农业农村部</w:t>
            </w:r>
          </w:p>
        </w:tc>
      </w:tr>
      <w:tr w14:paraId="63B9E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44A785">
            <w:pPr>
              <w:spacing w:after="0" w:line="240" w:lineRule="auto"/>
              <w:jc w:val="center"/>
            </w:pPr>
            <w:r>
              <w:rPr>
                <w:sz w:val="20"/>
              </w:rPr>
              <w:t>合计</w:t>
            </w:r>
          </w:p>
        </w:tc>
        <w:tc>
          <w:tcPr>
            <w:tcW w:w="1728" w:type="dxa"/>
          </w:tcPr>
          <w:p w14:paraId="7308493D">
            <w:pPr>
              <w:spacing w:after="0" w:line="240" w:lineRule="auto"/>
              <w:jc w:val="center"/>
            </w:pPr>
            <w:r>
              <w:rPr>
                <w:sz w:val="20"/>
              </w:rPr>
              <w:t>约200亿元</w:t>
            </w:r>
          </w:p>
        </w:tc>
        <w:tc>
          <w:tcPr>
            <w:tcW w:w="1728" w:type="dxa"/>
          </w:tcPr>
          <w:p w14:paraId="33DF48EC">
            <w:pPr>
              <w:spacing w:after="0" w:line="240" w:lineRule="auto"/>
              <w:jc w:val="center"/>
            </w:pPr>
            <w:r>
              <w:rPr>
                <w:sz w:val="20"/>
              </w:rPr>
              <w:t>约390亿元</w:t>
            </w:r>
          </w:p>
        </w:tc>
        <w:tc>
          <w:tcPr>
            <w:tcW w:w="1728" w:type="dxa"/>
          </w:tcPr>
          <w:p w14:paraId="45E315A2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3266F80D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126E2DE2"/>
    <w:p w14:paraId="4526F305">
      <w:pPr>
        <w:pStyle w:val="4"/>
      </w:pPr>
      <w:r>
        <w:rPr>
          <w:color w:val="1A56DB"/>
        </w:rPr>
        <w:t>4.3 目标用户画像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3D5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4DC66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用户群体</w:t>
            </w:r>
          </w:p>
        </w:tc>
        <w:tc>
          <w:tcPr>
            <w:tcW w:w="2160" w:type="dxa"/>
          </w:tcPr>
          <w:p w14:paraId="46CF2E6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w="2160" w:type="dxa"/>
          </w:tcPr>
          <w:p w14:paraId="64FD85D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核心需求</w:t>
            </w:r>
          </w:p>
        </w:tc>
        <w:tc>
          <w:tcPr>
            <w:tcW w:w="2160" w:type="dxa"/>
          </w:tcPr>
          <w:p w14:paraId="26DC77B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付费意愿</w:t>
            </w:r>
          </w:p>
        </w:tc>
      </w:tr>
      <w:tr w14:paraId="59271C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45A3A7">
            <w:pPr>
              <w:spacing w:after="0" w:line="240" w:lineRule="auto"/>
              <w:jc w:val="center"/>
            </w:pPr>
            <w:r>
              <w:rPr>
                <w:sz w:val="20"/>
              </w:rPr>
              <w:t>各级疾控中心</w:t>
            </w:r>
          </w:p>
        </w:tc>
        <w:tc>
          <w:tcPr>
            <w:tcW w:w="2160" w:type="dxa"/>
          </w:tcPr>
          <w:p w14:paraId="603F1CE5">
            <w:pPr>
              <w:spacing w:after="0" w:line="240" w:lineRule="auto"/>
              <w:jc w:val="center"/>
            </w:pPr>
            <w:r>
              <w:rPr>
                <w:sz w:val="20"/>
              </w:rPr>
              <w:t>专业人员，需要批量检测</w:t>
            </w:r>
          </w:p>
        </w:tc>
        <w:tc>
          <w:tcPr>
            <w:tcW w:w="2160" w:type="dxa"/>
          </w:tcPr>
          <w:p w14:paraId="044CC145">
            <w:pPr>
              <w:spacing w:after="0" w:line="240" w:lineRule="auto"/>
              <w:jc w:val="center"/>
            </w:pPr>
            <w:r>
              <w:rPr>
                <w:sz w:val="20"/>
              </w:rPr>
              <w:t>准确率&gt;95%，批量处理</w:t>
            </w:r>
          </w:p>
        </w:tc>
        <w:tc>
          <w:tcPr>
            <w:tcW w:w="2160" w:type="dxa"/>
          </w:tcPr>
          <w:p w14:paraId="39D0BF65">
            <w:pPr>
              <w:spacing w:after="0" w:line="240" w:lineRule="auto"/>
              <w:jc w:val="center"/>
            </w:pPr>
            <w:r>
              <w:rPr>
                <w:sz w:val="20"/>
              </w:rPr>
              <w:t>高（政府采购）</w:t>
            </w:r>
          </w:p>
        </w:tc>
      </w:tr>
      <w:tr w14:paraId="12B138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234718">
            <w:pPr>
              <w:spacing w:after="0" w:line="240" w:lineRule="auto"/>
              <w:jc w:val="center"/>
            </w:pPr>
            <w:r>
              <w:rPr>
                <w:sz w:val="20"/>
              </w:rPr>
              <w:t>宠物医院</w:t>
            </w:r>
          </w:p>
        </w:tc>
        <w:tc>
          <w:tcPr>
            <w:tcW w:w="2160" w:type="dxa"/>
          </w:tcPr>
          <w:p w14:paraId="580E5331">
            <w:pPr>
              <w:spacing w:after="0" w:line="240" w:lineRule="auto"/>
              <w:jc w:val="center"/>
            </w:pPr>
            <w:r>
              <w:rPr>
                <w:sz w:val="20"/>
              </w:rPr>
              <w:t>兽医和护理人员</w:t>
            </w:r>
          </w:p>
        </w:tc>
        <w:tc>
          <w:tcPr>
            <w:tcW w:w="2160" w:type="dxa"/>
          </w:tcPr>
          <w:p w14:paraId="77ACECAD">
            <w:pPr>
              <w:spacing w:after="0" w:line="240" w:lineRule="auto"/>
              <w:jc w:val="center"/>
            </w:pPr>
            <w:r>
              <w:rPr>
                <w:sz w:val="20"/>
              </w:rPr>
              <w:t>快速识别，操作简单</w:t>
            </w:r>
          </w:p>
        </w:tc>
        <w:tc>
          <w:tcPr>
            <w:tcW w:w="2160" w:type="dxa"/>
          </w:tcPr>
          <w:p w14:paraId="201868D2">
            <w:pPr>
              <w:spacing w:after="0" w:line="240" w:lineRule="auto"/>
              <w:jc w:val="center"/>
            </w:pPr>
            <w:r>
              <w:rPr>
                <w:sz w:val="20"/>
              </w:rPr>
              <w:t>中高（专业工具）</w:t>
            </w:r>
          </w:p>
        </w:tc>
      </w:tr>
      <w:tr w14:paraId="58EB75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894190">
            <w:pPr>
              <w:spacing w:after="0" w:line="240" w:lineRule="auto"/>
              <w:jc w:val="center"/>
            </w:pPr>
            <w:r>
              <w:rPr>
                <w:sz w:val="20"/>
              </w:rPr>
              <w:t>农牧养殖户</w:t>
            </w:r>
          </w:p>
        </w:tc>
        <w:tc>
          <w:tcPr>
            <w:tcW w:w="2160" w:type="dxa"/>
          </w:tcPr>
          <w:p w14:paraId="47B1FC4C">
            <w:pPr>
              <w:spacing w:after="0" w:line="240" w:lineRule="auto"/>
              <w:jc w:val="center"/>
            </w:pPr>
            <w:r>
              <w:rPr>
                <w:sz w:val="20"/>
              </w:rPr>
              <w:t>非专业人员</w:t>
            </w:r>
          </w:p>
        </w:tc>
        <w:tc>
          <w:tcPr>
            <w:tcW w:w="2160" w:type="dxa"/>
          </w:tcPr>
          <w:p w14:paraId="35121830">
            <w:pPr>
              <w:spacing w:after="0" w:line="240" w:lineRule="auto"/>
              <w:jc w:val="center"/>
            </w:pPr>
            <w:r>
              <w:rPr>
                <w:sz w:val="20"/>
              </w:rPr>
              <w:t>拍照即识别，低门槛</w:t>
            </w:r>
          </w:p>
        </w:tc>
        <w:tc>
          <w:tcPr>
            <w:tcW w:w="2160" w:type="dxa"/>
          </w:tcPr>
          <w:p w14:paraId="6516A336">
            <w:pPr>
              <w:spacing w:after="0" w:line="240" w:lineRule="auto"/>
              <w:jc w:val="center"/>
            </w:pPr>
            <w:r>
              <w:rPr>
                <w:sz w:val="20"/>
              </w:rPr>
              <w:t>中（按效果付费）</w:t>
            </w:r>
          </w:p>
        </w:tc>
      </w:tr>
      <w:tr w14:paraId="09C551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177816">
            <w:pPr>
              <w:spacing w:after="0" w:line="240" w:lineRule="auto"/>
              <w:jc w:val="center"/>
            </w:pPr>
            <w:r>
              <w:rPr>
                <w:sz w:val="20"/>
              </w:rPr>
              <w:t>户外爱好者</w:t>
            </w:r>
          </w:p>
        </w:tc>
        <w:tc>
          <w:tcPr>
            <w:tcW w:w="2160" w:type="dxa"/>
          </w:tcPr>
          <w:p w14:paraId="62564913">
            <w:pPr>
              <w:spacing w:after="0" w:line="240" w:lineRule="auto"/>
              <w:jc w:val="center"/>
            </w:pPr>
            <w:r>
              <w:rPr>
                <w:sz w:val="20"/>
              </w:rPr>
              <w:t>普通消费者</w:t>
            </w:r>
          </w:p>
        </w:tc>
        <w:tc>
          <w:tcPr>
            <w:tcW w:w="2160" w:type="dxa"/>
          </w:tcPr>
          <w:p w14:paraId="7E71B5D7">
            <w:pPr>
              <w:spacing w:after="0" w:line="240" w:lineRule="auto"/>
              <w:jc w:val="center"/>
            </w:pPr>
            <w:r>
              <w:rPr>
                <w:sz w:val="20"/>
              </w:rPr>
              <w:t>便携识别，安全提醒</w:t>
            </w:r>
          </w:p>
        </w:tc>
        <w:tc>
          <w:tcPr>
            <w:tcW w:w="2160" w:type="dxa"/>
          </w:tcPr>
          <w:p w14:paraId="23F8ED05">
            <w:pPr>
              <w:spacing w:after="0" w:line="240" w:lineRule="auto"/>
              <w:jc w:val="center"/>
            </w:pPr>
            <w:r>
              <w:rPr>
                <w:sz w:val="20"/>
              </w:rPr>
              <w:t>低中（免费+增值）</w:t>
            </w:r>
          </w:p>
        </w:tc>
      </w:tr>
    </w:tbl>
    <w:p w14:paraId="35AE15BD"/>
    <w:p w14:paraId="613F456B">
      <w:pPr>
        <w:pStyle w:val="4"/>
      </w:pPr>
      <w:r>
        <w:rPr>
          <w:color w:val="1A56DB"/>
        </w:rPr>
        <w:t>4.4 竞争分析</w:t>
      </w:r>
    </w:p>
    <w:p w14:paraId="235D89D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当前市场尚无专门针对蜱虫细粒度识别的AI商业化产品。主要竞争来源为：</w:t>
      </w:r>
    </w:p>
    <w:p w14:paraId="2E9E861C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（1）通用昆虫识别APP（如iNaturalist）：基于图像分类，仅能判断物种大类，无法定位虫体位置和状态，识别精度低。</w:t>
      </w:r>
    </w:p>
    <w:p w14:paraId="3732C4A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（2）传统实验室检测服务：精度高但周期长（3-7天），单次成本高（50-200元），无法满足实时需求。</w:t>
      </w:r>
    </w:p>
    <w:p w14:paraId="4EAEBD5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（3）学术研究工具：部分高校有蜱虫识别研究，但停留在实验室阶段，缺乏产品化能力。</w:t>
      </w:r>
    </w:p>
    <w:p w14:paraId="6066E60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智蜱卫士以"细粒度属性识别+端侧实时推理"形成差异化优势，填补市场空白。</w:t>
      </w:r>
    </w:p>
    <w:p w14:paraId="2D1B5CDA">
      <w:pPr>
        <w:pStyle w:val="4"/>
      </w:pPr>
      <w:r>
        <w:rPr>
          <w:color w:val="1A56DB"/>
        </w:rPr>
        <w:t>4.5 SWOT分析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C61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CBA9ED">
            <w:pPr>
              <w:spacing w:after="0" w:line="240" w:lineRule="auto"/>
            </w:pPr>
            <w:r>
              <w:rPr>
                <w:b/>
              </w:rPr>
              <w:t>S 优势</w:t>
            </w:r>
            <w:r>
              <w:rPr>
                <w:b/>
              </w:rPr>
              <w:br w:type="textWrapping"/>
            </w:r>
            <w:r>
              <w:rPr>
                <w:b/>
              </w:rPr>
              <w:br w:type="textWrapping"/>
            </w:r>
            <w:r>
              <w:rPr>
                <w:b/>
              </w:rPr>
              <w:t>• 独创三层级检测架构，技术壁垒高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检测精度领先（mAP@50=0.842）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先发优势，蓝海市场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全栈独立开发能力</w:t>
            </w:r>
          </w:p>
        </w:tc>
        <w:tc>
          <w:tcPr>
            <w:tcW w:w="4320" w:type="dxa"/>
          </w:tcPr>
          <w:p w14:paraId="3C21025E">
            <w:pPr>
              <w:spacing w:after="0" w:line="240" w:lineRule="auto"/>
            </w:pPr>
            <w:r>
              <w:rPr>
                <w:b/>
              </w:rPr>
              <w:t>W 劣势</w:t>
            </w:r>
            <w:r>
              <w:rPr>
                <w:b/>
              </w:rPr>
              <w:br w:type="textWrapping"/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团队规模小，仅1人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缺乏商业化运营经验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品牌知名度为零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资金有限</w:t>
            </w:r>
          </w:p>
        </w:tc>
      </w:tr>
      <w:tr w14:paraId="32E63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71D928">
            <w:pPr>
              <w:spacing w:after="0" w:line="240" w:lineRule="auto"/>
            </w:pPr>
            <w:r>
              <w:rPr>
                <w:b/>
              </w:rPr>
              <w:t>O 机会</w:t>
            </w:r>
            <w:r>
              <w:rPr>
                <w:b/>
              </w:rPr>
              <w:br w:type="textWrapping"/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健康中国2030政策红利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AI+医疗赛道资本热度高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宠物经济爆发增长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无人竞争的市场窗口期</w:t>
            </w:r>
          </w:p>
        </w:tc>
        <w:tc>
          <w:tcPr>
            <w:tcW w:w="4320" w:type="dxa"/>
          </w:tcPr>
          <w:p w14:paraId="6AFF32D8">
            <w:pPr>
              <w:spacing w:after="0" w:line="240" w:lineRule="auto"/>
            </w:pPr>
            <w:r>
              <w:rPr>
                <w:b/>
              </w:rPr>
              <w:t>T 威胁</w:t>
            </w:r>
            <w:r>
              <w:rPr>
                <w:b/>
              </w:rPr>
              <w:br w:type="textWrapping"/>
            </w:r>
            <w:r>
              <w:rPr>
                <w:b/>
              </w:rPr>
              <w:br w:type="textWrapping"/>
            </w:r>
            <w:r>
              <w:rPr>
                <w:b/>
              </w:rPr>
              <w:t>• 大厂可能进入赛道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技术被模仿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数据获取成本高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• 用户教育成本高</w:t>
            </w:r>
          </w:p>
        </w:tc>
      </w:tr>
      <w:tr w14:paraId="1CC55E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2"/>
          </w:tcPr>
          <w:p w14:paraId="37AE1392">
            <w:pPr>
              <w:spacing w:after="0" w:line="240" w:lineRule="auto"/>
            </w:pPr>
            <w:r>
              <w:t>应对策略：SO策略——利用技术优势抢占政策红利窗口期，快速建立行业标杆。WO策略——在发展阶段引入商业化运营人才，弥补团队短板。ST策略——强化知识产权保护，构建技术壁垒和数据壁垒。WT策略——初期聚焦细分场景（宠物医疗），避免与巨头正面竞争。</w:t>
            </w:r>
          </w:p>
        </w:tc>
      </w:tr>
    </w:tbl>
    <w:p w14:paraId="7CBC7941"/>
    <w:p w14:paraId="73EE6114">
      <w:r>
        <w:br w:type="page"/>
      </w:r>
    </w:p>
    <w:p w14:paraId="672D2885">
      <w:pPr>
        <w:pStyle w:val="3"/>
      </w:pPr>
      <w:r>
        <w:rPr>
          <w:color w:val="1A56DB"/>
        </w:rPr>
        <w:t>五、营销计划</w:t>
      </w:r>
    </w:p>
    <w:p w14:paraId="17793A3D">
      <w:pPr>
        <w:pStyle w:val="4"/>
      </w:pPr>
      <w:r>
        <w:rPr>
          <w:color w:val="1A56DB"/>
        </w:rPr>
        <w:t>5.1 营销目标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85D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83284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880" w:type="dxa"/>
          </w:tcPr>
          <w:p w14:paraId="0693C66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2880" w:type="dxa"/>
          </w:tcPr>
          <w:p w14:paraId="1ACC0E9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目标</w:t>
            </w:r>
          </w:p>
        </w:tc>
      </w:tr>
      <w:tr w14:paraId="4BD7D5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C34583">
            <w:pPr>
              <w:spacing w:after="0" w:line="240" w:lineRule="auto"/>
              <w:jc w:val="center"/>
            </w:pPr>
            <w:r>
              <w:rPr>
                <w:sz w:val="20"/>
              </w:rPr>
              <w:t>种子期</w:t>
            </w:r>
          </w:p>
        </w:tc>
        <w:tc>
          <w:tcPr>
            <w:tcW w:w="2880" w:type="dxa"/>
          </w:tcPr>
          <w:p w14:paraId="12D5BB84">
            <w:pPr>
              <w:spacing w:after="0" w:line="240" w:lineRule="auto"/>
              <w:jc w:val="center"/>
            </w:pPr>
            <w:r>
              <w:rPr>
                <w:sz w:val="20"/>
              </w:rPr>
              <w:t>第1年</w:t>
            </w:r>
          </w:p>
        </w:tc>
        <w:tc>
          <w:tcPr>
            <w:tcW w:w="2880" w:type="dxa"/>
          </w:tcPr>
          <w:p w14:paraId="5AC5C92F">
            <w:pPr>
              <w:spacing w:after="0" w:line="240" w:lineRule="auto"/>
              <w:jc w:val="center"/>
            </w:pPr>
            <w:r>
              <w:rPr>
                <w:sz w:val="20"/>
              </w:rPr>
              <w:t>获取100+专业用户（疾控/宠物医院），完成产品PMF验证</w:t>
            </w:r>
          </w:p>
        </w:tc>
      </w:tr>
      <w:tr w14:paraId="7DFB22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6AE0FD">
            <w:pPr>
              <w:spacing w:after="0" w:line="240" w:lineRule="auto"/>
              <w:jc w:val="center"/>
            </w:pPr>
            <w:r>
              <w:rPr>
                <w:sz w:val="20"/>
              </w:rPr>
              <w:t>成长期</w:t>
            </w:r>
          </w:p>
        </w:tc>
        <w:tc>
          <w:tcPr>
            <w:tcW w:w="2880" w:type="dxa"/>
          </w:tcPr>
          <w:p w14:paraId="1669293B">
            <w:pPr>
              <w:spacing w:after="0" w:line="240" w:lineRule="auto"/>
              <w:jc w:val="center"/>
            </w:pPr>
            <w:r>
              <w:rPr>
                <w:sz w:val="20"/>
              </w:rPr>
              <w:t>第2年</w:t>
            </w:r>
          </w:p>
        </w:tc>
        <w:tc>
          <w:tcPr>
            <w:tcW w:w="2880" w:type="dxa"/>
          </w:tcPr>
          <w:p w14:paraId="38C01E16">
            <w:pPr>
              <w:spacing w:after="0" w:line="240" w:lineRule="auto"/>
              <w:jc w:val="center"/>
            </w:pPr>
            <w:r>
              <w:rPr>
                <w:sz w:val="20"/>
              </w:rPr>
              <w:t>拓展至1000+付费用户，月活用户破5000，品牌初步建立</w:t>
            </w:r>
          </w:p>
        </w:tc>
      </w:tr>
      <w:tr w14:paraId="55FAED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D346B1">
            <w:pPr>
              <w:spacing w:after="0" w:line="240" w:lineRule="auto"/>
              <w:jc w:val="center"/>
            </w:pPr>
            <w:r>
              <w:rPr>
                <w:sz w:val="20"/>
              </w:rPr>
              <w:t>扩张期</w:t>
            </w:r>
          </w:p>
        </w:tc>
        <w:tc>
          <w:tcPr>
            <w:tcW w:w="2880" w:type="dxa"/>
          </w:tcPr>
          <w:p w14:paraId="334A84A7">
            <w:pPr>
              <w:spacing w:after="0" w:line="240" w:lineRule="auto"/>
              <w:jc w:val="center"/>
            </w:pPr>
            <w:r>
              <w:rPr>
                <w:sz w:val="20"/>
              </w:rPr>
              <w:t>第3年</w:t>
            </w:r>
          </w:p>
        </w:tc>
        <w:tc>
          <w:tcPr>
            <w:tcW w:w="2880" w:type="dxa"/>
          </w:tcPr>
          <w:p w14:paraId="61053517">
            <w:pPr>
              <w:spacing w:after="0" w:line="240" w:lineRule="auto"/>
              <w:jc w:val="center"/>
            </w:pPr>
            <w:r>
              <w:rPr>
                <w:sz w:val="20"/>
              </w:rPr>
              <w:t>覆盖全国重点省份，营收突破500万，市场份额达5%</w:t>
            </w:r>
          </w:p>
        </w:tc>
      </w:tr>
    </w:tbl>
    <w:p w14:paraId="0790105C"/>
    <w:p w14:paraId="37B317D4">
      <w:pPr>
        <w:pStyle w:val="4"/>
      </w:pPr>
      <w:r>
        <w:rPr>
          <w:color w:val="1A56DB"/>
        </w:rPr>
        <w:t>5.2 目标市场细分</w:t>
      </w:r>
    </w:p>
    <w:p w14:paraId="705945CC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优先切入宠物医疗市场（宠物主人消费意愿强、支付能力高），同步推进疾控中心试点合作（建立专业背书），后期拓展农牧养殖领域（市场规模大、需求刚性）。</w:t>
      </w:r>
    </w:p>
    <w:p w14:paraId="174857E0">
      <w:pPr>
        <w:pStyle w:val="4"/>
      </w:pPr>
      <w:r>
        <w:rPr>
          <w:color w:val="1A56DB"/>
        </w:rPr>
        <w:t>5.3 4P策略</w:t>
      </w:r>
    </w:p>
    <w:p w14:paraId="3ABAE0C7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◆ 产品（Product）</w:t>
      </w:r>
    </w:p>
    <w:p w14:paraId="399BFC79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分层级产品体系：免费版（基础识别功能，培养用户习惯）→ 专业版（细粒度分析+报告，面向机构）→ 企业版（API接入+定制部署，面向大客户）。差异化设计满足不同用户群体的需求深度。</w:t>
      </w:r>
    </w:p>
    <w:p w14:paraId="71FBE26C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◆ 定价（Price）</w:t>
      </w:r>
    </w:p>
    <w:p w14:paraId="4DBFF41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采用价值导向定价策略。免费版获取用户基础，专业版订阅99元/月起，企业版按项目定制2-5万元。疾控和政府客户采用政府采购定价模式。</w:t>
      </w:r>
    </w:p>
    <w:p w14:paraId="655D3F8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◆ 渠道（Place）</w:t>
      </w:r>
    </w:p>
    <w:p w14:paraId="7F522008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线上渠道：自建官网+微信小程序，入驻华为应用市场、苹果App Store等主流应用商店，在宠物社群、户外运动论坛等垂直社区进行内容营销。</w:t>
      </w:r>
    </w:p>
    <w:p w14:paraId="466B640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线下渠道：参与疾控学术会议和兽医行业展会，与宠物连锁医院建立合作试点，通过各地疾控中心培训体系辐射基层用户。</w:t>
      </w:r>
    </w:p>
    <w:p w14:paraId="7BDBACC5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◆ 促销（Promotion）</w:t>
      </w:r>
    </w:p>
    <w:p w14:paraId="47BAE995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1）内容营销：发布蜱虫科普文章/短视频，打造"专业防蜱"IP。（2）KOL合作：联合宠物医生、户外博主进行产品体验传播。（3）学术背书：发表学术论文，参与行业标准制定，建立专业权威。（4）老带新激励：推荐赠会员时长，机构推荐返佣。</w:t>
      </w:r>
    </w:p>
    <w:p w14:paraId="3A5D9422">
      <w:pPr>
        <w:pStyle w:val="4"/>
      </w:pPr>
      <w:r>
        <w:rPr>
          <w:color w:val="1A56DB"/>
        </w:rPr>
        <w:t>5.4 用户生命周期管理</w:t>
      </w:r>
    </w:p>
    <w:p w14:paraId="41B34F1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获客（搜索引流+内容营销+展会）→ 激活（免费试用+新手引导）→ 留存（定期推送蜱虫风险月报、行业资讯）→ 付费（高级功能解锁+数据分析报告）→ 转介绍（分享有奖+机构合作推广）。</w:t>
      </w:r>
    </w:p>
    <w:p w14:paraId="18D5CEA6">
      <w:r>
        <w:br w:type="page"/>
      </w:r>
    </w:p>
    <w:p w14:paraId="4866622A">
      <w:pPr>
        <w:pStyle w:val="3"/>
      </w:pPr>
      <w:r>
        <w:rPr>
          <w:color w:val="1A56DB"/>
        </w:rPr>
        <w:t>六、运营管理</w:t>
      </w:r>
    </w:p>
    <w:p w14:paraId="20BD4698">
      <w:pPr>
        <w:pStyle w:val="4"/>
      </w:pPr>
      <w:r>
        <w:rPr>
          <w:color w:val="1A56DB"/>
        </w:rPr>
        <w:t>6.1 业务流程</w:t>
      </w:r>
    </w:p>
    <w:p w14:paraId="59D5202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用户拍摄/上传图片 → API网关接收 → 模型推理引擎（蜱虫检测+细粒度识别）→ 结果后处理（置信度过滤+可视化）→ 返回检测报告（虫体位置+状态+风险等级）→ 数据存档（匿名化存储，用于模型持续优化）。</w:t>
      </w:r>
    </w:p>
    <w:p w14:paraId="047F996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关键节点：响应时间&lt;1秒（GPU模式），准确率&gt;85%（实际场景），数据安全加密传输，符合个人信息保护法合规要求。</w:t>
      </w:r>
    </w:p>
    <w:p w14:paraId="4B1D4CB9">
      <w:pPr>
        <w:pStyle w:val="4"/>
      </w:pPr>
      <w:r>
        <w:rPr>
          <w:color w:val="1A56DB"/>
        </w:rPr>
        <w:t>6.2 组织架构</w:t>
      </w:r>
    </w:p>
    <w:p w14:paraId="759DE61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初期（第1年）：扁平结构。创始人独立负责技术研发+产品设计+市场推广，以外包形式获取UI设计、法律咨询等专业服务。</w:t>
      </w:r>
    </w:p>
    <w:p w14:paraId="77A42DD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发展期（第2-3年）：引入2-3名核心成员。设立技术部（算法迭代+后端维护）、市场部（商务拓展+用户运营）、综合部（行政+财务+法务）。</w:t>
      </w:r>
    </w:p>
    <w:p w14:paraId="12F663D6">
      <w:pPr>
        <w:pStyle w:val="4"/>
      </w:pPr>
      <w:r>
        <w:rPr>
          <w:color w:val="1A56DB"/>
        </w:rPr>
        <w:t>6.3 质量控制</w:t>
      </w:r>
    </w:p>
    <w:p w14:paraId="32517B9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（1）模型持续迭代：每季度基于新增标注数据更新模型，每月评估检测精度。（2）用户反馈闭环：内建"纠错上报"功能，用户可标记错误检测结果，自动纳入训练数据池。（3）A/B测试机制：新模型上线前通过AB测试验证效果。（4）SLA保障：API服务承诺99.5%可用率。</w:t>
      </w:r>
    </w:p>
    <w:p w14:paraId="35CFF4E2">
      <w:pPr>
        <w:pStyle w:val="4"/>
      </w:pPr>
      <w:r>
        <w:rPr>
          <w:color w:val="1A56DB"/>
        </w:rPr>
        <w:t>6.4 合作伙伴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4EC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A8443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合作类型</w:t>
            </w:r>
          </w:p>
        </w:tc>
        <w:tc>
          <w:tcPr>
            <w:tcW w:w="2880" w:type="dxa"/>
          </w:tcPr>
          <w:p w14:paraId="6C4990D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合作方</w:t>
            </w:r>
          </w:p>
        </w:tc>
        <w:tc>
          <w:tcPr>
            <w:tcW w:w="2880" w:type="dxa"/>
          </w:tcPr>
          <w:p w14:paraId="2E8E8BF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合作内容</w:t>
            </w:r>
          </w:p>
        </w:tc>
      </w:tr>
      <w:tr w14:paraId="2426D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71BC83">
            <w:pPr>
              <w:spacing w:after="0" w:line="240" w:lineRule="auto"/>
              <w:jc w:val="center"/>
            </w:pPr>
            <w:r>
              <w:rPr>
                <w:sz w:val="20"/>
              </w:rPr>
              <w:t>学术合作</w:t>
            </w:r>
          </w:p>
        </w:tc>
        <w:tc>
          <w:tcPr>
            <w:tcW w:w="2880" w:type="dxa"/>
          </w:tcPr>
          <w:p w14:paraId="7D224770">
            <w:pPr>
              <w:spacing w:after="0" w:line="240" w:lineRule="auto"/>
              <w:jc w:val="center"/>
            </w:pPr>
            <w:r>
              <w:rPr>
                <w:sz w:val="20"/>
              </w:rPr>
              <w:t>高校CV实验室</w:t>
            </w:r>
          </w:p>
        </w:tc>
        <w:tc>
          <w:tcPr>
            <w:tcW w:w="2880" w:type="dxa"/>
          </w:tcPr>
          <w:p w14:paraId="34D6874F">
            <w:pPr>
              <w:spacing w:after="0" w:line="240" w:lineRule="auto"/>
              <w:jc w:val="center"/>
            </w:pPr>
            <w:r>
              <w:rPr>
                <w:sz w:val="20"/>
              </w:rPr>
              <w:t>联合算法研究、数据共享</w:t>
            </w:r>
          </w:p>
        </w:tc>
      </w:tr>
      <w:tr w14:paraId="535BD5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AF83CF">
            <w:pPr>
              <w:spacing w:after="0" w:line="240" w:lineRule="auto"/>
              <w:jc w:val="center"/>
            </w:pPr>
            <w:r>
              <w:rPr>
                <w:sz w:val="20"/>
              </w:rPr>
              <w:t>行业合作</w:t>
            </w:r>
          </w:p>
        </w:tc>
        <w:tc>
          <w:tcPr>
            <w:tcW w:w="2880" w:type="dxa"/>
          </w:tcPr>
          <w:p w14:paraId="23C9C02E">
            <w:pPr>
              <w:spacing w:after="0" w:line="240" w:lineRule="auto"/>
              <w:jc w:val="center"/>
            </w:pPr>
            <w:r>
              <w:rPr>
                <w:sz w:val="20"/>
              </w:rPr>
              <w:t>疾控中心/宠物医院</w:t>
            </w:r>
          </w:p>
        </w:tc>
        <w:tc>
          <w:tcPr>
            <w:tcW w:w="2880" w:type="dxa"/>
          </w:tcPr>
          <w:p w14:paraId="0ADB6420">
            <w:pPr>
              <w:spacing w:after="0" w:line="240" w:lineRule="auto"/>
              <w:jc w:val="center"/>
            </w:pPr>
            <w:r>
              <w:rPr>
                <w:sz w:val="20"/>
              </w:rPr>
              <w:t>试点应用、临床验证</w:t>
            </w:r>
          </w:p>
        </w:tc>
      </w:tr>
      <w:tr w14:paraId="777F2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93046C">
            <w:pPr>
              <w:spacing w:after="0" w:line="240" w:lineRule="auto"/>
              <w:jc w:val="center"/>
            </w:pPr>
            <w:r>
              <w:rPr>
                <w:sz w:val="20"/>
              </w:rPr>
              <w:t>技术合作</w:t>
            </w:r>
          </w:p>
        </w:tc>
        <w:tc>
          <w:tcPr>
            <w:tcW w:w="2880" w:type="dxa"/>
          </w:tcPr>
          <w:p w14:paraId="380DBD14">
            <w:pPr>
              <w:spacing w:after="0" w:line="240" w:lineRule="auto"/>
              <w:jc w:val="center"/>
            </w:pPr>
            <w:r>
              <w:rPr>
                <w:sz w:val="20"/>
              </w:rPr>
              <w:t>云计算服务商</w:t>
            </w:r>
          </w:p>
        </w:tc>
        <w:tc>
          <w:tcPr>
            <w:tcW w:w="2880" w:type="dxa"/>
          </w:tcPr>
          <w:p w14:paraId="693ADC96">
            <w:pPr>
              <w:spacing w:after="0" w:line="240" w:lineRule="auto"/>
              <w:jc w:val="center"/>
            </w:pPr>
            <w:r>
              <w:rPr>
                <w:sz w:val="20"/>
              </w:rPr>
              <w:t>GPU算力支持、模型部署</w:t>
            </w:r>
          </w:p>
        </w:tc>
      </w:tr>
      <w:tr w14:paraId="05331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F9AE6A">
            <w:pPr>
              <w:spacing w:after="0" w:line="240" w:lineRule="auto"/>
              <w:jc w:val="center"/>
            </w:pPr>
            <w:r>
              <w:rPr>
                <w:sz w:val="20"/>
              </w:rPr>
              <w:t>渠道合作</w:t>
            </w:r>
          </w:p>
        </w:tc>
        <w:tc>
          <w:tcPr>
            <w:tcW w:w="2880" w:type="dxa"/>
          </w:tcPr>
          <w:p w14:paraId="7F98768E">
            <w:pPr>
              <w:spacing w:after="0" w:line="240" w:lineRule="auto"/>
              <w:jc w:val="center"/>
            </w:pPr>
            <w:r>
              <w:rPr>
                <w:sz w:val="20"/>
              </w:rPr>
              <w:t>宠物医疗连锁</w:t>
            </w:r>
          </w:p>
        </w:tc>
        <w:tc>
          <w:tcPr>
            <w:tcW w:w="2880" w:type="dxa"/>
          </w:tcPr>
          <w:p w14:paraId="695649E7">
            <w:pPr>
              <w:spacing w:after="0" w:line="240" w:lineRule="auto"/>
              <w:jc w:val="center"/>
            </w:pPr>
            <w:r>
              <w:rPr>
                <w:sz w:val="20"/>
              </w:rPr>
              <w:t>渠道推广、联合品牌营销</w:t>
            </w:r>
          </w:p>
        </w:tc>
      </w:tr>
    </w:tbl>
    <w:p w14:paraId="24A708BC"/>
    <w:p w14:paraId="2F80C4AC">
      <w:r>
        <w:br w:type="page"/>
      </w:r>
    </w:p>
    <w:p w14:paraId="3AB0E2BA">
      <w:pPr>
        <w:pStyle w:val="3"/>
      </w:pPr>
      <w:r>
        <w:rPr>
          <w:color w:val="1A56DB"/>
        </w:rPr>
        <w:t>七、财务计划</w:t>
      </w:r>
    </w:p>
    <w:p w14:paraId="2CF054C9">
      <w:pPr>
        <w:pStyle w:val="4"/>
      </w:pPr>
      <w:r>
        <w:rPr>
          <w:color w:val="1A56DB"/>
        </w:rPr>
        <w:t>7.1 资金需求</w:t>
      </w:r>
    </w:p>
    <w:p w14:paraId="3F5E6359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当前寻求天使轮融资：50万元人民币。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9200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083C6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2160" w:type="dxa"/>
          </w:tcPr>
          <w:p w14:paraId="3B49358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金额（万元）</w:t>
            </w:r>
          </w:p>
        </w:tc>
        <w:tc>
          <w:tcPr>
            <w:tcW w:w="2160" w:type="dxa"/>
          </w:tcPr>
          <w:p w14:paraId="17898DD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占比</w:t>
            </w:r>
          </w:p>
        </w:tc>
        <w:tc>
          <w:tcPr>
            <w:tcW w:w="2160" w:type="dxa"/>
          </w:tcPr>
          <w:p w14:paraId="44080E2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4F631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92B922">
            <w:pPr>
              <w:spacing w:after="0" w:line="240" w:lineRule="auto"/>
              <w:jc w:val="center"/>
            </w:pPr>
            <w:r>
              <w:rPr>
                <w:sz w:val="20"/>
              </w:rPr>
              <w:t>技术研发</w:t>
            </w:r>
          </w:p>
        </w:tc>
        <w:tc>
          <w:tcPr>
            <w:tcW w:w="2160" w:type="dxa"/>
          </w:tcPr>
          <w:p w14:paraId="4BEFAFEF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160" w:type="dxa"/>
          </w:tcPr>
          <w:p w14:paraId="6F17B16C">
            <w:pPr>
              <w:spacing w:after="0" w:line="240" w:lineRule="auto"/>
              <w:jc w:val="center"/>
            </w:pPr>
            <w:r>
              <w:rPr>
                <w:sz w:val="20"/>
              </w:rPr>
              <w:t>40%</w:t>
            </w:r>
          </w:p>
        </w:tc>
        <w:tc>
          <w:tcPr>
            <w:tcW w:w="2160" w:type="dxa"/>
          </w:tcPr>
          <w:p w14:paraId="529AC418">
            <w:pPr>
              <w:spacing w:after="0" w:line="240" w:lineRule="auto"/>
              <w:jc w:val="center"/>
            </w:pPr>
            <w:r>
              <w:rPr>
                <w:sz w:val="20"/>
              </w:rPr>
              <w:t>GPU算力+数据标注+模型训练</w:t>
            </w:r>
          </w:p>
        </w:tc>
      </w:tr>
      <w:tr w14:paraId="163D5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B88FF7">
            <w:pPr>
              <w:spacing w:after="0" w:line="240" w:lineRule="auto"/>
              <w:jc w:val="center"/>
            </w:pPr>
            <w:r>
              <w:rPr>
                <w:sz w:val="20"/>
              </w:rPr>
              <w:t>产品开发</w:t>
            </w:r>
          </w:p>
        </w:tc>
        <w:tc>
          <w:tcPr>
            <w:tcW w:w="2160" w:type="dxa"/>
          </w:tcPr>
          <w:p w14:paraId="7E7EED35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2F2FE776">
            <w:pPr>
              <w:spacing w:after="0" w:line="240" w:lineRule="auto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160" w:type="dxa"/>
          </w:tcPr>
          <w:p w14:paraId="62C8DD9F">
            <w:pPr>
              <w:spacing w:after="0" w:line="240" w:lineRule="auto"/>
              <w:jc w:val="center"/>
            </w:pPr>
            <w:r>
              <w:rPr>
                <w:sz w:val="20"/>
              </w:rPr>
              <w:t>APP开发+Web后台+API服务</w:t>
            </w:r>
          </w:p>
        </w:tc>
      </w:tr>
      <w:tr w14:paraId="4E406E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763695">
            <w:pPr>
              <w:spacing w:after="0" w:line="240" w:lineRule="auto"/>
              <w:jc w:val="center"/>
            </w:pPr>
            <w:r>
              <w:rPr>
                <w:sz w:val="20"/>
              </w:rPr>
              <w:t>市场验证</w:t>
            </w:r>
          </w:p>
        </w:tc>
        <w:tc>
          <w:tcPr>
            <w:tcW w:w="2160" w:type="dxa"/>
          </w:tcPr>
          <w:p w14:paraId="3262B3E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49AC78BA">
            <w:pPr>
              <w:spacing w:after="0" w:line="240" w:lineRule="auto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160" w:type="dxa"/>
          </w:tcPr>
          <w:p w14:paraId="365DEF38">
            <w:pPr>
              <w:spacing w:after="0" w:line="240" w:lineRule="auto"/>
              <w:jc w:val="center"/>
            </w:pPr>
            <w:r>
              <w:rPr>
                <w:sz w:val="20"/>
              </w:rPr>
              <w:t>试点推广+学术参会+内容营销</w:t>
            </w:r>
          </w:p>
        </w:tc>
      </w:tr>
      <w:tr w14:paraId="785E6F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62D740">
            <w:pPr>
              <w:spacing w:after="0" w:line="240" w:lineRule="auto"/>
              <w:jc w:val="center"/>
            </w:pPr>
            <w:r>
              <w:rPr>
                <w:sz w:val="20"/>
              </w:rPr>
              <w:t>运营储备</w:t>
            </w:r>
          </w:p>
        </w:tc>
        <w:tc>
          <w:tcPr>
            <w:tcW w:w="2160" w:type="dxa"/>
          </w:tcPr>
          <w:p w14:paraId="7C9E3BCE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55FB9D00">
            <w:pPr>
              <w:spacing w:after="0" w:line="240" w:lineRule="auto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160" w:type="dxa"/>
          </w:tcPr>
          <w:p w14:paraId="4C224DBA">
            <w:pPr>
              <w:spacing w:after="0" w:line="240" w:lineRule="auto"/>
              <w:jc w:val="center"/>
            </w:pPr>
            <w:r>
              <w:rPr>
                <w:sz w:val="20"/>
              </w:rPr>
              <w:t>6个月运营保障资金</w:t>
            </w:r>
          </w:p>
        </w:tc>
      </w:tr>
    </w:tbl>
    <w:p w14:paraId="466BFA71"/>
    <w:p w14:paraId="3ED985DB">
      <w:pPr>
        <w:pStyle w:val="4"/>
      </w:pPr>
      <w:r>
        <w:rPr>
          <w:color w:val="1A56DB"/>
        </w:rPr>
        <w:t>7.2 三年财务预测</w:t>
      </w:r>
    </w:p>
    <w:p w14:paraId="1B4A243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【收入预测（单位：万元）】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3BC2F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159671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w="1234" w:type="dxa"/>
          </w:tcPr>
          <w:p w14:paraId="7121063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API服务</w:t>
            </w:r>
          </w:p>
        </w:tc>
        <w:tc>
          <w:tcPr>
            <w:tcW w:w="1234" w:type="dxa"/>
          </w:tcPr>
          <w:p w14:paraId="4A644C7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SaaS订阅</w:t>
            </w:r>
          </w:p>
        </w:tc>
        <w:tc>
          <w:tcPr>
            <w:tcW w:w="1234" w:type="dxa"/>
          </w:tcPr>
          <w:p w14:paraId="60696D6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APP增值</w:t>
            </w:r>
          </w:p>
        </w:tc>
        <w:tc>
          <w:tcPr>
            <w:tcW w:w="1234" w:type="dxa"/>
          </w:tcPr>
          <w:p w14:paraId="3B74822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定制部署</w:t>
            </w:r>
          </w:p>
        </w:tc>
        <w:tc>
          <w:tcPr>
            <w:tcW w:w="1234" w:type="dxa"/>
          </w:tcPr>
          <w:p w14:paraId="436DDB8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总收入</w:t>
            </w:r>
          </w:p>
        </w:tc>
        <w:tc>
          <w:tcPr>
            <w:tcW w:w="1234" w:type="dxa"/>
          </w:tcPr>
          <w:p w14:paraId="64FAD4A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增长率</w:t>
            </w:r>
          </w:p>
        </w:tc>
      </w:tr>
      <w:tr w14:paraId="4303F9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0E78E9B">
            <w:pPr>
              <w:spacing w:after="0" w:line="240" w:lineRule="auto"/>
              <w:jc w:val="center"/>
            </w:pPr>
            <w:r>
              <w:rPr>
                <w:sz w:val="20"/>
              </w:rPr>
              <w:t>第1年</w:t>
            </w:r>
          </w:p>
        </w:tc>
        <w:tc>
          <w:tcPr>
            <w:tcW w:w="1234" w:type="dxa"/>
          </w:tcPr>
          <w:p w14:paraId="0CF16DBF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234" w:type="dxa"/>
          </w:tcPr>
          <w:p w14:paraId="0AE4C500">
            <w:pPr>
              <w:spacing w:after="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234" w:type="dxa"/>
          </w:tcPr>
          <w:p w14:paraId="3B8E7123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2E3D5B63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653BCD57">
            <w:pPr>
              <w:spacing w:after="0" w:line="240" w:lineRule="auto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234" w:type="dxa"/>
          </w:tcPr>
          <w:p w14:paraId="76E4FE9C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</w:tr>
      <w:tr w14:paraId="7456D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71D183F">
            <w:pPr>
              <w:spacing w:after="0" w:line="240" w:lineRule="auto"/>
              <w:jc w:val="center"/>
            </w:pPr>
            <w:r>
              <w:rPr>
                <w:sz w:val="20"/>
              </w:rPr>
              <w:t>第2年</w:t>
            </w:r>
          </w:p>
        </w:tc>
        <w:tc>
          <w:tcPr>
            <w:tcW w:w="1234" w:type="dxa"/>
          </w:tcPr>
          <w:p w14:paraId="56DF8F57">
            <w:pPr>
              <w:spacing w:after="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234" w:type="dxa"/>
          </w:tcPr>
          <w:p w14:paraId="77492518">
            <w:pPr>
              <w:spacing w:after="0"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234" w:type="dxa"/>
          </w:tcPr>
          <w:p w14:paraId="2FD41E18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14:paraId="7054D158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14:paraId="70713120">
            <w:pPr>
              <w:spacing w:after="0" w:line="240" w:lineRule="auto"/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w="1234" w:type="dxa"/>
          </w:tcPr>
          <w:p w14:paraId="31B41B84">
            <w:pPr>
              <w:spacing w:after="0" w:line="240" w:lineRule="auto"/>
              <w:jc w:val="center"/>
            </w:pPr>
            <w:r>
              <w:rPr>
                <w:sz w:val="20"/>
              </w:rPr>
              <w:t>300%</w:t>
            </w:r>
          </w:p>
        </w:tc>
      </w:tr>
      <w:tr w14:paraId="09327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183ADBB">
            <w:pPr>
              <w:spacing w:after="0" w:line="240" w:lineRule="auto"/>
              <w:jc w:val="center"/>
            </w:pPr>
            <w:r>
              <w:rPr>
                <w:sz w:val="20"/>
              </w:rPr>
              <w:t>第3年</w:t>
            </w:r>
          </w:p>
        </w:tc>
        <w:tc>
          <w:tcPr>
            <w:tcW w:w="1234" w:type="dxa"/>
          </w:tcPr>
          <w:p w14:paraId="72F46CC2">
            <w:pPr>
              <w:spacing w:after="0" w:line="240" w:lineRule="auto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1234" w:type="dxa"/>
          </w:tcPr>
          <w:p w14:paraId="7A02334D">
            <w:pPr>
              <w:spacing w:after="0" w:line="240" w:lineRule="auto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234" w:type="dxa"/>
          </w:tcPr>
          <w:p w14:paraId="0339ABE0">
            <w:pPr>
              <w:spacing w:after="0"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234" w:type="dxa"/>
          </w:tcPr>
          <w:p w14:paraId="5732FEB6">
            <w:pPr>
              <w:spacing w:after="0" w:line="240" w:lineRule="auto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234" w:type="dxa"/>
          </w:tcPr>
          <w:p w14:paraId="3E98D8CB">
            <w:pPr>
              <w:spacing w:after="0" w:line="240" w:lineRule="auto"/>
              <w:jc w:val="center"/>
            </w:pPr>
            <w:r>
              <w:rPr>
                <w:sz w:val="20"/>
              </w:rPr>
              <w:t>450</w:t>
            </w:r>
          </w:p>
        </w:tc>
        <w:tc>
          <w:tcPr>
            <w:tcW w:w="1234" w:type="dxa"/>
          </w:tcPr>
          <w:p w14:paraId="731716A1">
            <w:pPr>
              <w:spacing w:after="0" w:line="240" w:lineRule="auto"/>
              <w:jc w:val="center"/>
            </w:pPr>
            <w:r>
              <w:rPr>
                <w:sz w:val="20"/>
              </w:rPr>
              <w:t>221%</w:t>
            </w:r>
          </w:p>
        </w:tc>
      </w:tr>
    </w:tbl>
    <w:p w14:paraId="76313A57"/>
    <w:p w14:paraId="525D6F59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【成本与利润预测（单位：万元）】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A634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D37D2A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w="1234" w:type="dxa"/>
          </w:tcPr>
          <w:p w14:paraId="150FAA7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总收入</w:t>
            </w:r>
          </w:p>
        </w:tc>
        <w:tc>
          <w:tcPr>
            <w:tcW w:w="1234" w:type="dxa"/>
          </w:tcPr>
          <w:p w14:paraId="4B60029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总成本</w:t>
            </w:r>
          </w:p>
        </w:tc>
        <w:tc>
          <w:tcPr>
            <w:tcW w:w="1234" w:type="dxa"/>
          </w:tcPr>
          <w:p w14:paraId="68274A9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毛利润</w:t>
            </w:r>
          </w:p>
        </w:tc>
        <w:tc>
          <w:tcPr>
            <w:tcW w:w="1234" w:type="dxa"/>
          </w:tcPr>
          <w:p w14:paraId="687315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毛利率</w:t>
            </w:r>
          </w:p>
        </w:tc>
        <w:tc>
          <w:tcPr>
            <w:tcW w:w="1234" w:type="dxa"/>
          </w:tcPr>
          <w:p w14:paraId="4A06EE9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净利润</w:t>
            </w:r>
          </w:p>
        </w:tc>
        <w:tc>
          <w:tcPr>
            <w:tcW w:w="1234" w:type="dxa"/>
          </w:tcPr>
          <w:p w14:paraId="233C83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净利率</w:t>
            </w:r>
          </w:p>
        </w:tc>
      </w:tr>
      <w:tr w14:paraId="1B36DA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631F2F8">
            <w:pPr>
              <w:spacing w:after="0" w:line="240" w:lineRule="auto"/>
              <w:jc w:val="center"/>
            </w:pPr>
            <w:r>
              <w:rPr>
                <w:sz w:val="20"/>
              </w:rPr>
              <w:t>第1年</w:t>
            </w:r>
          </w:p>
        </w:tc>
        <w:tc>
          <w:tcPr>
            <w:tcW w:w="1234" w:type="dxa"/>
          </w:tcPr>
          <w:p w14:paraId="1AEED00D">
            <w:pPr>
              <w:spacing w:after="0" w:line="240" w:lineRule="auto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234" w:type="dxa"/>
          </w:tcPr>
          <w:p w14:paraId="691153CB">
            <w:pPr>
              <w:spacing w:after="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234" w:type="dxa"/>
          </w:tcPr>
          <w:p w14:paraId="4CF6F23B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34" w:type="dxa"/>
          </w:tcPr>
          <w:p w14:paraId="52EC69E3">
            <w:pPr>
              <w:spacing w:after="0" w:line="240" w:lineRule="auto"/>
              <w:jc w:val="center"/>
            </w:pPr>
            <w:r>
              <w:rPr>
                <w:sz w:val="20"/>
              </w:rPr>
              <w:t>14%</w:t>
            </w:r>
          </w:p>
        </w:tc>
        <w:tc>
          <w:tcPr>
            <w:tcW w:w="1234" w:type="dxa"/>
          </w:tcPr>
          <w:p w14:paraId="77F93055">
            <w:pPr>
              <w:spacing w:after="0" w:line="240" w:lineRule="auto"/>
              <w:jc w:val="center"/>
            </w:pPr>
            <w:r>
              <w:rPr>
                <w:sz w:val="20"/>
              </w:rPr>
              <w:t>-10</w:t>
            </w:r>
          </w:p>
        </w:tc>
        <w:tc>
          <w:tcPr>
            <w:tcW w:w="1234" w:type="dxa"/>
          </w:tcPr>
          <w:p w14:paraId="7E89AD85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</w:tr>
      <w:tr w14:paraId="4578CE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DEB5BB5">
            <w:pPr>
              <w:spacing w:after="0" w:line="240" w:lineRule="auto"/>
              <w:jc w:val="center"/>
            </w:pPr>
            <w:r>
              <w:rPr>
                <w:sz w:val="20"/>
              </w:rPr>
              <w:t>第2年</w:t>
            </w:r>
          </w:p>
        </w:tc>
        <w:tc>
          <w:tcPr>
            <w:tcW w:w="1234" w:type="dxa"/>
          </w:tcPr>
          <w:p w14:paraId="664685A1">
            <w:pPr>
              <w:spacing w:after="0" w:line="240" w:lineRule="auto"/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w="1234" w:type="dxa"/>
          </w:tcPr>
          <w:p w14:paraId="715C881E">
            <w:pPr>
              <w:spacing w:after="0" w:line="240" w:lineRule="auto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234" w:type="dxa"/>
          </w:tcPr>
          <w:p w14:paraId="634517B5">
            <w:pPr>
              <w:spacing w:after="0" w:line="240" w:lineRule="auto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234" w:type="dxa"/>
          </w:tcPr>
          <w:p w14:paraId="00E1B9CF">
            <w:pPr>
              <w:spacing w:after="0" w:line="240" w:lineRule="auto"/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w="1234" w:type="dxa"/>
          </w:tcPr>
          <w:p w14:paraId="2F166ECA">
            <w:pPr>
              <w:spacing w:after="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234" w:type="dxa"/>
          </w:tcPr>
          <w:p w14:paraId="5FDAA327">
            <w:pPr>
              <w:spacing w:after="0" w:line="240" w:lineRule="auto"/>
              <w:jc w:val="center"/>
            </w:pPr>
            <w:r>
              <w:rPr>
                <w:sz w:val="20"/>
              </w:rPr>
              <w:t>21%</w:t>
            </w:r>
          </w:p>
        </w:tc>
      </w:tr>
      <w:tr w14:paraId="6344A9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FB905FF">
            <w:pPr>
              <w:spacing w:after="0" w:line="240" w:lineRule="auto"/>
              <w:jc w:val="center"/>
            </w:pPr>
            <w:r>
              <w:rPr>
                <w:sz w:val="20"/>
              </w:rPr>
              <w:t>第3年</w:t>
            </w:r>
          </w:p>
        </w:tc>
        <w:tc>
          <w:tcPr>
            <w:tcW w:w="1234" w:type="dxa"/>
          </w:tcPr>
          <w:p w14:paraId="30E24169">
            <w:pPr>
              <w:spacing w:after="0" w:line="240" w:lineRule="auto"/>
              <w:jc w:val="center"/>
            </w:pPr>
            <w:r>
              <w:rPr>
                <w:sz w:val="20"/>
              </w:rPr>
              <w:t>450</w:t>
            </w:r>
          </w:p>
        </w:tc>
        <w:tc>
          <w:tcPr>
            <w:tcW w:w="1234" w:type="dxa"/>
          </w:tcPr>
          <w:p w14:paraId="00BE0C64">
            <w:pPr>
              <w:spacing w:after="0" w:line="240" w:lineRule="auto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w="1234" w:type="dxa"/>
          </w:tcPr>
          <w:p w14:paraId="48EC7273">
            <w:pPr>
              <w:spacing w:after="0" w:line="240" w:lineRule="auto"/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w="1234" w:type="dxa"/>
          </w:tcPr>
          <w:p w14:paraId="30C3796F">
            <w:pPr>
              <w:spacing w:after="0" w:line="240" w:lineRule="auto"/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w="1234" w:type="dxa"/>
          </w:tcPr>
          <w:p w14:paraId="74E25DB3">
            <w:pPr>
              <w:spacing w:after="0" w:line="240" w:lineRule="auto"/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w="1234" w:type="dxa"/>
          </w:tcPr>
          <w:p w14:paraId="25A2E7B5">
            <w:pPr>
              <w:spacing w:after="0" w:line="240" w:lineRule="auto"/>
              <w:jc w:val="center"/>
            </w:pPr>
            <w:r>
              <w:rPr>
                <w:sz w:val="20"/>
              </w:rPr>
              <w:t>33%</w:t>
            </w:r>
          </w:p>
        </w:tc>
      </w:tr>
    </w:tbl>
    <w:p w14:paraId="07B8C0D0"/>
    <w:p w14:paraId="695F11CB">
      <w:pPr>
        <w:pStyle w:val="4"/>
      </w:pPr>
      <w:r>
        <w:rPr>
          <w:color w:val="1A56DB"/>
        </w:rPr>
        <w:t>7.3 财务分析</w:t>
      </w:r>
    </w:p>
    <w:p w14:paraId="7B47BD1C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盈亏平衡点：预计第2年初达到月度盈亏平衡，需要月付费用户约200个（客单价约150元/月）。</w:t>
      </w:r>
    </w:p>
    <w:p w14:paraId="33686D85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投资回报：假设天使轮估值500万元（出让10%），3年后项目估值预计达1500-2000万元，早期投资者可获得3-4倍回报。</w:t>
      </w:r>
    </w:p>
    <w:p w14:paraId="5EA8966F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关键假设：用户增长率基于宠物医疗市场增速（15%）保守估算；定价策略参照同类SaaS产品（如医疗影像AI）；研发成本基于云GPU租赁和开源模型优化。</w:t>
      </w:r>
    </w:p>
    <w:p w14:paraId="72693C4C">
      <w:r>
        <w:br w:type="page"/>
      </w:r>
    </w:p>
    <w:p w14:paraId="4534C700">
      <w:pPr>
        <w:pStyle w:val="3"/>
      </w:pPr>
      <w:r>
        <w:rPr>
          <w:color w:val="1A56DB"/>
        </w:rPr>
        <w:t>八、风险控制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F01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402B4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风险类型</w:t>
            </w:r>
          </w:p>
        </w:tc>
        <w:tc>
          <w:tcPr>
            <w:tcW w:w="1728" w:type="dxa"/>
          </w:tcPr>
          <w:p w14:paraId="7543117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具体风险</w:t>
            </w:r>
          </w:p>
        </w:tc>
        <w:tc>
          <w:tcPr>
            <w:tcW w:w="1728" w:type="dxa"/>
          </w:tcPr>
          <w:p w14:paraId="199A45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发生概率</w:t>
            </w:r>
          </w:p>
        </w:tc>
        <w:tc>
          <w:tcPr>
            <w:tcW w:w="1728" w:type="dxa"/>
          </w:tcPr>
          <w:p w14:paraId="00A8444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影响程度</w:t>
            </w:r>
          </w:p>
        </w:tc>
        <w:tc>
          <w:tcPr>
            <w:tcW w:w="1728" w:type="dxa"/>
          </w:tcPr>
          <w:p w14:paraId="4580261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应对措施</w:t>
            </w:r>
          </w:p>
        </w:tc>
      </w:tr>
      <w:tr w14:paraId="767D57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78D73B">
            <w:pPr>
              <w:spacing w:after="0" w:line="240" w:lineRule="auto"/>
              <w:jc w:val="center"/>
            </w:pPr>
            <w:r>
              <w:rPr>
                <w:sz w:val="20"/>
              </w:rPr>
              <w:t>技术风险</w:t>
            </w:r>
          </w:p>
        </w:tc>
        <w:tc>
          <w:tcPr>
            <w:tcW w:w="1728" w:type="dxa"/>
          </w:tcPr>
          <w:p w14:paraId="38E9E3DA">
            <w:pPr>
              <w:spacing w:after="0" w:line="240" w:lineRule="auto"/>
              <w:jc w:val="center"/>
            </w:pPr>
            <w:r>
              <w:rPr>
                <w:sz w:val="20"/>
              </w:rPr>
              <w:t>模型在复杂场景精度下降</w:t>
            </w:r>
          </w:p>
        </w:tc>
        <w:tc>
          <w:tcPr>
            <w:tcW w:w="1728" w:type="dxa"/>
          </w:tcPr>
          <w:p w14:paraId="39CD8709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7137E7F8">
            <w:pPr>
              <w:spacing w:after="0" w:line="240" w:lineRule="auto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3408F3EE">
            <w:pPr>
              <w:spacing w:after="0" w:line="240" w:lineRule="auto"/>
              <w:jc w:val="center"/>
            </w:pPr>
            <w:r>
              <w:rPr>
                <w:sz w:val="20"/>
              </w:rPr>
              <w:t>持续扩充训练数据，引入对抗训练和数据增强技术；建立用户反馈纠错机制</w:t>
            </w:r>
          </w:p>
        </w:tc>
      </w:tr>
      <w:tr w14:paraId="3D1A8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67DE48">
            <w:pPr>
              <w:spacing w:after="0" w:line="240" w:lineRule="auto"/>
              <w:jc w:val="center"/>
            </w:pPr>
            <w:r>
              <w:rPr>
                <w:sz w:val="20"/>
              </w:rPr>
              <w:t>技术风险</w:t>
            </w:r>
          </w:p>
        </w:tc>
        <w:tc>
          <w:tcPr>
            <w:tcW w:w="1728" w:type="dxa"/>
          </w:tcPr>
          <w:p w14:paraId="62B8FAD7">
            <w:pPr>
              <w:spacing w:after="0" w:line="240" w:lineRule="auto"/>
              <w:jc w:val="center"/>
            </w:pPr>
            <w:r>
              <w:rPr>
                <w:sz w:val="20"/>
              </w:rPr>
              <w:t>技术被模仿抄袭</w:t>
            </w:r>
          </w:p>
        </w:tc>
        <w:tc>
          <w:tcPr>
            <w:tcW w:w="1728" w:type="dxa"/>
          </w:tcPr>
          <w:p w14:paraId="767CA645">
            <w:pPr>
              <w:spacing w:after="0" w:line="240" w:lineRule="auto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70E93B97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47B660D0">
            <w:pPr>
              <w:spacing w:after="0" w:line="240" w:lineRule="auto"/>
              <w:jc w:val="center"/>
            </w:pPr>
            <w:r>
              <w:rPr>
                <w:sz w:val="20"/>
              </w:rPr>
              <w:t>申请发明专利保护三层级检测架构；构建数据壁垒（标注数据是核心竞争力）</w:t>
            </w:r>
          </w:p>
        </w:tc>
      </w:tr>
      <w:tr w14:paraId="74297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EB66D5">
            <w:pPr>
              <w:spacing w:after="0" w:line="240" w:lineRule="auto"/>
              <w:jc w:val="center"/>
            </w:pPr>
            <w:r>
              <w:rPr>
                <w:sz w:val="20"/>
              </w:rPr>
              <w:t>市场风险</w:t>
            </w:r>
          </w:p>
        </w:tc>
        <w:tc>
          <w:tcPr>
            <w:tcW w:w="1728" w:type="dxa"/>
          </w:tcPr>
          <w:p w14:paraId="3D89EDFE">
            <w:pPr>
              <w:spacing w:after="0" w:line="240" w:lineRule="auto"/>
              <w:jc w:val="center"/>
            </w:pPr>
            <w:r>
              <w:rPr>
                <w:sz w:val="20"/>
              </w:rPr>
              <w:t>用户增长不及预期</w:t>
            </w:r>
          </w:p>
        </w:tc>
        <w:tc>
          <w:tcPr>
            <w:tcW w:w="1728" w:type="dxa"/>
          </w:tcPr>
          <w:p w14:paraId="372E3743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2C6ED313">
            <w:pPr>
              <w:spacing w:after="0" w:line="240" w:lineRule="auto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030D99A7">
            <w:pPr>
              <w:spacing w:after="0" w:line="240" w:lineRule="auto"/>
              <w:jc w:val="center"/>
            </w:pPr>
            <w:r>
              <w:rPr>
                <w:sz w:val="20"/>
              </w:rPr>
              <w:t>聚焦高付费意愿的宠物医疗市场优先突破；与疾控中心建立标杆合作建立信任</w:t>
            </w:r>
          </w:p>
        </w:tc>
      </w:tr>
      <w:tr w14:paraId="4FDCA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54C025">
            <w:pPr>
              <w:spacing w:after="0" w:line="240" w:lineRule="auto"/>
              <w:jc w:val="center"/>
            </w:pPr>
            <w:r>
              <w:rPr>
                <w:sz w:val="20"/>
              </w:rPr>
              <w:t>市场风险</w:t>
            </w:r>
          </w:p>
        </w:tc>
        <w:tc>
          <w:tcPr>
            <w:tcW w:w="1728" w:type="dxa"/>
          </w:tcPr>
          <w:p w14:paraId="086996BD">
            <w:pPr>
              <w:spacing w:after="0" w:line="240" w:lineRule="auto"/>
              <w:jc w:val="center"/>
            </w:pPr>
            <w:r>
              <w:rPr>
                <w:sz w:val="20"/>
              </w:rPr>
              <w:t>政策变化影响需求</w:t>
            </w:r>
          </w:p>
        </w:tc>
        <w:tc>
          <w:tcPr>
            <w:tcW w:w="1728" w:type="dxa"/>
          </w:tcPr>
          <w:p w14:paraId="3F4CBD31">
            <w:pPr>
              <w:spacing w:after="0" w:line="240" w:lineRule="auto"/>
              <w:jc w:val="center"/>
            </w:pPr>
            <w:r>
              <w:rPr>
                <w:sz w:val="20"/>
              </w:rPr>
              <w:t>低</w:t>
            </w:r>
          </w:p>
        </w:tc>
        <w:tc>
          <w:tcPr>
            <w:tcW w:w="1728" w:type="dxa"/>
          </w:tcPr>
          <w:p w14:paraId="0735C8B0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407710C8">
            <w:pPr>
              <w:spacing w:after="0" w:line="240" w:lineRule="auto"/>
              <w:jc w:val="center"/>
            </w:pPr>
            <w:r>
              <w:rPr>
                <w:sz w:val="20"/>
              </w:rPr>
              <w:t>政策方向为利好（健康中国、智慧农业），密切关注行业监管动态灵活调整</w:t>
            </w:r>
          </w:p>
        </w:tc>
      </w:tr>
      <w:tr w14:paraId="399FDF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8E1CD5">
            <w:pPr>
              <w:spacing w:after="0" w:line="240" w:lineRule="auto"/>
              <w:jc w:val="center"/>
            </w:pPr>
            <w:r>
              <w:rPr>
                <w:sz w:val="20"/>
              </w:rPr>
              <w:t>运营风险</w:t>
            </w:r>
          </w:p>
        </w:tc>
        <w:tc>
          <w:tcPr>
            <w:tcW w:w="1728" w:type="dxa"/>
          </w:tcPr>
          <w:p w14:paraId="6AC1B205">
            <w:pPr>
              <w:spacing w:after="0" w:line="240" w:lineRule="auto"/>
              <w:jc w:val="center"/>
            </w:pPr>
            <w:r>
              <w:rPr>
                <w:sz w:val="20"/>
              </w:rPr>
              <w:t>单人团队可持续性</w:t>
            </w:r>
          </w:p>
        </w:tc>
        <w:tc>
          <w:tcPr>
            <w:tcW w:w="1728" w:type="dxa"/>
          </w:tcPr>
          <w:p w14:paraId="66E8A3E2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77C358B1">
            <w:pPr>
              <w:spacing w:after="0" w:line="240" w:lineRule="auto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32C11F55">
            <w:pPr>
              <w:spacing w:after="0" w:line="240" w:lineRule="auto"/>
              <w:jc w:val="center"/>
            </w:pPr>
            <w:r>
              <w:rPr>
                <w:sz w:val="20"/>
              </w:rPr>
              <w:t>第2年引入核心成员分担压力；建立标准化开发流程减少个人依赖</w:t>
            </w:r>
          </w:p>
        </w:tc>
      </w:tr>
      <w:tr w14:paraId="220AA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ADBDA7">
            <w:pPr>
              <w:spacing w:after="0" w:line="240" w:lineRule="auto"/>
              <w:jc w:val="center"/>
            </w:pPr>
            <w:r>
              <w:rPr>
                <w:sz w:val="20"/>
              </w:rPr>
              <w:t>财务风险</w:t>
            </w:r>
          </w:p>
        </w:tc>
        <w:tc>
          <w:tcPr>
            <w:tcW w:w="1728" w:type="dxa"/>
          </w:tcPr>
          <w:p w14:paraId="4035174B">
            <w:pPr>
              <w:spacing w:after="0" w:line="240" w:lineRule="auto"/>
              <w:jc w:val="center"/>
            </w:pPr>
            <w:r>
              <w:rPr>
                <w:sz w:val="20"/>
              </w:rPr>
              <w:t>融资不到位</w:t>
            </w:r>
          </w:p>
        </w:tc>
        <w:tc>
          <w:tcPr>
            <w:tcW w:w="1728" w:type="dxa"/>
          </w:tcPr>
          <w:p w14:paraId="0BA8CC62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47693774">
            <w:pPr>
              <w:spacing w:after="0" w:line="240" w:lineRule="auto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w="1728" w:type="dxa"/>
          </w:tcPr>
          <w:p w14:paraId="16B82302">
            <w:pPr>
              <w:spacing w:after="0" w:line="240" w:lineRule="auto"/>
              <w:jc w:val="center"/>
            </w:pPr>
            <w:r>
              <w:rPr>
                <w:sz w:val="20"/>
              </w:rPr>
              <w:t>申请政府创业补贴和科技计划项目；通过MVP小范围付费验证产生早期收入</w:t>
            </w:r>
          </w:p>
        </w:tc>
      </w:tr>
      <w:tr w14:paraId="5EBC83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A935BA">
            <w:pPr>
              <w:spacing w:after="0" w:line="240" w:lineRule="auto"/>
              <w:jc w:val="center"/>
            </w:pPr>
            <w:r>
              <w:rPr>
                <w:sz w:val="20"/>
              </w:rPr>
              <w:t>法律风险</w:t>
            </w:r>
          </w:p>
        </w:tc>
        <w:tc>
          <w:tcPr>
            <w:tcW w:w="1728" w:type="dxa"/>
          </w:tcPr>
          <w:p w14:paraId="4FDA3EA2">
            <w:pPr>
              <w:spacing w:after="0" w:line="240" w:lineRule="auto"/>
              <w:jc w:val="center"/>
            </w:pPr>
            <w:r>
              <w:rPr>
                <w:sz w:val="20"/>
              </w:rPr>
              <w:t>数据隐私合规</w:t>
            </w:r>
          </w:p>
        </w:tc>
        <w:tc>
          <w:tcPr>
            <w:tcW w:w="1728" w:type="dxa"/>
          </w:tcPr>
          <w:p w14:paraId="2DB6BFBC">
            <w:pPr>
              <w:spacing w:after="0" w:line="240" w:lineRule="auto"/>
              <w:jc w:val="center"/>
            </w:pPr>
            <w:r>
              <w:rPr>
                <w:sz w:val="20"/>
              </w:rPr>
              <w:t>低</w:t>
            </w:r>
          </w:p>
        </w:tc>
        <w:tc>
          <w:tcPr>
            <w:tcW w:w="1728" w:type="dxa"/>
          </w:tcPr>
          <w:p w14:paraId="0B0816DC">
            <w:pPr>
              <w:spacing w:after="0" w:line="240" w:lineRule="auto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w="1728" w:type="dxa"/>
          </w:tcPr>
          <w:p w14:paraId="24F16A11">
            <w:pPr>
              <w:spacing w:after="0" w:line="240" w:lineRule="auto"/>
              <w:jc w:val="center"/>
            </w:pPr>
            <w:r>
              <w:rPr>
                <w:sz w:val="20"/>
              </w:rPr>
              <w:t>聘请法律顾问确保合规；用户数据匿名化处理；采用联邦学习减少数据集中风险</w:t>
            </w:r>
          </w:p>
        </w:tc>
      </w:tr>
    </w:tbl>
    <w:p w14:paraId="23894D34"/>
    <w:p w14:paraId="24F5D6E5">
      <w:pPr>
        <w:pStyle w:val="4"/>
      </w:pPr>
      <w:r>
        <w:rPr>
          <w:color w:val="1A56DB"/>
        </w:rPr>
        <w:t>8.1 风险监控机制</w:t>
      </w:r>
    </w:p>
    <w:p w14:paraId="29A4BEA3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建立月度风险评估会议制度，持续跟踪7大类风险指标。设立预警阈值：用户月增长&lt;5%触发市场预警，模型精度下降&gt;2%触发技术预警，现金流&lt;3个月运营资金触发财务预警。每个预警指标有对应的应急预案。</w:t>
      </w:r>
    </w:p>
    <w:p w14:paraId="145A2F40">
      <w:r>
        <w:br w:type="page"/>
      </w:r>
    </w:p>
    <w:p w14:paraId="62B9BCA4">
      <w:pPr>
        <w:pStyle w:val="3"/>
      </w:pPr>
      <w:r>
        <w:rPr>
          <w:color w:val="1A56DB"/>
        </w:rPr>
        <w:t>结语</w:t>
      </w:r>
    </w:p>
    <w:p w14:paraId="644192D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智蜱卫士以"让每一次户外出行都远离蜱虫威胁"为使命，致力于成为国内蜱虫AI识别领域的领军者。我们深信，AI技术的力量不应停留在实验室，而应走进田野、走进社区、走进每一个需要它的角落。作为一支年轻而富有创造力的团队，我们拥有扎实的技术基础和清晰的商业路径，期待与投资人和合作伙伴携手，共同推动蜱虫防控技术的革新，为公共卫生事业贡献力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0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3205</Words>
  <Characters>3909</Characters>
  <Lines>0</Lines>
  <Paragraphs>0</Paragraphs>
  <TotalTime>4</TotalTime>
  <ScaleCrop>false</ScaleCrop>
  <LinksUpToDate>false</LinksUpToDate>
  <CharactersWithSpaces>3967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鑫</cp:lastModifiedBy>
  <dcterms:modified xsi:type="dcterms:W3CDTF">2026-05-09T14:38:32Z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eyJoZGlkIjoiYWE2YWUwMGY2YjA3NmYwMmY1NjYyNjU1NzhkYTliYmUiLCJ1c2VySWQiOiIxMjU4ODMxMDEzIn0=</vt:lpwstr>
  </property>
  <property fmtid="{D5CDD505-2E9C-101B-9397-08002B2CF9AE}" pid="3" name="KSOProductBuildVer">
    <vt:lpwstr>2052-12.1.0.25865</vt:lpwstr>
  </property>
  <property fmtid="{D5CDD505-2E9C-101B-9397-08002B2CF9AE}" pid="4" name="ICV">
    <vt:lpwstr>57CD54F68CD14E1AA2B7116F624B1B4B_12</vt:lpwstr>
  </property>
</Properties>
</file>