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ĐỒ ÁN TỐT NGHIỆP</w:t>
      </w:r>
    </w:p>
    <w:p>
      <w:pPr>
        <w:spacing w:after="200"/>
      </w:pPr>
      <w:r>
        <w:rPr>
          <w:b/>
          <w:bCs/>
          <w:color w:val="1F3864"/>
          <w:sz w:val="36"/>
          <w:szCs w:val="36"/>
        </w:rPr>
        <w:t xml:space="preserve">Kế hoạch Triển khai: Hệ thống Thử đồ ảo Trực tuyến</w:t>
      </w:r>
    </w:p>
    <w:p>
      <w:pPr>
        <w:spacing w:after="300"/>
      </w:pPr>
      <w:r>
        <w:rPr>
          <w:i/>
          <w:iCs/>
          <w:color w:val="2E74B5"/>
          <w:sz w:val="22"/>
          <w:szCs w:val="22"/>
        </w:rPr>
        <w:t xml:space="preserve">Phiên bản MVP Tinh gọn — Đảm bảo yếu tố đóng góp học thuật (Novelty)</w:t>
      </w:r>
    </w:p>
    <w:tbl>
      <w:tblPr>
        <w:tblW w:type="pct" w:w="10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6800"/>
      </w:tblGrid>
      <w:tr>
        <w:tc>
          <w:tcPr>
            <w:tcW w:type="dxa" w:w="2600"/>
            <w:shd w:fill="EDF2F8" w:val="clear"/>
            <w:tcMar>
              <w:top w:type="dxa" w:w="100"/>
              <w:left w:type="dxa" w:w="140"/>
              <w:bottom w:type="dxa" w:w="100"/>
              <w:right w:type="dxa" w:w="140"/>
            </w:tcMar>
          </w:tcPr>
          <w:p>
            <w:r>
              <w:rPr>
                <w:b/>
                <w:bCs/>
                <w:color w:val="1F3864"/>
                <w:sz w:val="21"/>
                <w:szCs w:val="21"/>
              </w:rPr>
              <w:t xml:space="preserve">Tên đề tài</w:t>
            </w:r>
          </w:p>
        </w:tc>
        <w:tc>
          <w:tcPr>
            <w:tcW w:type="dxa" w:w="6800"/>
            <w:tcMar>
              <w:top w:type="dxa" w:w="100"/>
              <w:left w:type="dxa" w:w="140"/>
              <w:bottom w:type="dxa" w:w="100"/>
              <w:right w:type="dxa" w:w="140"/>
            </w:tcMar>
          </w:tcPr>
          <w:p>
            <w:r>
              <w:rPr>
                <w:sz w:val="21"/>
                <w:szCs w:val="21"/>
              </w:rPr>
              <w:t xml:space="preserve">Xây dựng hệ thống thử đồ ảo trực tuyến trong thương mại điện tử</w:t>
            </w:r>
          </w:p>
        </w:tc>
      </w:tr>
      <w:tr>
        <w:tc>
          <w:tcPr>
            <w:tcW w:type="dxa" w:w="2600"/>
            <w:shd w:fill="EDF2F8" w:val="clear"/>
            <w:tcMar>
              <w:top w:type="dxa" w:w="100"/>
              <w:left w:type="dxa" w:w="140"/>
              <w:bottom w:type="dxa" w:w="100"/>
              <w:right w:type="dxa" w:w="140"/>
            </w:tcMar>
          </w:tcPr>
          <w:p>
            <w:r>
              <w:rPr>
                <w:b/>
                <w:bCs/>
                <w:color w:val="1F3864"/>
                <w:sz w:val="21"/>
                <w:szCs w:val="21"/>
              </w:rPr>
              <w:t xml:space="preserve">Lĩnh vực</w:t>
            </w:r>
          </w:p>
        </w:tc>
        <w:tc>
          <w:tcPr>
            <w:tcW w:type="dxa" w:w="6800"/>
            <w:tcMar>
              <w:top w:type="dxa" w:w="100"/>
              <w:left w:type="dxa" w:w="140"/>
              <w:bottom w:type="dxa" w:w="100"/>
              <w:right w:type="dxa" w:w="140"/>
            </w:tcMar>
          </w:tcPr>
          <w:p>
            <w:r>
              <w:rPr>
                <w:sz w:val="21"/>
                <w:szCs w:val="21"/>
              </w:rPr>
              <w:t xml:space="preserve">Computer Vision – Deep Learning</w:t>
            </w:r>
          </w:p>
        </w:tc>
      </w:tr>
      <w:tr>
        <w:tc>
          <w:tcPr>
            <w:tcW w:type="dxa" w:w="2600"/>
            <w:shd w:fill="EDF2F8" w:val="clear"/>
            <w:tcMar>
              <w:top w:type="dxa" w:w="100"/>
              <w:left w:type="dxa" w:w="140"/>
              <w:bottom w:type="dxa" w:w="100"/>
              <w:right w:type="dxa" w:w="140"/>
            </w:tcMar>
          </w:tcPr>
          <w:p>
            <w:r>
              <w:rPr>
                <w:b/>
                <w:bCs/>
                <w:color w:val="1F3864"/>
                <w:sz w:val="21"/>
                <w:szCs w:val="21"/>
              </w:rPr>
              <w:t xml:space="preserve">Thành viên</w:t>
            </w:r>
          </w:p>
        </w:tc>
        <w:tc>
          <w:tcPr>
            <w:tcW w:type="dxa" w:w="6800"/>
            <w:tcMar>
              <w:top w:type="dxa" w:w="100"/>
              <w:left w:type="dxa" w:w="140"/>
              <w:bottom w:type="dxa" w:w="100"/>
              <w:right w:type="dxa" w:w="140"/>
            </w:tcMar>
          </w:tcPr>
          <w:p>
            <w:r>
              <w:rPr>
                <w:sz w:val="21"/>
                <w:szCs w:val="21"/>
              </w:rPr>
              <w:t xml:space="preserve">Lê Như Tùng (B22DCKH114)   ·   Nguyễn Đình Tiến (B22DCKH108)</w:t>
            </w:r>
          </w:p>
        </w:tc>
      </w:tr>
      <w:tr>
        <w:tc>
          <w:tcPr>
            <w:tcW w:type="dxa" w:w="2600"/>
            <w:shd w:fill="EDF2F8" w:val="clear"/>
            <w:tcMar>
              <w:top w:type="dxa" w:w="100"/>
              <w:left w:type="dxa" w:w="140"/>
              <w:bottom w:type="dxa" w:w="100"/>
              <w:right w:type="dxa" w:w="140"/>
            </w:tcMar>
          </w:tcPr>
          <w:p>
            <w:r>
              <w:rPr>
                <w:b/>
                <w:bCs/>
                <w:color w:val="1F3864"/>
                <w:sz w:val="21"/>
                <w:szCs w:val="21"/>
              </w:rPr>
              <w:t xml:space="preserve">Thời lượng</w:t>
            </w:r>
          </w:p>
        </w:tc>
        <w:tc>
          <w:tcPr>
            <w:tcW w:type="dxa" w:w="6800"/>
            <w:tcMar>
              <w:top w:type="dxa" w:w="100"/>
              <w:left w:type="dxa" w:w="140"/>
              <w:bottom w:type="dxa" w:w="100"/>
              <w:right w:type="dxa" w:w="140"/>
            </w:tcMar>
          </w:tcPr>
          <w:p>
            <w:r>
              <w:rPr>
                <w:sz w:val="21"/>
                <w:szCs w:val="21"/>
              </w:rPr>
              <w:t xml:space="preserve">3–4 tháng</w:t>
            </w:r>
          </w:p>
        </w:tc>
      </w:tr>
    </w:tbl>
    <w:p>
      <w:pPr>
        <w:spacing w:after="200"/>
      </w:pPr>
    </w:p>
    <w:p>
      <w:pPr>
        <w:pStyle w:val="Heading1"/>
        <w:pBdr>
          <w:bottom w:val="single" w:color="2E74B5" w:sz="6" w:space="4"/>
        </w:pBdr>
        <w:spacing w:after="160" w:before="360"/>
      </w:pPr>
      <w:r>
        <w:rPr>
          <w:b/>
          <w:bCs/>
          <w:color w:val="1F3864"/>
          <w:sz w:val="28"/>
          <w:szCs w:val="28"/>
        </w:rPr>
        <w:t xml:space="preserve">1. Mục tiêu</w:t>
      </w:r>
    </w:p>
    <w:p>
      <w:pPr>
        <w:spacing w:after="120" w:line="300"/>
      </w:pPr>
      <w:r>
        <w:rPr>
          <w:sz w:val="22"/>
          <w:szCs w:val="22"/>
        </w:rPr>
        <w:t xml:space="preserve">Tập trung làm ra một sản phẩm "Proof of Concept" chạy được, hoàn thành cốt lõi AI và giao diện web cơ bản trong thời gian 3–4 tháng của một đồ án tốt nghiệp, tránh bị "bội thực" công nghệ — đồng thời đảm bảo có yếu tố đóng góp học thuật rõ ràng khi bảo vệ.</w:t>
      </w:r>
    </w:p>
    <w:p>
      <w:pPr>
        <w:pStyle w:val="Heading1"/>
        <w:pBdr>
          <w:bottom w:val="single" w:color="2E74B5" w:sz="6" w:space="4"/>
        </w:pBdr>
        <w:spacing w:after="160" w:before="360"/>
      </w:pPr>
      <w:r>
        <w:rPr>
          <w:b/>
          <w:bCs/>
          <w:color w:val="1F3864"/>
          <w:sz w:val="28"/>
          <w:szCs w:val="28"/>
        </w:rPr>
        <w:t xml:space="preserve">2. Scope đã chốt</w:t>
      </w:r>
    </w:p>
    <w:p>
      <w:pPr>
        <w:pStyle w:val="ListParagraph"/>
        <w:numPr>
          <w:ilvl w:val="0"/>
          <w:numId w:val="2"/>
        </w:numPr>
        <w:spacing w:after="80" w:line="280"/>
      </w:pPr>
      <w:r>
        <w:rPr>
          <w:b/>
          <w:bCs/>
          <w:color w:val="1F3864"/>
          <w:sz w:val="22"/>
          <w:szCs w:val="22"/>
        </w:rPr>
        <w:t xml:space="preserve">Tinh giản AI Pipeline — </w:t>
      </w:r>
      <w:r>
        <w:rPr>
          <w:sz w:val="22"/>
          <w:szCs w:val="22"/>
        </w:rPr>
        <w:t xml:space="preserve">Bỏ bước TPS Warping truyền thống. Tập trung cấu hình đúng 1 container AI chạy mô hình Diffusion đầu cuối (CatVTON/IDM-VTON), model tự xử lý pose/mask bên trong.</w:t>
      </w:r>
    </w:p>
    <w:p>
      <w:pPr>
        <w:pStyle w:val="ListParagraph"/>
        <w:numPr>
          <w:ilvl w:val="0"/>
          <w:numId w:val="2"/>
        </w:numPr>
        <w:spacing w:after="80" w:line="280"/>
      </w:pPr>
      <w:r>
        <w:rPr>
          <w:b/>
          <w:bCs/>
          <w:color w:val="1F3864"/>
          <w:sz w:val="22"/>
          <w:szCs w:val="22"/>
        </w:rPr>
        <w:t xml:space="preserve">Hạ tầng GPU (chốt phương án) — </w:t>
      </w:r>
      <w:r>
        <w:rPr>
          <w:sz w:val="22"/>
          <w:szCs w:val="22"/>
        </w:rPr>
        <w:t xml:space="preserve">Giai đoạn 0 dùng Google Colab/Kaggle (miễn phí) để thẩm định mô hình. Từ Giai đoạn 1 trở đi, thuê RunPod/Vast.ai làm API server sống ổn định cho ai-service. Không dùng Colab/Kaggle để chạy API vì thiếu ổn định, dễ ngắt kết nối.</w:t>
      </w:r>
    </w:p>
    <w:p>
      <w:pPr>
        <w:pStyle w:val="ListParagraph"/>
        <w:numPr>
          <w:ilvl w:val="0"/>
          <w:numId w:val="2"/>
        </w:numPr>
        <w:spacing w:after="80" w:line="280"/>
      </w:pPr>
      <w:r>
        <w:rPr>
          <w:b/>
          <w:bCs/>
          <w:color w:val="1F3864"/>
          <w:sz w:val="22"/>
          <w:szCs w:val="22"/>
        </w:rPr>
        <w:t xml:space="preserve">Cấu trúc 2 services — </w:t>
      </w:r>
      <w:r>
        <w:rPr>
          <w:sz w:val="22"/>
          <w:szCs w:val="22"/>
        </w:rPr>
        <w:t xml:space="preserve">Chia rõ ranh giới: ai-service (RunPod/Cloud) và web-service (Frontend + Backend + MinIO, chạy Local/VPS). Hai bên giao tiếp qua api_contract.md thống nhất trước.</w:t>
      </w:r>
    </w:p>
    <w:p>
      <w:pPr>
        <w:pStyle w:val="ListParagraph"/>
        <w:numPr>
          <w:ilvl w:val="0"/>
          <w:numId w:val="2"/>
        </w:numPr>
        <w:spacing w:after="80" w:line="280"/>
      </w:pPr>
      <w:r>
        <w:rPr>
          <w:b/>
          <w:bCs/>
          <w:color w:val="1F3864"/>
          <w:sz w:val="22"/>
          <w:szCs w:val="22"/>
        </w:rPr>
        <w:t xml:space="preserve">Cắt bỏ tính năng phụ — </w:t>
      </w:r>
      <w:r>
        <w:rPr>
          <w:sz w:val="22"/>
          <w:szCs w:val="22"/>
        </w:rPr>
        <w:t xml:space="preserve">Bỏ Message Queue (Redis/Celery), bỏ Authentication, bỏ CRUD phức tạp. Danh sách sản phẩm seed cứng (~20 mẫu).</w:t>
      </w:r>
    </w:p>
    <w:p>
      <w:pPr>
        <w:pStyle w:val="Heading1"/>
        <w:pBdr>
          <w:bottom w:val="single" w:color="2E74B5" w:sz="6" w:space="4"/>
        </w:pBdr>
        <w:spacing w:after="160" w:before="360"/>
      </w:pPr>
      <w:r>
        <w:rPr>
          <w:b/>
          <w:bCs/>
          <w:color w:val="1F3864"/>
          <w:sz w:val="28"/>
          <w:szCs w:val="28"/>
        </w:rPr>
        <w:t xml:space="preserve">3. Luồng công việc song song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3864" w:val="clear"/>
            <w:tcMar>
              <w:top w:type="dxa" w:w="100"/>
              <w:left w:type="dxa" w:w="180"/>
              <w:bottom w:type="dxa" w:w="100"/>
              <w:right w:type="dxa" w:w="180"/>
            </w:tcMar>
          </w:tcPr>
          <w:p>
            <w:pPr>
              <w:spacing w:after="0"/>
            </w:pPr>
            <w:r>
              <w:rPr>
                <w:b/>
                <w:bCs/>
                <w:color w:val="FFFFFF"/>
                <w:sz w:val="23"/>
                <w:szCs w:val="23"/>
              </w:rPr>
              <w:t xml:space="preserve">Giai đoạn 0 — Thẩm định cốt lõi AI  (Ưu tiên số 1, làm chung)</w:t>
            </w:r>
          </w:p>
        </w:tc>
      </w:tr>
    </w:tbl>
    <w:p>
      <w:pPr>
        <w:spacing w:after="100"/>
      </w:pPr>
    </w:p>
    <w:p>
      <w:pPr>
        <w:pStyle w:val="ListParagraph"/>
        <w:numPr>
          <w:ilvl w:val="0"/>
          <w:numId w:val="2"/>
        </w:numPr>
        <w:spacing w:after="80" w:line="280"/>
      </w:pPr>
      <w:r>
        <w:rPr>
          <w:sz w:val="22"/>
          <w:szCs w:val="22"/>
        </w:rPr>
        <w:t xml:space="preserve">Cả 2 thành viên cùng chạy thử CatVTON trần trụi trên Colab/Kaggle với 10 ảnh người &amp; 10 ảnh áo — đánh giá tốc độ và chất lượng ảnh đầu ra trước khi code hệ thống.</w:t>
      </w:r>
    </w:p>
    <w:p>
      <w:pPr>
        <w:pStyle w:val="ListParagraph"/>
        <w:numPr>
          <w:ilvl w:val="0"/>
          <w:numId w:val="2"/>
        </w:numPr>
        <w:spacing w:after="80" w:line="280"/>
      </w:pPr>
      <w:r>
        <w:rPr>
          <w:sz w:val="22"/>
          <w:szCs w:val="22"/>
        </w:rPr>
        <w:t xml:space="preserve">Thống nhất API Contract: quy định rõ format JSON gửi/nhận giữa 2 service.</w:t>
      </w:r>
    </w:p>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3864" w:val="clear"/>
            <w:tcMar>
              <w:top w:type="dxa" w:w="100"/>
              <w:left w:type="dxa" w:w="180"/>
              <w:bottom w:type="dxa" w:w="100"/>
              <w:right w:type="dxa" w:w="180"/>
            </w:tcMar>
          </w:tcPr>
          <w:p>
            <w:pPr>
              <w:spacing w:after="0"/>
            </w:pPr>
            <w:r>
              <w:rPr>
                <w:b/>
                <w:bCs/>
                <w:color w:val="FFFFFF"/>
                <w:sz w:val="23"/>
                <w:szCs w:val="23"/>
              </w:rPr>
              <w:t xml:space="preserve">Giai đoạn 1 — Triển khai đồng thời</w:t>
            </w:r>
          </w:p>
        </w:tc>
      </w:tr>
    </w:tbl>
    <w:p>
      <w:pPr>
        <w:spacing w:after="140"/>
      </w:pPr>
    </w:p>
    <w:p>
      <w:pPr>
        <w:spacing w:after="120" w:line="300"/>
      </w:pPr>
      <w:r>
        <w:rPr>
          <w:b/>
          <w:bCs/>
          <w:color w:val="1F3864"/>
          <w:sz w:val="22"/>
          <w:szCs w:val="22"/>
        </w:rPr>
        <w:t xml:space="preserve">Thành viên A — phụ trách AI (ai-service)</w:t>
      </w:r>
    </w:p>
    <w:p>
      <w:pPr>
        <w:pStyle w:val="ListParagraph"/>
        <w:numPr>
          <w:ilvl w:val="0"/>
          <w:numId w:val="2"/>
        </w:numPr>
        <w:spacing w:after="80" w:line="280"/>
      </w:pPr>
      <w:r>
        <w:rPr>
          <w:sz w:val="22"/>
          <w:szCs w:val="22"/>
        </w:rPr>
        <w:t xml:space="preserve">Xây dựng script Python nhận 2 URL ảnh → chạy CatVTON → xuất ảnh mới.</w:t>
      </w:r>
    </w:p>
    <w:p>
      <w:pPr>
        <w:pStyle w:val="ListParagraph"/>
        <w:numPr>
          <w:ilvl w:val="0"/>
          <w:numId w:val="2"/>
        </w:numPr>
        <w:spacing w:after="80" w:line="280"/>
      </w:pPr>
      <w:r>
        <w:rPr>
          <w:sz w:val="22"/>
          <w:szCs w:val="22"/>
        </w:rPr>
        <w:t xml:space="preserve">Bọc script bằng FastAPI thành API độc lập, tuân theo api_contract.md.</w:t>
      </w:r>
    </w:p>
    <w:p>
      <w:pPr>
        <w:pStyle w:val="ListParagraph"/>
        <w:numPr>
          <w:ilvl w:val="0"/>
          <w:numId w:val="2"/>
        </w:numPr>
        <w:spacing w:after="80" w:line="280"/>
      </w:pPr>
      <w:r>
        <w:rPr>
          <w:sz w:val="22"/>
          <w:szCs w:val="22"/>
        </w:rPr>
        <w:t xml:space="preserve">Deploy API lên Cloud GPU (RunPod/Vast.ai) để có public endpoint ổn định cho Thành viên B test.</w:t>
      </w:r>
    </w:p>
    <w:p>
      <w:pPr>
        <w:spacing w:after="140"/>
      </w:pPr>
    </w:p>
    <w:p>
      <w:pPr>
        <w:spacing w:after="120" w:line="300"/>
      </w:pPr>
      <w:r>
        <w:rPr>
          <w:b/>
          <w:bCs/>
          <w:color w:val="1F3864"/>
          <w:sz w:val="22"/>
          <w:szCs w:val="22"/>
        </w:rPr>
        <w:t xml:space="preserve">Thành viên B — phụ trách Web &amp; Infra (web-service)</w:t>
      </w:r>
    </w:p>
    <w:p>
      <w:pPr>
        <w:pStyle w:val="ListParagraph"/>
        <w:numPr>
          <w:ilvl w:val="0"/>
          <w:numId w:val="2"/>
        </w:numPr>
        <w:spacing w:after="80" w:line="280"/>
      </w:pPr>
      <w:r>
        <w:rPr>
          <w:sz w:val="22"/>
          <w:szCs w:val="22"/>
        </w:rPr>
        <w:t xml:space="preserve">Setup Backend FastAPI, Frontend React và MinIO.</w:t>
      </w:r>
    </w:p>
    <w:p>
      <w:pPr>
        <w:pStyle w:val="ListParagraph"/>
        <w:numPr>
          <w:ilvl w:val="0"/>
          <w:numId w:val="2"/>
        </w:numPr>
        <w:spacing w:after="80" w:line="280"/>
      </w:pPr>
      <w:r>
        <w:rPr>
          <w:sz w:val="22"/>
          <w:szCs w:val="22"/>
        </w:rPr>
        <w:t xml:space="preserve">Mock data danh sách 20 sản phẩm.</w:t>
      </w:r>
    </w:p>
    <w:p>
      <w:pPr>
        <w:pStyle w:val="ListParagraph"/>
        <w:numPr>
          <w:ilvl w:val="0"/>
          <w:numId w:val="2"/>
        </w:numPr>
        <w:spacing w:after="80" w:line="280"/>
      </w:pPr>
      <w:r>
        <w:rPr>
          <w:sz w:val="22"/>
          <w:szCs w:val="22"/>
        </w:rPr>
        <w:t xml:space="preserve">Code luồng UI: chọn áo mẫu → upload ảnh bản thân → gọi ai-service (endpoint từ TV A) → hiển thị kết quả.</w:t>
      </w:r>
    </w:p>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3864" w:val="clear"/>
            <w:tcMar>
              <w:top w:type="dxa" w:w="100"/>
              <w:left w:type="dxa" w:w="180"/>
              <w:bottom w:type="dxa" w:w="100"/>
              <w:right w:type="dxa" w:w="180"/>
            </w:tcMar>
          </w:tcPr>
          <w:p>
            <w:pPr>
              <w:spacing w:after="0"/>
            </w:pPr>
            <w:r>
              <w:rPr>
                <w:b/>
                <w:bCs/>
                <w:color w:val="FFFFFF"/>
                <w:sz w:val="23"/>
                <w:szCs w:val="23"/>
              </w:rPr>
              <w:t xml:space="preserve">Giai đoạn 2 — Tích hợp và viết báo cáo  (làm chung)</w:t>
            </w:r>
          </w:p>
        </w:tc>
      </w:tr>
    </w:tbl>
    <w:p>
      <w:pPr>
        <w:spacing w:after="100"/>
      </w:pPr>
    </w:p>
    <w:p>
      <w:pPr>
        <w:pStyle w:val="ListParagraph"/>
        <w:numPr>
          <w:ilvl w:val="0"/>
          <w:numId w:val="2"/>
        </w:numPr>
        <w:spacing w:after="80" w:line="280"/>
      </w:pPr>
      <w:r>
        <w:rPr>
          <w:sz w:val="22"/>
          <w:szCs w:val="22"/>
        </w:rPr>
        <w:t xml:space="preserve">End-to-end testing, debug các lỗi timeout khi AI xử lý lâu.</w:t>
      </w:r>
    </w:p>
    <w:p>
      <w:pPr>
        <w:pStyle w:val="ListParagraph"/>
        <w:numPr>
          <w:ilvl w:val="0"/>
          <w:numId w:val="2"/>
        </w:numPr>
        <w:spacing w:after="80" w:line="280"/>
      </w:pPr>
      <w:r>
        <w:rPr>
          <w:sz w:val="22"/>
          <w:szCs w:val="22"/>
        </w:rPr>
        <w:t xml:space="preserve">Benchmark: đo tốc độ inference thực tế, đánh giá chất lượng (FID/KID nếu cần).</w:t>
      </w:r>
    </w:p>
    <w:p>
      <w:pPr>
        <w:pStyle w:val="ListParagraph"/>
        <w:numPr>
          <w:ilvl w:val="0"/>
          <w:numId w:val="2"/>
        </w:numPr>
        <w:spacing w:after="80" w:line="280"/>
      </w:pPr>
      <w:r>
        <w:rPr>
          <w:sz w:val="22"/>
          <w:szCs w:val="22"/>
        </w:rPr>
        <w:t xml:space="preserve">Quay video demo dự phòng, viết slide bảo vệ và báo cáo.</w:t>
      </w:r>
    </w:p>
    <w:p>
      <w:pPr>
        <w:pStyle w:val="Heading1"/>
        <w:pBdr>
          <w:bottom w:val="single" w:color="2E74B5" w:sz="6" w:space="4"/>
        </w:pBdr>
        <w:spacing w:after="160" w:before="360"/>
      </w:pPr>
      <w:r>
        <w:rPr>
          <w:b/>
          <w:bCs/>
          <w:color w:val="1F3864"/>
          <w:sz w:val="28"/>
          <w:szCs w:val="28"/>
        </w:rPr>
        <w:t xml:space="preserve">4. Stretch Goals (nếu còn thời gian)</w:t>
      </w:r>
    </w:p>
    <w:p>
      <w:pPr>
        <w:pStyle w:val="ListParagraph"/>
        <w:numPr>
          <w:ilvl w:val="0"/>
          <w:numId w:val="2"/>
        </w:numPr>
        <w:spacing w:after="80" w:line="280"/>
      </w:pPr>
      <w:r>
        <w:rPr>
          <w:b/>
          <w:bCs/>
          <w:color w:val="1F3864"/>
          <w:sz w:val="22"/>
          <w:szCs w:val="22"/>
        </w:rPr>
        <w:t xml:space="preserve">Cải tiến AI — đóng góp học thuật (novelty): </w:t>
      </w:r>
      <w:r>
        <w:rPr>
          <w:sz w:val="22"/>
          <w:szCs w:val="22"/>
        </w:rPr>
        <w:t xml:space="preserve">Fine-tune (LoRA) nhẹ CatVTON trên tập ảnh trang phục Việt Nam (áo dài, đồ truyền thống). So sánh chất lượng sinh ảnh trước/sau fine-tune trong báo cáo.</w:t>
      </w:r>
    </w:p>
    <w:p>
      <w:pPr>
        <w:pStyle w:val="ListParagraph"/>
        <w:numPr>
          <w:ilvl w:val="0"/>
          <w:numId w:val="2"/>
        </w:numPr>
        <w:spacing w:after="80" w:line="280"/>
      </w:pPr>
      <w:r>
        <w:rPr>
          <w:b/>
          <w:bCs/>
          <w:color w:val="1F3864"/>
          <w:sz w:val="22"/>
          <w:szCs w:val="22"/>
        </w:rPr>
        <w:t xml:space="preserve">Nâng cấp hạ tầng: </w:t>
      </w:r>
      <w:r>
        <w:rPr>
          <w:sz w:val="22"/>
          <w:szCs w:val="22"/>
        </w:rPr>
        <w:t xml:space="preserve">Thêm Message Queue (Redis/Celery) để xếp hàng job, tránh sập GPU khi nhiều request cùng lúc. Tích hợp Authentication.</w:t>
      </w:r>
    </w:p>
    <w:p>
      <w:pPr>
        <w:pStyle w:val="Heading1"/>
        <w:pBdr>
          <w:bottom w:val="single" w:color="2E74B5" w:sz="6" w:space="4"/>
        </w:pBdr>
        <w:spacing w:after="160" w:before="360"/>
      </w:pPr>
      <w:r>
        <w:rPr>
          <w:b/>
          <w:bCs/>
          <w:color w:val="1F3864"/>
          <w:sz w:val="28"/>
          <w:szCs w:val="28"/>
        </w:rPr>
        <w:t xml:space="preserve">5. Lưu ý khi triển khai</w:t>
      </w:r>
    </w:p>
    <w:p>
      <w:pPr>
        <w:spacing w:after="120" w:line="300"/>
      </w:pPr>
      <w:r>
        <w:rPr>
          <w:sz w:val="22"/>
          <w:szCs w:val="22"/>
        </w:rPr>
        <w:t xml:space="preserve">Ba điểm cần theo dõi sát trong quá trình thực thi — không làm thay đổi kế hoạch, nhưng nếu bỏ qua dễ vướng vào phút chót:</w:t>
      </w:r>
    </w:p>
    <w:p>
      <w:pPr>
        <w:spacing w:after="80"/>
      </w:pPr>
    </w:p>
    <w:tbl>
      <w:tblPr>
        <w:tblW w:type="pct" w:w="100%"/>
        <w:tblBorders>
          <w:top w:val="single" w:color="F0B429" w:sz="4"/>
          <w:left w:val="single" w:color="F0B429" w:sz="4"/>
          <w:bottom w:val="single" w:color="F0B429" w:sz="4"/>
          <w:right w:val="single" w:color="F0B429" w:sz="4"/>
          <w:insideH w:val="none" w:color="FFFFFF" w:sz="0"/>
          <w:insideV w:val="none" w:color="FFFFFF" w:sz="0"/>
        </w:tblBorders>
      </w:tblPr>
      <w:tblGrid>
        <w:gridCol w:w="100"/>
      </w:tblGrid>
      <w:tr>
        <w:tc>
          <w:tcPr>
            <w:shd w:fill="FDF2E3" w:val="clear"/>
            <w:tcMar>
              <w:top w:type="dxa" w:w="140"/>
              <w:left w:type="dxa" w:w="180"/>
              <w:bottom w:type="dxa" w:w="140"/>
              <w:right w:type="dxa" w:w="180"/>
            </w:tcMar>
          </w:tcPr>
          <w:p>
            <w:pPr>
              <w:spacing w:after="60"/>
            </w:pPr>
            <w:r>
              <w:rPr>
                <w:b/>
                <w:bCs/>
                <w:color w:val="8A6D00"/>
                <w:sz w:val="21"/>
                <w:szCs w:val="21"/>
              </w:rPr>
              <w:t xml:space="preserve">① Cold start của RunPod/Vast.ai — rủi ro lớn nhất cho ngày bảo vệ</w:t>
            </w:r>
          </w:p>
          <w:p>
            <w:pPr>
              <w:spacing w:after="0" w:line="280"/>
            </w:pPr>
            <w:r>
              <w:rPr>
                <w:color w:val="3B3B3B"/>
                <w:sz w:val="21"/>
                <w:szCs w:val="21"/>
              </w:rPr>
              <w:t xml:space="preserve">Nếu dùng GPU serverless (trả theo giây, tự sleep khi rảnh), request đầu tiên sau thời gian nghỉ có thể mất 30s–vài phút để khởi động lại + load model vào VRAM. Cần dùng pod "always-on" trong ngày bảo vệ, hoặc có bước warm-up endpoint trước vài phút khi chuẩn bị demo — nên đưa vào checklist Giai đoạn 2.</w:t>
            </w:r>
          </w:p>
        </w:tc>
      </w:tr>
    </w:tbl>
    <w:p>
      <w:pPr>
        <w:spacing w:after="140"/>
      </w:pPr>
    </w:p>
    <w:tbl>
      <w:tblPr>
        <w:tblW w:type="pct" w:w="100%"/>
        <w:tblBorders>
          <w:top w:val="single" w:color="F0B429" w:sz="4"/>
          <w:left w:val="single" w:color="F0B429" w:sz="4"/>
          <w:bottom w:val="single" w:color="F0B429" w:sz="4"/>
          <w:right w:val="single" w:color="F0B429" w:sz="4"/>
          <w:insideH w:val="none" w:color="FFFFFF" w:sz="0"/>
          <w:insideV w:val="none" w:color="FFFFFF" w:sz="0"/>
        </w:tblBorders>
      </w:tblPr>
      <w:tblGrid>
        <w:gridCol w:w="100"/>
      </w:tblGrid>
      <w:tr>
        <w:tc>
          <w:tcPr>
            <w:shd w:fill="FDF2E3" w:val="clear"/>
            <w:tcMar>
              <w:top w:type="dxa" w:w="140"/>
              <w:left w:type="dxa" w:w="180"/>
              <w:bottom w:type="dxa" w:w="140"/>
              <w:right w:type="dxa" w:w="180"/>
            </w:tcMar>
          </w:tcPr>
          <w:p>
            <w:pPr>
              <w:spacing w:after="60"/>
            </w:pPr>
            <w:r>
              <w:rPr>
                <w:b/>
                <w:bCs/>
                <w:color w:val="8A6D00"/>
                <w:sz w:val="21"/>
                <w:szCs w:val="21"/>
              </w:rPr>
              <w:t xml:space="preserve">② Dataset áo dài / trang phục Việt Nam cho LoRA — xác định nguồn trước khi commit</w:t>
            </w:r>
          </w:p>
          <w:p>
            <w:pPr>
              <w:spacing w:after="0" w:line="280"/>
            </w:pPr>
            <w:r>
              <w:rPr>
                <w:color w:val="3B3B3B"/>
                <w:sz w:val="21"/>
                <w:szCs w:val="21"/>
              </w:rPr>
              <w:t xml:space="preserve">VITON-HD/DressCode gần như không có trang phục truyền thống Việt Nam. Nếu không có sẵn dataset paired (ảnh người mặc + ảnh áo rời), việc thu thập/gắn nhãn có thể tốn thời gian hơn cả fine-tune. Nên dành 1–2 buổi khảo sát nguồn dữ liệu khả dụng trước khi chính thức đưa stretch goal #1 vào kế hoạch, tránh phát hiện ra phải tốn nhiều tuần chỉ để gom data.</w:t>
            </w:r>
          </w:p>
        </w:tc>
      </w:tr>
    </w:tbl>
    <w:p>
      <w:pPr>
        <w:spacing w:after="140"/>
      </w:pPr>
    </w:p>
    <w:tbl>
      <w:tblPr>
        <w:tblW w:type="pct" w:w="100%"/>
        <w:tblBorders>
          <w:top w:val="single" w:color="F0B429" w:sz="4"/>
          <w:left w:val="single" w:color="F0B429" w:sz="4"/>
          <w:bottom w:val="single" w:color="F0B429" w:sz="4"/>
          <w:right w:val="single" w:color="F0B429" w:sz="4"/>
          <w:insideH w:val="none" w:color="FFFFFF" w:sz="0"/>
          <w:insideV w:val="none" w:color="FFFFFF" w:sz="0"/>
        </w:tblBorders>
      </w:tblPr>
      <w:tblGrid>
        <w:gridCol w:w="100"/>
      </w:tblGrid>
      <w:tr>
        <w:tc>
          <w:tcPr>
            <w:shd w:fill="FDF2E3" w:val="clear"/>
            <w:tcMar>
              <w:top w:type="dxa" w:w="140"/>
              <w:left w:type="dxa" w:w="180"/>
              <w:bottom w:type="dxa" w:w="140"/>
              <w:right w:type="dxa" w:w="180"/>
            </w:tcMar>
          </w:tcPr>
          <w:p>
            <w:pPr>
              <w:spacing w:after="60"/>
            </w:pPr>
            <w:r>
              <w:rPr>
                <w:b/>
                <w:bCs/>
                <w:color w:val="8A6D00"/>
                <w:sz w:val="21"/>
                <w:szCs w:val="21"/>
              </w:rPr>
              <w:t xml:space="preserve">③ Eval set cho FID/KID cần lớn hơn tập thử ở Giai đoạn 0</w:t>
            </w:r>
          </w:p>
          <w:p>
            <w:pPr>
              <w:spacing w:after="0" w:line="280"/>
            </w:pPr>
            <w:r>
              <w:rPr>
                <w:color w:val="3B3B3B"/>
                <w:sz w:val="21"/>
                <w:szCs w:val="21"/>
              </w:rPr>
              <w:t xml:space="preserve">10 ảnh người / 10 ảnh áo chỉ đủ để kiểm tra nhanh ở Giai đoạn 0. Để tính FID/KID có ý nghĩa thống kê trong báo cáo (Giai đoạn 2), cần một tập eval riêng, lớn hơn đáng kể — khoảng 50–100 ảnh — tránh số liệu nhiễu khi bị hội đồng chất vấn.</w:t>
            </w:r>
          </w:p>
        </w:tc>
      </w:tr>
    </w:tbl>
    <w:p>
      <w:pPr>
        <w:spacing w:after="300"/>
      </w:pPr>
    </w:p>
    <w:p>
      <w:pPr>
        <w:pBdr>
          <w:top w:val="single" w:color="D0D5DD" w:sz="4" w:space="8"/>
        </w:pBdr>
        <w:spacing w:before="100"/>
      </w:pPr>
      <w:r>
        <w:rPr>
          <w:i/>
          <w:iCs/>
          <w:color w:val="595959"/>
          <w:sz w:val="18"/>
          <w:szCs w:val="18"/>
        </w:rPr>
        <w:t xml:space="preserve">Tài liệu tổng hợp dựa trên quá trình trao đổi và phản biện kế hoạch đồ án.</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2026-08-15T05:40:37.749Z</dcterms:created>
  <dcterms:modified xsi:type="dcterms:W3CDTF">2026-08-15T05:40:37.760Z</dcterms:modified>
</cp:coreProperties>
</file>

<file path=docProps/custom.xml><?xml version="1.0" encoding="utf-8"?>
<Properties xmlns="http://schemas.openxmlformats.org/officeDocument/2006/custom-properties" xmlns:vt="http://schemas.openxmlformats.org/officeDocument/2006/docPropsVTypes"/>
</file>