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DOCUSIGN TEMPLATE SETUP NOTES</w:t>
      </w:r>
    </w:p>
    <w:p>
      <w:pPr>
        <w:jc w:val="center"/>
      </w:pPr>
      <w:r>
        <w:rPr>
          <w:i/>
          <w:color w:val="666666"/>
        </w:rPr>
        <w:t>Delete this page before sending the template for signature.</w:t>
      </w:r>
    </w:p>
    <w:p/>
    <w:p>
      <w:pPr>
        <w:spacing w:after="80"/>
      </w:pPr>
      <w:r>
        <w:rPr>
          <w:b/>
          <w:i w:val="0"/>
          <w:sz w:val="22"/>
        </w:rPr>
        <w:t>Recipient roles to create in DocuSign</w:t>
      </w:r>
      <w:r>
        <w:rPr>
          <w:b w:val="0"/>
          <w:i w:val="0"/>
          <w:sz w:val="22"/>
        </w:rPr>
        <w:t xml:space="preserve"> (Manage &gt; Templates &gt; New Template &gt; Add Recipients):</w:t>
      </w:r>
    </w:p>
    <w:p>
      <w:pPr>
        <w:spacing w:after="120"/>
        <w:ind w:left="504" w:hanging="504"/>
      </w:pPr>
      <w:r>
        <w:rPr>
          <w:sz w:val="22"/>
        </w:rPr>
        <w:t xml:space="preserve">•  </w:t>
      </w:r>
      <w:r>
        <w:rPr>
          <w:b/>
          <w:i w:val="0"/>
          <w:sz w:val="22"/>
        </w:rPr>
        <w:t>Role 1 — Company Signer.</w:t>
      </w:r>
      <w:r>
        <w:rPr>
          <w:b w:val="0"/>
          <w:i w:val="0"/>
          <w:sz w:val="22"/>
        </w:rPr>
        <w:t xml:space="preserve"> The Member signing on behalf of Timeless Way Interactive, LLC.</w:t>
      </w:r>
    </w:p>
    <w:p>
      <w:pPr>
        <w:spacing w:after="120"/>
        <w:ind w:left="504" w:hanging="504"/>
      </w:pPr>
      <w:r>
        <w:rPr>
          <w:sz w:val="22"/>
        </w:rPr>
        <w:t xml:space="preserve">•  </w:t>
      </w:r>
      <w:r>
        <w:rPr>
          <w:b/>
          <w:i w:val="0"/>
          <w:sz w:val="22"/>
        </w:rPr>
        <w:t>Role 2 — Contributor.</w:t>
      </w:r>
      <w:r>
        <w:rPr>
          <w:b w:val="0"/>
          <w:i w:val="0"/>
          <w:sz w:val="22"/>
        </w:rPr>
        <w:t xml:space="preserve"> The individual being engaged.</w:t>
      </w:r>
    </w:p>
    <w:p>
      <w:pPr>
        <w:spacing w:after="120"/>
        <w:ind w:left="504" w:hanging="504"/>
      </w:pPr>
      <w:r>
        <w:rPr>
          <w:sz w:val="22"/>
        </w:rPr>
        <w:t xml:space="preserve">•  </w:t>
      </w:r>
      <w:r>
        <w:rPr>
          <w:b/>
          <w:i w:val="0"/>
          <w:sz w:val="22"/>
        </w:rPr>
        <w:t>Role 3 — Sponsoring Member (conditional).</w:t>
      </w:r>
      <w:r>
        <w:rPr>
          <w:b w:val="0"/>
          <w:i w:val="0"/>
          <w:sz w:val="22"/>
        </w:rPr>
        <w:t xml:space="preserve"> Only needed if Option B (Shared Member Seat) is checked in Section 3. Delete this recipient and the corresponding signature block if Option B does not apply.</w:t>
      </w:r>
    </w:p>
    <w:p/>
    <w:p>
      <w:pPr>
        <w:spacing w:after="80"/>
      </w:pPr>
      <w:r>
        <w:rPr>
          <w:b/>
          <w:i w:val="0"/>
          <w:sz w:val="22"/>
        </w:rPr>
        <w:t>Field legend used in this document:</w:t>
      </w:r>
    </w:p>
    <w:p>
      <w:pPr>
        <w:spacing w:after="120"/>
        <w:ind w:left="504" w:hanging="504"/>
      </w:pPr>
      <w:r>
        <w:rPr>
          <w:sz w:val="22"/>
        </w:rPr>
        <w:t xml:space="preserve">•  </w:t>
      </w:r>
      <w:r>
        <w:rPr>
          <w:b w:val="0"/>
          <w:i w:val="0"/>
          <w:sz w:val="22"/>
        </w:rPr>
        <w:t>Blank underscored lines throughout the body (dates, dollar amounts, names, addresses) mark every fill-in point exactly as they did in the source agreement — no placeholder text sits on them. Because most blanks look identical to each other, DocuSign’s Auto Place (search-by-text) will not reliably distinguish one from another; place Text and Date Signed tabs manually on each blank, reading the surrounding sentence for context (e.g. “is entered into as of ______ (the “Start Date”)” tells you that blank is a Date Signed or Text tab for the Start Date).</w:t>
      </w:r>
    </w:p>
    <w:p>
      <w:pPr>
        <w:spacing w:after="120"/>
        <w:ind w:left="504" w:hanging="504"/>
      </w:pPr>
      <w:r>
        <w:rPr>
          <w:sz w:val="22"/>
        </w:rPr>
        <w:t xml:space="preserve">•  </w:t>
      </w:r>
      <w:r>
        <w:rPr>
          <w:b w:val="0"/>
          <w:i w:val="0"/>
          <w:sz w:val="22"/>
        </w:rPr>
        <w:t xml:space="preserve">Each of the three signature blocks (Signatures section, near the end) has one blank line above the “By (signature) … Date” caption — split that line into a </w:t>
      </w:r>
      <w:r>
        <w:rPr>
          <w:b/>
          <w:i w:val="0"/>
          <w:sz w:val="22"/>
        </w:rPr>
        <w:t>Signature</w:t>
      </w:r>
      <w:r>
        <w:rPr>
          <w:b w:val="0"/>
          <w:i w:val="0"/>
          <w:sz w:val="22"/>
        </w:rPr>
        <w:t xml:space="preserve"> tab on the left and a </w:t>
      </w:r>
      <w:r>
        <w:rPr>
          <w:b/>
          <w:i w:val="0"/>
          <w:sz w:val="22"/>
        </w:rPr>
        <w:t>Date Signed</w:t>
      </w:r>
      <w:r>
        <w:rPr>
          <w:b w:val="0"/>
          <w:i w:val="0"/>
          <w:sz w:val="22"/>
        </w:rPr>
        <w:t xml:space="preserve"> tab on the right — plus a second blank after “Printed name:” (and, for the Company block, another after “Office (if any):”) for </w:t>
      </w:r>
      <w:r>
        <w:rPr>
          <w:b/>
          <w:i w:val="0"/>
          <w:sz w:val="22"/>
        </w:rPr>
        <w:t>Text</w:t>
      </w:r>
      <w:r>
        <w:rPr>
          <w:b w:val="0"/>
          <w:i w:val="0"/>
          <w:sz w:val="22"/>
        </w:rPr>
        <w:t xml:space="preserve"> tabs.</w:t>
      </w:r>
    </w:p>
    <w:p>
      <w:pPr>
        <w:spacing w:after="120"/>
        <w:ind w:left="504" w:hanging="504"/>
      </w:pPr>
      <w:r>
        <w:rPr>
          <w:sz w:val="22"/>
        </w:rPr>
        <w:t xml:space="preserve">•  </w:t>
      </w:r>
      <w:r>
        <w:rPr>
          <w:b w:val="0"/>
          <w:i w:val="0"/>
          <w:sz w:val="22"/>
        </w:rPr>
        <w:t>Checkbox glyphs (☐) mark the option checkboxes in Section 3 (Options A–D) and their sub-elections. Place these as Checkbox tabs. Group each option’s checkboxes (and any radio-style either/or choices) so only one can be checked where the text says “exactly one.”</w:t>
      </w:r>
    </w:p>
    <w:p/>
    <w:p>
      <w:pPr>
        <w:spacing w:after="80"/>
      </w:pPr>
      <w:r>
        <w:rPr>
          <w:b/>
          <w:i w:val="0"/>
          <w:sz w:val="22"/>
        </w:rPr>
        <w:t>Suggested order:</w:t>
      </w:r>
      <w:r>
        <w:rPr>
          <w:b w:val="0"/>
          <w:i w:val="0"/>
          <w:sz w:val="22"/>
        </w:rPr>
        <w:t xml:space="preserve"> (1) Add the three recipient roles above, assigning routing order 1 for the Contributor and Company Signer, and (if applicable) the Sponsoring Member. (2) Working top to bottom, manually drag a Text, Date Signed, or Signature tab onto each blank and assign it to the correct recipient (Company-controlled figures like Admission/Approval Date and Thresholds are typically Company Signer fields; the Contributor’s own name/address/email are Contributor fields). (3) Place checkbox tabs the same way. (4) Delete this notes page. (5) Save as Template.</w:t>
      </w:r>
    </w:p>
    <w:p>
      <w:r>
        <w:br w:type="page"/>
      </w:r>
    </w:p>
    <w:p>
      <w:pPr>
        <w:spacing w:after="80"/>
        <w:jc w:val="center"/>
      </w:pPr>
      <w:r>
        <w:rPr>
          <w:b/>
          <w:sz w:val="32"/>
        </w:rPr>
        <w:t>INDIVIDUAL CONTRIBUTOR AGREEMENT</w:t>
      </w:r>
    </w:p>
    <w:p>
      <w:pPr>
        <w:spacing w:after="200"/>
        <w:jc w:val="center"/>
      </w:pPr>
      <w:r>
        <w:rPr>
          <w:b/>
          <w:sz w:val="24"/>
        </w:rPr>
        <w:t>Timeless Way Interactive, LLC</w:t>
      </w:r>
    </w:p>
    <w:p>
      <w:pPr>
        <w:spacing w:after="240"/>
        <w:jc w:val="center"/>
      </w:pPr>
      <w:r>
        <w:rPr>
          <w:b w:val="0"/>
          <w:i/>
          <w:color w:val="666666"/>
          <w:sz w:val="20"/>
        </w:rPr>
        <w:t>TEMPLATE — Exhibit B to the Operating Agreement — complete all blanks and check exactly the options that apply</w:t>
      </w:r>
    </w:p>
    <w:p>
      <w:pPr>
        <w:spacing w:after="120"/>
      </w:pPr>
      <w:r>
        <w:rPr>
          <w:b w:val="0"/>
          <w:i w:val="0"/>
          <w:sz w:val="22"/>
        </w:rPr>
        <w:t>This Individual Contributor Agreement (this “Agreement”) is entered into as of ____________________ (the “Start Date”) between:</w:t>
      </w:r>
    </w:p>
    <w:p>
      <w:pPr>
        <w:spacing w:after="120"/>
        <w:ind w:left="504" w:hanging="504"/>
      </w:pPr>
      <w:r>
        <w:rPr>
          <w:sz w:val="22"/>
        </w:rPr>
        <w:t xml:space="preserve">•  </w:t>
      </w:r>
      <w:r>
        <w:rPr>
          <w:b/>
          <w:i w:val="0"/>
          <w:sz w:val="22"/>
        </w:rPr>
        <w:t>Timeless Way Interactive, LLC</w:t>
      </w:r>
      <w:r>
        <w:rPr>
          <w:b w:val="0"/>
          <w:i w:val="0"/>
          <w:sz w:val="22"/>
        </w:rPr>
        <w:t>, a Texas limited liability company organized as a worker-owned cooperative (the “Company”), signing by the Member named below; and</w:t>
      </w:r>
    </w:p>
    <w:p>
      <w:pPr>
        <w:spacing w:after="120"/>
        <w:ind w:left="504" w:hanging="504"/>
      </w:pPr>
      <w:r>
        <w:rPr>
          <w:sz w:val="22"/>
        </w:rPr>
        <w:t xml:space="preserve">•  </w:t>
      </w:r>
      <w:r>
        <w:rPr>
          <w:b/>
          <w:i w:val="0"/>
          <w:sz w:val="22"/>
        </w:rPr>
        <w:t>_______________________________</w:t>
      </w:r>
      <w:r>
        <w:rPr>
          <w:b w:val="0"/>
          <w:i w:val="0"/>
          <w:sz w:val="22"/>
        </w:rPr>
        <w:t xml:space="preserve"> (the “Contributor”), of _______________________________ (address), ______________________ (email).</w:t>
      </w:r>
    </w:p>
    <w:p>
      <w:pPr>
        <w:spacing w:after="120"/>
      </w:pPr>
      <w:r>
        <w:rPr>
          <w:b w:val="0"/>
          <w:i w:val="0"/>
          <w:sz w:val="22"/>
        </w:rPr>
        <w:t xml:space="preserve">If Option B (Shared Member Seat) is selected in Section 3, </w:t>
      </w:r>
      <w:r>
        <w:rPr>
          <w:b/>
          <w:i w:val="0"/>
          <w:sz w:val="22"/>
        </w:rPr>
        <w:t>_______________________________</w:t>
      </w:r>
      <w:r>
        <w:rPr>
          <w:b w:val="0"/>
          <w:i w:val="0"/>
          <w:sz w:val="22"/>
        </w:rPr>
        <w:t xml:space="preserve"> (the “Sponsoring Member”) is also a party.</w:t>
      </w:r>
    </w:p>
    <w:p>
      <w:pPr>
        <w:pStyle w:val="Heading2"/>
      </w:pPr>
      <w:r>
        <w:rPr>
          <w:b/>
          <w:i w:val="0"/>
          <w:sz w:val="24"/>
        </w:rPr>
        <w:t xml:space="preserve">Overview</w:t>
      </w:r>
    </w:p>
    <w:p>
      <w:pPr>
        <w:spacing w:after="120"/>
      </w:pPr>
      <w:r>
        <w:rPr>
          <w:b w:val="0"/>
          <w:i/>
          <w:sz w:val="22"/>
        </w:rPr>
        <w:t xml:space="preserve">This summary is here so you know what you are signing. It is not the agreement — Sections 1 through 11 are — but if the two ever seem to contradict, then defer to the agreement as authoritative</w:t>
      </w:r>
    </w:p>
    <w:p>
      <w:pPr>
        <w:spacing w:after="120"/>
        <w:ind w:left="504" w:hanging="504"/>
      </w:pPr>
      <w:r>
        <w:rPr>
          <w:sz w:val="22"/>
        </w:rPr>
        <w:t xml:space="preserve">•  </w:t>
      </w:r>
      <w:r>
        <w:rPr>
          <w:b/>
          <w:i w:val="0"/>
          <w:sz w:val="22"/>
        </w:rPr>
        <w:t>You are in charge of your own work.</w:t>
      </w:r>
      <w:r>
        <w:rPr>
          <w:b w:val="0"/>
          <w:i w:val="0"/>
          <w:sz w:val="22"/>
        </w:rPr>
        <w:t xml:space="preserve"> No one here supervises you. You set your own hours, methods, and place (Section 1).</w:t>
      </w:r>
    </w:p>
    <w:p>
      <w:pPr>
        <w:spacing w:after="120"/>
        <w:ind w:left="504" w:hanging="504"/>
      </w:pPr>
      <w:r>
        <w:rPr>
          <w:sz w:val="22"/>
        </w:rPr>
        <w:t xml:space="preserve">•  </w:t>
      </w:r>
      <w:r>
        <w:rPr>
          <w:b/>
          <w:i w:val="0"/>
          <w:sz w:val="22"/>
        </w:rPr>
        <w:t>You get paid one of four ways</w:t>
      </w:r>
      <w:r>
        <w:rPr>
          <w:b w:val="0"/>
          <w:i w:val="0"/>
          <w:sz w:val="22"/>
        </w:rPr>
        <w:t>, and you and the Company pick which before you start: a share of the Company-wide split (Option A), a share of one Member’s own take (Option B), an ordinary fee or rate (Option C), or unpaid — only where getting paid is genuinely not available to you (Option D) (Section 3).</w:t>
      </w:r>
    </w:p>
    <w:p>
      <w:pPr>
        <w:spacing w:after="120"/>
        <w:ind w:left="504" w:hanging="504"/>
      </w:pPr>
      <w:r>
        <w:rPr>
          <w:sz w:val="22"/>
        </w:rPr>
        <w:t xml:space="preserve">•  </w:t>
      </w:r>
      <w:r>
        <w:rPr>
          <w:b/>
          <w:i w:val="0"/>
          <w:sz w:val="22"/>
        </w:rPr>
        <w:t xml:space="preserve">Under Options A and B, what you earn does not expire.</w:t>
      </w:r>
      <w:r>
        <w:rPr>
          <w:b w:val="0"/>
          <w:i w:val="0"/>
          <w:sz w:val="22"/>
        </w:rPr>
        <w:t xml:space="preserve"> Lean years do not erase it. Your Unpaid Balance follows you after the engagement ends, and after you become a Member, until it is paid to zero. The two Options work identically; they differ only in where the money comes from (Section 3, Options A and B).</w:t>
      </w:r>
    </w:p>
    <w:p>
      <w:pPr>
        <w:spacing w:after="120"/>
        <w:ind w:left="504" w:hanging="504"/>
      </w:pPr>
      <w:r>
        <w:rPr>
          <w:sz w:val="22"/>
        </w:rPr>
        <w:t xml:space="preserve">•  </w:t>
      </w:r>
      <w:r>
        <w:rPr>
          <w:b/>
          <w:i w:val="0"/>
          <w:sz w:val="22"/>
        </w:rPr>
        <w:t>The Company owns what you make for it</w:t>
      </w:r>
      <w:r>
        <w:rPr>
          <w:b w:val="0"/>
          <w:i w:val="0"/>
          <w:sz w:val="22"/>
        </w:rPr>
        <w:t xml:space="preserve"> (Section 5) — and you keep your own prior tools, your portfolio rights, and, if you are unpaid under Option D, a license back to your own work.</w:t>
      </w:r>
    </w:p>
    <w:p>
      <w:pPr>
        <w:spacing w:after="120"/>
        <w:ind w:left="504" w:hanging="504"/>
      </w:pPr>
      <w:r>
        <w:rPr>
          <w:sz w:val="22"/>
        </w:rPr>
        <w:t xml:space="preserve">•  </w:t>
      </w:r>
      <w:r>
        <w:rPr>
          <w:b/>
          <w:i w:val="0"/>
          <w:sz w:val="22"/>
        </w:rPr>
        <w:t>You get credit by name</w:t>
      </w:r>
      <w:r>
        <w:rPr>
          <w:b w:val="0"/>
          <w:i w:val="0"/>
          <w:sz w:val="22"/>
        </w:rPr>
        <w:t xml:space="preserve"> on anything you worked on that ships (Section 6).</w:t>
      </w:r>
    </w:p>
    <w:p>
      <w:pPr>
        <w:spacing w:after="120"/>
        <w:ind w:left="504" w:hanging="504"/>
      </w:pPr>
      <w:r>
        <w:rPr>
          <w:sz w:val="22"/>
        </w:rPr>
        <w:t xml:space="preserve">•  </w:t>
      </w:r>
      <w:r>
        <w:rPr>
          <w:b/>
          <w:i w:val="0"/>
          <w:sz w:val="22"/>
        </w:rPr>
        <w:t>You are on the path to ownership from day one.</w:t>
      </w:r>
      <w:r>
        <w:rPr>
          <w:b w:val="0"/>
          <w:i w:val="0"/>
          <w:sz w:val="22"/>
        </w:rPr>
        <w:t xml:space="preserve"> You do not apply and nobody has to approve it: candidacy starts automatically when you start work, and the Company votes on admitting you before your sixth month is out. Equal seat, equal share, equal vote, no buy-in (Section 7).</w:t>
      </w:r>
    </w:p>
    <w:p>
      <w:pPr>
        <w:spacing w:after="120"/>
        <w:ind w:left="504" w:hanging="504"/>
      </w:pPr>
      <w:r>
        <w:rPr>
          <w:sz w:val="22"/>
        </w:rPr>
        <w:t xml:space="preserve">•  </w:t>
      </w:r>
      <w:r>
        <w:rPr>
          <w:b/>
          <w:i w:val="0"/>
          <w:sz w:val="22"/>
        </w:rPr>
        <w:t>Nobody works here as a non-owner past six months.</w:t>
      </w:r>
      <w:r>
        <w:rPr>
          <w:b w:val="0"/>
          <w:i w:val="0"/>
          <w:sz w:val="22"/>
        </w:rPr>
        <w:t xml:space="preserve"> If you are not admitted by then, the engagement ends — unless you told us in writing that you did not want membership. This Company does not keep a permanent contractor class (Section 7).</w:t>
      </w:r>
    </w:p>
    <w:p>
      <w:pPr>
        <w:spacing w:after="120"/>
        <w:ind w:left="504" w:hanging="504"/>
      </w:pPr>
      <w:r>
        <w:rPr>
          <w:sz w:val="22"/>
        </w:rPr>
        <w:t xml:space="preserve">•  </w:t>
      </w:r>
      <w:r>
        <w:rPr>
          <w:b/>
          <w:i w:val="0"/>
          <w:sz w:val="22"/>
        </w:rPr>
        <w:t>There is no payroll here.</w:t>
      </w:r>
      <w:r>
        <w:rPr>
          <w:b w:val="0"/>
          <w:i w:val="0"/>
          <w:sz w:val="22"/>
        </w:rPr>
        <w:t xml:space="preserve"> The Company has no employees and pays no wages or salary to anyone, Members included. Everyone is paid out of what the work earns, or by negotiated fee under Option C (Section 3).</w:t>
      </w:r>
    </w:p>
    <w:p>
      <w:pPr>
        <w:spacing w:after="120"/>
        <w:ind w:left="504" w:hanging="504"/>
      </w:pPr>
      <w:r>
        <w:rPr>
          <w:sz w:val="22"/>
        </w:rPr>
        <w:t xml:space="preserve">•  </w:t>
      </w:r>
      <w:r>
        <w:rPr>
          <w:b/>
          <w:i w:val="0"/>
          <w:sz w:val="22"/>
        </w:rPr>
        <w:t>You can always talk about your pay and your working conditions</w:t>
      </w:r>
      <w:r>
        <w:rPr>
          <w:b w:val="0"/>
          <w:i w:val="0"/>
          <w:sz w:val="22"/>
        </w:rPr>
        <w:t xml:space="preserve"> — to anyone, including other workers. Confidentiality here covers unreleased work, credentials, and other people’s personal data. Nothing else (Section 8).</w:t>
      </w:r>
    </w:p>
    <w:p>
      <w:pPr>
        <w:spacing w:after="120"/>
        <w:ind w:left="504" w:hanging="504"/>
      </w:pPr>
      <w:r>
        <w:rPr>
          <w:sz w:val="22"/>
        </w:rPr>
        <w:t xml:space="preserve">•  </w:t>
      </w:r>
      <w:r>
        <w:rPr>
          <w:b/>
          <w:i w:val="0"/>
          <w:sz w:val="22"/>
        </w:rPr>
        <w:t>You can work for anyone else you like</w:t>
      </w:r>
      <w:r>
        <w:rPr>
          <w:b w:val="0"/>
          <w:i w:val="0"/>
          <w:sz w:val="22"/>
        </w:rPr>
        <w:t>, including other studios (Section 9).</w:t>
      </w:r>
    </w:p>
    <w:p>
      <w:pPr>
        <w:spacing w:after="120"/>
        <w:ind w:left="504" w:hanging="504"/>
      </w:pPr>
      <w:r>
        <w:rPr>
          <w:sz w:val="22"/>
        </w:rPr>
        <w:t xml:space="preserve">•  </w:t>
      </w:r>
      <w:r>
        <w:rPr>
          <w:b/>
          <w:i w:val="0"/>
          <w:sz w:val="22"/>
        </w:rPr>
        <w:t>No one may punish you for raising a concern</w:t>
      </w:r>
      <w:r>
        <w:rPr>
          <w:b w:val="0"/>
          <w:i w:val="0"/>
          <w:sz w:val="22"/>
        </w:rPr>
        <w:t xml:space="preserve"> (Section 11.6).</w:t>
      </w:r>
    </w:p>
    <w:p>
      <w:pPr>
        <w:pStyle w:val="Heading2"/>
      </w:pPr>
      <w:r>
        <w:rPr>
          <w:b/>
          <w:i w:val="0"/>
          <w:sz w:val="24"/>
        </w:rPr>
        <w:t>Background</w:t>
      </w:r>
    </w:p>
    <w:p>
      <w:pPr>
        <w:spacing w:after="120"/>
      </w:pPr>
      <w:r>
        <w:rPr>
          <w:b w:val="0"/>
          <w:i w:val="0"/>
          <w:sz w:val="22"/>
        </w:rPr>
        <w:t>The Company is a worker-owned cooperative governed by its Operating Agreement (the “Operating Agreement”), whose mission is to generate more games, sustainably, with genuine depth. The Company engages contributors both for defined work and as prospective long-term partners: this Agreement includes a defined path toward candidacy for membership (Section 7), and nothing in it is intended to create a permanent class of non-owner labor.</w:t>
      </w:r>
    </w:p>
    <w:p>
      <w:pPr>
        <w:pStyle w:val="Heading2"/>
      </w:pPr>
      <w:r>
        <w:rPr>
          <w:b/>
          <w:i w:val="0"/>
          <w:sz w:val="24"/>
        </w:rPr>
        <w:t>1. Engagement and Services</w:t>
      </w:r>
    </w:p>
    <w:p>
      <w:pPr>
        <w:spacing w:after="120"/>
      </w:pPr>
      <w:r>
        <w:rPr>
          <w:b w:val="0"/>
          <w:i w:val="0"/>
          <w:sz w:val="22"/>
        </w:rPr>
        <w:t>The Company engages the Contributor, and the Contributor agrees, to perform the services described in Exhibit 1 (the “Services”), including any deliverables and timeline stated there (the “Deliverables”). The Contributor determines the manner, means, schedule, and location of performance. The Contributor may consult the Members for direction, but no Member supervises the Contributor.</w:t>
      </w:r>
    </w:p>
    <w:p>
      <w:pPr>
        <w:pStyle w:val="Heading2"/>
      </w:pPr>
      <w:r>
        <w:rPr>
          <w:b/>
          <w:i w:val="0"/>
          <w:sz w:val="24"/>
        </w:rPr>
        <w:t>2. Term and Termination</w:t>
      </w:r>
    </w:p>
    <w:p>
      <w:pPr>
        <w:spacing w:after="120"/>
        <w:ind w:left="576" w:hanging="576"/>
      </w:pPr>
      <w:r>
        <w:rPr>
          <w:b w:val="0"/>
          <w:sz w:val="22"/>
        </w:rPr>
        <w:t xml:space="preserve">1.  </w:t>
      </w:r>
      <w:r>
        <w:rPr>
          <w:b w:val="0"/>
          <w:i w:val="0"/>
          <w:sz w:val="22"/>
        </w:rPr>
        <w:t>This Agreement runs from the Start Date until the Services are complete or the Agreement is terminated.</w:t>
      </w:r>
    </w:p>
    <w:p>
      <w:pPr>
        <w:spacing w:after="120"/>
        <w:ind w:left="576" w:hanging="576"/>
      </w:pPr>
      <w:r>
        <w:rPr>
          <w:b w:val="0"/>
          <w:sz w:val="22"/>
        </w:rPr>
        <w:t xml:space="preserve">2.  </w:t>
      </w:r>
      <w:r>
        <w:rPr>
          <w:b w:val="0"/>
          <w:i w:val="0"/>
          <w:sz w:val="22"/>
        </w:rPr>
        <w:t>Either party may terminate this Agreement on fourteen (14) days’ written notice. The Company may terminate immediately for the Contributor’s unlawful conduct, or for a material breach the Contributor has not cured within ten (10) days after written notice describing it. Where the Contributor was admitted to the Contractor Pool by Supermajority vote, only a Supermajority may terminate this Agreement for cause — the decision to end an engagement is made the same way the decision to begin it was.</w:t>
      </w:r>
    </w:p>
    <w:p>
      <w:pPr>
        <w:spacing w:after="120"/>
        <w:ind w:left="576" w:hanging="576"/>
      </w:pPr>
      <w:r>
        <w:rPr>
          <w:b w:val="0"/>
          <w:sz w:val="22"/>
        </w:rPr>
        <w:t xml:space="preserve">3.  </w:t>
      </w:r>
      <w:r>
        <w:rPr>
          <w:b w:val="0"/>
          <w:i w:val="0"/>
          <w:sz w:val="22"/>
        </w:rPr>
        <w:t>Compensation earned or computed through the termination date survives and remains payable per Section 3. Sections 3, 4, 5, 6, 8, 10, and 11 survive termination.</w:t>
      </w:r>
    </w:p>
    <w:p>
      <w:pPr>
        <w:spacing w:after="120"/>
        <w:ind w:left="576" w:hanging="576"/>
      </w:pPr>
      <w:r>
        <w:rPr>
          <w:b w:val="0"/>
          <w:sz w:val="22"/>
        </w:rPr>
        <w:t xml:space="preserve">4.  </w:t>
      </w:r>
      <w:r>
        <w:rPr>
          <w:b w:val="0"/>
          <w:i w:val="0"/>
          <w:sz w:val="22"/>
        </w:rPr>
        <w:t xml:space="preserve">If Option A or Option B applies, termination of this Agreement ends the Contributor’s performance of Services and the accrual of new Earned Amounts as of the termination date. It does not extinguish any Unpaid Balance: the Contributor continues to participate in distributions from the applicable source — the Collective Seat under Option A, the Sponsoring Member’s Seat under Option B — until that Balance is paid to zero, per Section 3, Option A, paragraph 8.</w:t>
      </w:r>
    </w:p>
    <w:p>
      <w:pPr>
        <w:spacing w:after="120"/>
        <w:ind w:left="576" w:hanging="576"/>
      </w:pPr>
      <w:r>
        <w:rPr>
          <w:b w:val="0"/>
          <w:sz w:val="22"/>
        </w:rPr>
        <w:t xml:space="preserve">5.  </w:t>
      </w:r>
      <w:r>
        <w:rPr>
          <w:b w:val="0"/>
          <w:i w:val="0"/>
          <w:sz w:val="22"/>
        </w:rPr>
        <w:t xml:space="preserve">If Option B applies, this Agreement terminates automatically if the Sponsoring Member’s membership in the Company terminates, unless another Member assumes sponsorship in writing. Any Unpaid Balance survives that termination and is dealt with under Section 3, Option B, paragraph 6.</w:t>
      </w:r>
    </w:p>
    <w:p>
      <w:pPr>
        <w:spacing w:after="120"/>
        <w:ind w:left="576" w:hanging="576"/>
      </w:pPr>
      <w:r>
        <w:rPr>
          <w:b w:val="0"/>
          <w:sz w:val="22"/>
        </w:rPr>
        <w:t xml:space="preserve">6.  </w:t>
      </w:r>
      <w:r>
        <w:rPr>
          <w:b/>
          <w:i w:val="0"/>
          <w:sz w:val="22"/>
        </w:rPr>
        <w:t xml:space="preserve">Six-month ceiling.</w:t>
      </w:r>
      <w:r>
        <w:rPr>
          <w:b w:val="0"/>
          <w:i w:val="0"/>
          <w:sz w:val="22"/>
        </w:rPr>
        <w:t xml:space="preserve"> This Agreement terminates at the end of the sixth month after the Start Date unless the Contributor has been admitted as a Member (Section 7). The only exception is where the Contributor has declined membership in writing, in which case the Members may extend this Agreement by Supermajority in renewable terms of no more than six (6) months each. Termination under this paragraph ends the work only: it does not reduce any Unpaid Balance, which continues to be paid under Section 3, Option A or Option B, and it does not affect credit under Section 6.</w:t>
      </w:r>
    </w:p>
    <w:p>
      <w:pPr>
        <w:pStyle w:val="Heading2"/>
      </w:pPr>
      <w:r>
        <w:rPr>
          <w:b/>
          <w:i w:val="0"/>
          <w:sz w:val="24"/>
        </w:rPr>
        <w:t>3. Compensation</w:t>
      </w:r>
    </w:p>
    <w:p>
      <w:pPr>
        <w:spacing w:after="120"/>
      </w:pPr>
      <w:r>
        <w:rPr>
          <w:b w:val="0"/>
          <w:i/>
          <w:sz w:val="22"/>
        </w:rPr>
        <w:t>Check exactly one option (or more than one only if Exhibit 1 clearly allocates the Services between them).</w:t>
      </w:r>
    </w:p>
    <w:p>
      <w:pPr>
        <w:pStyle w:val="Heading3"/>
      </w:pPr>
      <w:r>
        <w:rPr>
          <w:b/>
          <w:i/>
          <w:sz w:val="22"/>
        </w:rPr>
        <w:t>☐  Option A — Collective Seat (revenue share from the Company-wide split)</w:t>
      </w:r>
    </w:p>
    <w:p>
      <w:pPr>
        <w:spacing w:after="120"/>
        <w:ind w:left="576" w:hanging="576"/>
      </w:pPr>
      <w:r>
        <w:rPr>
          <w:b w:val="0"/>
          <w:sz w:val="22"/>
        </w:rPr>
        <w:t xml:space="preserve">1.  </w:t>
      </w:r>
      <w:r>
        <w:rPr>
          <w:b/>
          <w:i w:val="0"/>
          <w:sz w:val="22"/>
        </w:rPr>
        <w:t>Admission.</w:t>
      </w:r>
      <w:r>
        <w:rPr>
          <w:b w:val="0"/>
          <w:i w:val="0"/>
          <w:sz w:val="22"/>
        </w:rPr>
        <w:t xml:space="preserve"> The Members have admitted the Contributor to the Contractor Pool by Supermajority vote on ____________ (date), per Section 3.4 of the Operating Agreement.</w:t>
      </w:r>
    </w:p>
    <w:p>
      <w:pPr>
        <w:spacing w:after="120"/>
        <w:ind w:left="576" w:hanging="576"/>
      </w:pPr>
      <w:r>
        <w:rPr>
          <w:b w:val="0"/>
          <w:sz w:val="22"/>
        </w:rPr>
        <w:t xml:space="preserve">2.  </w:t>
      </w:r>
      <w:r>
        <w:rPr>
          <w:b/>
          <w:i w:val="0"/>
          <w:sz w:val="22"/>
        </w:rPr>
        <w:t>Threshold.</w:t>
      </w:r>
      <w:r>
        <w:rPr>
          <w:b w:val="0"/>
          <w:i w:val="0"/>
          <w:sz w:val="22"/>
        </w:rPr>
        <w:t xml:space="preserve"> The Contributor’s Threshold is $____________ per ☐ distribution period ☐ fiscal year.</w:t>
      </w:r>
    </w:p>
    <w:p>
      <w:pPr>
        <w:spacing w:after="120"/>
        <w:ind w:left="576" w:hanging="576"/>
      </w:pPr>
      <w:r>
        <w:rPr>
          <w:b w:val="0"/>
          <w:sz w:val="22"/>
        </w:rPr>
        <w:t xml:space="preserve">3.  </w:t>
      </w:r>
      <w:r>
        <w:rPr>
          <w:b/>
          <w:i w:val="0"/>
          <w:sz w:val="22"/>
        </w:rPr>
        <w:t>Earned Amount.</w:t>
      </w:r>
      <w:r>
        <w:rPr>
          <w:b w:val="0"/>
          <w:i w:val="0"/>
          <w:sz w:val="22"/>
        </w:rPr>
        <w:t xml:space="preserve"> For each period during which this Agreement is in effect, the Contributor earns an amount equal to the Threshold for that period, prorated by the portion of the period during which this Agreement was in effect (the “Earned Amount”). Earned Amounts accrue from service rendered, whether or not the Company distributes anything for that period.</w:t>
      </w:r>
    </w:p>
    <w:p>
      <w:pPr>
        <w:spacing w:after="120"/>
        <w:ind w:left="576" w:hanging="576"/>
      </w:pPr>
      <w:r>
        <w:rPr>
          <w:b w:val="0"/>
          <w:sz w:val="22"/>
        </w:rPr>
        <w:t xml:space="preserve">4.  </w:t>
      </w:r>
      <w:r>
        <w:rPr>
          <w:b/>
          <w:i w:val="0"/>
          <w:sz w:val="22"/>
        </w:rPr>
        <w:t>Unpaid Balance.</w:t>
      </w:r>
      <w:r>
        <w:rPr>
          <w:b w:val="0"/>
          <w:i w:val="0"/>
          <w:sz w:val="22"/>
        </w:rPr>
        <w:t xml:space="preserve"> The Contributor’s “Unpaid Balance” at any time is the sum of all Earned Amounts less all amounts the Contributor has actually received under this Option. The Unpaid Balance carries forward from period to period and does not expire.</w:t>
      </w:r>
    </w:p>
    <w:p>
      <w:pPr>
        <w:spacing w:after="120"/>
        <w:ind w:left="576" w:hanging="576"/>
      </w:pPr>
      <w:r>
        <w:rPr>
          <w:b w:val="0"/>
          <w:sz w:val="22"/>
        </w:rPr>
        <w:t xml:space="preserve">5.  </w:t>
      </w:r>
      <w:r>
        <w:rPr>
          <w:b/>
          <w:i w:val="0"/>
          <w:sz w:val="22"/>
        </w:rPr>
        <w:t>Mechanics.</w:t>
      </w:r>
      <w:r>
        <w:rPr>
          <w:b w:val="0"/>
          <w:i w:val="0"/>
          <w:sz w:val="22"/>
        </w:rPr>
        <w:t xml:space="preserve"> Each time the Company makes a Seat distribution, the Contractor Pool collectively receives one Seat’s share. That share is divided equally among all Contractors holding an Unpaid Balance — whether or not they are still performing Services — except that no Contractor receives more than their Unpaid Balance; amounts above a Contractor’s Unpaid Balance are re-divided equally among Contractors whose Unpaid Balances are not yet paid to zero, and any remainder after all Unpaid Balances are paid to zero is divided equally among the Member Seats.</w:t>
      </w:r>
    </w:p>
    <w:p>
      <w:pPr>
        <w:spacing w:after="120"/>
        <w:ind w:left="576" w:hanging="576"/>
      </w:pPr>
      <w:r>
        <w:rPr>
          <w:b w:val="0"/>
          <w:sz w:val="22"/>
        </w:rPr>
        <w:t xml:space="preserve">6.  </w:t>
      </w:r>
      <w:r>
        <w:rPr>
          <w:b/>
          <w:i w:val="0"/>
          <w:sz w:val="22"/>
        </w:rPr>
        <w:t>A Threshold is a ceiling, not a quota.</w:t>
      </w:r>
      <w:r>
        <w:rPr>
          <w:b w:val="0"/>
          <w:i w:val="0"/>
          <w:sz w:val="22"/>
        </w:rPr>
        <w:t xml:space="preserve"> The Threshold sets the rate at which the Contributor earns and paces how fast a Balance may be paid out. It never reduces what the Contributor has already earned. A period in which the Company distributes little or nothing does not consume, forfeit, or shrink the Contributor’s Earned Amount or Unpaid Balance. Work performed in a lean period is paid out of a later good one.</w:t>
      </w:r>
    </w:p>
    <w:p>
      <w:pPr>
        <w:spacing w:after="120"/>
        <w:ind w:left="576" w:hanging="576"/>
      </w:pPr>
      <w:r>
        <w:rPr>
          <w:b w:val="0"/>
          <w:sz w:val="22"/>
        </w:rPr>
        <w:t xml:space="preserve">7.  </w:t>
      </w:r>
      <w:r>
        <w:rPr>
          <w:b/>
          <w:i w:val="0"/>
          <w:sz w:val="22"/>
        </w:rPr>
        <w:t>Contingency.</w:t>
      </w:r>
      <w:r>
        <w:rPr>
          <w:b w:val="0"/>
          <w:i w:val="0"/>
          <w:sz w:val="22"/>
        </w:rPr>
        <w:t xml:space="preserve"> Payments under this Option are contingent on the Company having a distributable surplus, and come only from the Contractor Pool’s Seat share. If there is no distribution in a period, nothing is payable for that period. An Unpaid Balance is a standing claim on future Collective Seat distributions and nothing more: it is not a debt of the Company or of any Member, not an accrued or guaranteed liability, and not a claim against any other Contractor. The Contributor never bears Loss and is never obligated to return compensation.</w:t>
      </w:r>
    </w:p>
    <w:p>
      <w:pPr>
        <w:spacing w:after="120"/>
        <w:ind w:left="576" w:hanging="576"/>
      </w:pPr>
      <w:r>
        <w:rPr>
          <w:b w:val="0"/>
          <w:sz w:val="22"/>
        </w:rPr>
        <w:t xml:space="preserve">8.  </w:t>
      </w:r>
      <w:r>
        <w:rPr>
          <w:b/>
          <w:i w:val="0"/>
          <w:sz w:val="22"/>
        </w:rPr>
        <w:t>The Unpaid Balance survives the engagement and does not expire.</w:t>
      </w:r>
      <w:r>
        <w:rPr>
          <w:b w:val="0"/>
          <w:i w:val="0"/>
          <w:sz w:val="22"/>
        </w:rPr>
        <w:t xml:space="preserve"> Termination of this Agreement ends the Contributor’s obligation to perform Services and ends the accrual of new Earned Amounts. It does not reduce or extinguish the Unpaid Balance. The Contributor continues to share in Collective Seat distributions under paragraph 5 until the Unpaid Balance is paid to zero — however long that takes, and whether or not the Company had any revenue, or the work the Contributor performed had shipped, while this Agreement was in effect. This paragraph controls over Section 2.4.</w:t>
      </w:r>
    </w:p>
    <w:p>
      <w:pPr>
        <w:spacing w:after="120"/>
        <w:ind w:left="576" w:hanging="576"/>
      </w:pPr>
      <w:r>
        <w:rPr>
          <w:b w:val="0"/>
          <w:sz w:val="22"/>
        </w:rPr>
        <w:t xml:space="preserve">9.  </w:t>
      </w:r>
      <w:r>
        <w:rPr>
          <w:b/>
          <w:i w:val="0"/>
          <w:sz w:val="22"/>
        </w:rPr>
        <w:t>On admission as a Member.</w:t>
      </w:r>
      <w:r>
        <w:rPr>
          <w:b w:val="0"/>
          <w:i w:val="0"/>
          <w:sz w:val="22"/>
        </w:rPr>
        <w:t xml:space="preserve"> If the Contributor is admitted as a Member under Section 7, any Unpaid Balance survives and continues to be paid under paragraph 5 until paid to zero. It is compensation for work performed before membership, and admission neither forfeits it nor converts it into an ownership interest.</w:t>
      </w:r>
    </w:p>
    <w:p>
      <w:pPr>
        <w:spacing w:after="120"/>
        <w:ind w:left="576" w:hanging="576"/>
      </w:pPr>
      <w:r>
        <w:rPr>
          <w:b w:val="0"/>
          <w:sz w:val="22"/>
        </w:rPr>
        <w:t xml:space="preserve">10.  </w:t>
      </w:r>
      <w:r>
        <w:rPr>
          <w:b/>
          <w:i w:val="0"/>
          <w:sz w:val="22"/>
        </w:rPr>
        <w:t>No membership.</w:t>
      </w:r>
      <w:r>
        <w:rPr>
          <w:b w:val="0"/>
          <w:i w:val="0"/>
          <w:sz w:val="22"/>
        </w:rPr>
        <w:t xml:space="preserve"> Participation in the Pool is compensation for services only. It confers no membership, no governance vote, no ownership, and no interest in Company profits as such.</w:t>
      </w:r>
    </w:p>
    <w:p>
      <w:pPr>
        <w:spacing w:after="120"/>
        <w:ind w:left="576" w:hanging="576"/>
      </w:pPr>
      <w:r>
        <w:rPr>
          <w:b w:val="0"/>
          <w:sz w:val="22"/>
        </w:rPr>
        <w:t xml:space="preserve">11.  </w:t>
      </w:r>
      <w:r>
        <w:rPr>
          <w:b/>
          <w:i w:val="0"/>
          <w:sz w:val="22"/>
        </w:rPr>
        <w:t>Your Balance cannot be changed out from under you.</w:t>
      </w:r>
      <w:r>
        <w:rPr>
          <w:b w:val="0"/>
          <w:i w:val="0"/>
          <w:sz w:val="22"/>
        </w:rPr>
        <w:t xml:space="preserve"> No amendment to the Operating Agreement or to the Contractor Pool’s rules reduces an Unpaid Balance already accrued or changes how it is paid; the terms in effect when an amount accrued continue to govern it. The Contributor may enforce Sections 3.3, 3.4, and 8.6 of the Operating Agreement directly against the Company.</w:t>
      </w:r>
    </w:p>
    <w:p>
      <w:pPr>
        <w:spacing w:after="120"/>
        <w:ind w:left="576" w:hanging="576"/>
      </w:pPr>
      <w:r>
        <w:rPr>
          <w:b w:val="0"/>
          <w:sz w:val="22"/>
        </w:rPr>
        <w:t xml:space="preserve">12.  </w:t>
      </w:r>
      <w:r>
        <w:rPr>
          <w:b/>
          <w:i w:val="0"/>
          <w:sz w:val="22"/>
        </w:rPr>
        <w:t>You can see the math.</w:t>
      </w:r>
      <w:r>
        <w:rPr>
          <w:b w:val="0"/>
          <w:i w:val="0"/>
          <w:sz w:val="22"/>
        </w:rPr>
        <w:t xml:space="preserve"> On request at any time, the Company tells the Contributor how many Contractors are then in the Pool, the total of all Unpaid Balances, and the calculation of any distribution affecting them.</w:t>
      </w:r>
    </w:p>
    <w:p>
      <w:pPr>
        <w:spacing w:after="120"/>
      </w:pPr>
      <w:r>
        <w:rPr>
          <w:b/>
          <w:i w:val="0"/>
          <w:sz w:val="22"/>
        </w:rPr>
        <w:t>How Option A works in practice.</w:t>
      </w:r>
      <w:r>
        <w:rPr>
          <w:b w:val="0"/>
          <w:i w:val="0"/>
          <w:sz w:val="22"/>
        </w:rPr>
        <w:t xml:space="preserve"> Say the Pool’s Seat share for a period is $12,000, and three Contributors hold Unpaid Balances of $8,000, $5,000, and $1,000.</w:t>
      </w:r>
    </w:p>
    <w:p>
      <w:pPr>
        <w:spacing w:after="120"/>
        <w:ind w:left="504" w:hanging="504"/>
      </w:pPr>
      <w:r>
        <w:rPr>
          <w:sz w:val="22"/>
        </w:rPr>
        <w:t xml:space="preserve">•  </w:t>
      </w:r>
      <w:r>
        <w:rPr>
          <w:b w:val="0"/>
          <w:i w:val="0"/>
          <w:sz w:val="22"/>
        </w:rPr>
        <w:t>Split equally three ways: $4,000 each.</w:t>
      </w:r>
    </w:p>
    <w:p>
      <w:pPr>
        <w:spacing w:after="120"/>
        <w:ind w:left="504" w:hanging="504"/>
      </w:pPr>
      <w:r>
        <w:rPr>
          <w:sz w:val="22"/>
        </w:rPr>
        <w:t xml:space="preserve">•  </w:t>
      </w:r>
      <w:r>
        <w:rPr>
          <w:b w:val="0"/>
          <w:i w:val="0"/>
          <w:sz w:val="22"/>
        </w:rPr>
        <w:t>C’s Balance is only $1,000, so C takes $1,000 and the extra $3,000 goes back in the pot.</w:t>
      </w:r>
    </w:p>
    <w:p>
      <w:pPr>
        <w:spacing w:after="120"/>
        <w:ind w:left="504" w:hanging="504"/>
      </w:pPr>
      <w:r>
        <w:rPr>
          <w:sz w:val="22"/>
        </w:rPr>
        <w:t xml:space="preserve">•  </w:t>
      </w:r>
      <w:r>
        <w:rPr>
          <w:b w:val="0"/>
          <w:i w:val="0"/>
          <w:sz w:val="22"/>
        </w:rPr>
        <w:t>Split that $3,000 between A and B: $1,500 each. B is now at $5,500 against a $5,000 Balance, so B takes $5,000 and $500 goes back in the pot.</w:t>
      </w:r>
    </w:p>
    <w:p>
      <w:pPr>
        <w:spacing w:after="120"/>
        <w:ind w:left="504" w:hanging="504"/>
      </w:pPr>
      <w:r>
        <w:rPr>
          <w:sz w:val="22"/>
        </w:rPr>
        <w:t xml:space="preserve">•  </w:t>
      </w:r>
      <w:r>
        <w:rPr>
          <w:b w:val="0"/>
          <w:i w:val="0"/>
          <w:sz w:val="22"/>
        </w:rPr>
        <w:t>A takes the last $500.</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999999"/>
              <w:left w:val="single" w:sz="4" w:space="0" w:color="999999"/>
              <w:bottom w:val="single" w:sz="4" w:space="0" w:color="999999"/>
              <w:right w:val="single" w:sz="4" w:space="0" w:color="999999"/>
            </w:tcBorders>
          </w:tcPr>
          <w:p>
            <w:pPr>
              <w:jc w:val="left"/>
            </w:pPr>
            <w:r>
              <w:rPr>
                <w:b/>
                <w:i w:val="0"/>
                <w:sz w:val="22"/>
              </w:rPr>
              <w:t>Contributor</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i w:val="0"/>
                <w:sz w:val="22"/>
              </w:rPr>
              <w:t>Balance before</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i w:val="0"/>
                <w:sz w:val="22"/>
              </w:rPr>
              <w:t>Receives this period</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i w:val="0"/>
                <w:sz w:val="22"/>
              </w:rPr>
              <w:t>Balance after</w:t>
            </w:r>
          </w:p>
        </w:tc>
      </w:tr>
      <w:tr>
        <w:tc>
          <w:tcPr>
            <w:tcW w:type="dxa" w:w="2340"/>
            <w:tcBorders>
              <w:top w:val="single" w:sz="4" w:space="0" w:color="999999"/>
              <w:left w:val="single" w:sz="4" w:space="0" w:color="999999"/>
              <w:bottom w:val="single" w:sz="4" w:space="0" w:color="999999"/>
              <w:right w:val="single" w:sz="4" w:space="0" w:color="999999"/>
            </w:tcBorders>
          </w:tcPr>
          <w:p>
            <w:pPr>
              <w:jc w:val="left"/>
            </w:pPr>
            <w:r>
              <w:rPr>
                <w:b w:val="0"/>
                <w:i w:val="0"/>
                <w:sz w:val="22"/>
              </w:rPr>
              <w:t>A</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$8,000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$6,000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$2,000</w:t>
            </w:r>
          </w:p>
        </w:tc>
      </w:tr>
      <w:tr>
        <w:tc>
          <w:tcPr>
            <w:tcW w:type="dxa" w:w="2340"/>
            <w:tcBorders>
              <w:top w:val="single" w:sz="4" w:space="0" w:color="999999"/>
              <w:left w:val="single" w:sz="4" w:space="0" w:color="999999"/>
              <w:bottom w:val="single" w:sz="4" w:space="0" w:color="999999"/>
              <w:right w:val="single" w:sz="4" w:space="0" w:color="999999"/>
            </w:tcBorders>
          </w:tcPr>
          <w:p>
            <w:pPr>
              <w:jc w:val="left"/>
            </w:pPr>
            <w:r>
              <w:rPr>
                <w:b w:val="0"/>
                <w:i w:val="0"/>
                <w:sz w:val="22"/>
              </w:rPr>
              <w:t>B</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$5,000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$5,000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$0</w:t>
            </w:r>
          </w:p>
        </w:tc>
      </w:tr>
      <w:tr>
        <w:tc>
          <w:tcPr>
            <w:tcW w:type="dxa" w:w="2340"/>
            <w:tcBorders>
              <w:top w:val="single" w:sz="4" w:space="0" w:color="999999"/>
              <w:left w:val="single" w:sz="4" w:space="0" w:color="999999"/>
              <w:bottom w:val="single" w:sz="4" w:space="0" w:color="999999"/>
              <w:right w:val="single" w:sz="4" w:space="0" w:color="999999"/>
            </w:tcBorders>
          </w:tcPr>
          <w:p>
            <w:pPr>
              <w:jc w:val="left"/>
            </w:pPr>
            <w:r>
              <w:rPr>
                <w:b w:val="0"/>
                <w:i w:val="0"/>
                <w:sz w:val="22"/>
              </w:rPr>
              <w:t>C</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$1,000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$1,000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val="0"/>
                <w:i w:val="0"/>
                <w:sz w:val="22"/>
              </w:rPr>
              <w:t>$0</w:t>
            </w:r>
          </w:p>
        </w:tc>
      </w:tr>
      <w:tr>
        <w:tc>
          <w:tcPr>
            <w:tcW w:type="dxa" w:w="2340"/>
            <w:tcBorders>
              <w:top w:val="single" w:sz="4" w:space="0" w:color="999999"/>
              <w:left w:val="single" w:sz="4" w:space="0" w:color="999999"/>
              <w:bottom w:val="single" w:sz="4" w:space="0" w:color="999999"/>
              <w:right w:val="single" w:sz="4" w:space="0" w:color="999999"/>
            </w:tcBorders>
          </w:tcPr>
          <w:p>
            <w:pPr>
              <w:jc w:val="left"/>
            </w:pPr>
            <w:r>
              <w:rPr>
                <w:b/>
                <w:i w:val="0"/>
                <w:sz w:val="22"/>
              </w:rPr>
              <w:t>Total</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i w:val="0"/>
                <w:sz w:val="22"/>
              </w:rPr>
              <w:t>$14,000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i w:val="0"/>
                <w:sz w:val="22"/>
              </w:rPr>
              <w:t>$12,000</w:t>
            </w:r>
          </w:p>
        </w:tc>
        <w:tc>
          <w:tcPr>
            <w:tcW w:type="dxa" w:w="2340"/>
            <w:tcBorders>
              <w:top w:val="single" w:sz="4" w:space="0" w:color="999999"/>
              <w:left w:val="single" w:sz="4" w:space="0" w:color="999999"/>
              <w:bottom w:val="single" w:sz="4" w:space="0" w:color="999999"/>
              <w:right w:val="single" w:sz="4" w:space="0" w:color="999999"/>
            </w:tcBorders>
          </w:tcPr>
          <w:p>
            <w:pPr>
              <w:jc w:val="right"/>
            </w:pPr>
            <w:r>
              <w:rPr>
                <w:b/>
                <w:i w:val="0"/>
                <w:sz w:val="22"/>
              </w:rPr>
              <w:t>$2,000</w:t>
            </w:r>
          </w:p>
        </w:tc>
      </w:tr>
    </w:tbl>
    <w:p>
      <w:pPr>
        <w:spacing w:after="120"/>
      </w:pPr>
    </w:p>
    <w:p>
      <w:pPr>
        <w:spacing w:after="120"/>
      </w:pPr>
      <w:r>
        <w:rPr>
          <w:b w:val="0"/>
          <w:i w:val="0"/>
          <w:sz w:val="22"/>
        </w:rPr>
        <w:t>A’s remaining $2,000 does not expire and is not reduced by anything. It is simply first in line next time.</w:t>
      </w:r>
    </w:p>
    <w:p>
      <w:pPr>
        <w:pStyle w:val="Heading3"/>
      </w:pPr>
      <w:r>
        <w:rPr>
          <w:b/>
          <w:i/>
          <w:sz w:val="22"/>
        </w:rPr>
        <w:t>☐  Option B — Shared Member Seat (revenue share from the Sponsoring Member’s share)</w:t>
      </w:r>
    </w:p>
    <w:p>
      <w:pPr>
        <w:spacing w:after="120"/>
        <w:ind w:left="576" w:hanging="576"/>
      </w:pPr>
      <w:r>
        <w:rPr>
          <w:b w:val="0"/>
          <w:sz w:val="22"/>
        </w:rPr>
        <w:t xml:space="preserve">1.  </w:t>
      </w:r>
      <w:r>
        <w:rPr>
          <w:b/>
          <w:i w:val="0"/>
          <w:sz w:val="22"/>
        </w:rPr>
        <w:t>Sponsorship.</w:t>
      </w:r>
      <w:r>
        <w:rPr>
          <w:b w:val="0"/>
          <w:i w:val="0"/>
          <w:sz w:val="22"/>
        </w:rPr>
        <w:t xml:space="preserve"> The Sponsoring Member named above sponsors the Contributor under Section 3.5 of the Operating Agreement. This is the Sponsoring Member’s individual decision and commitment; no Committee approval is required or implied.</w:t>
      </w:r>
    </w:p>
    <w:p>
      <w:pPr>
        <w:spacing w:after="120"/>
        <w:ind w:left="576" w:hanging="576"/>
      </w:pPr>
      <w:r>
        <w:rPr>
          <w:b w:val="0"/>
          <w:sz w:val="22"/>
        </w:rPr>
        <w:t xml:space="preserve">2.  </w:t>
      </w:r>
      <w:r>
        <w:rPr>
          <w:b/>
          <w:i w:val="0"/>
          <w:sz w:val="22"/>
        </w:rPr>
        <w:t>Threshold.</w:t>
      </w:r>
      <w:r>
        <w:rPr>
          <w:b w:val="0"/>
          <w:i w:val="0"/>
          <w:sz w:val="22"/>
        </w:rPr>
        <w:t xml:space="preserve"> The Contributor’s Threshold is $____________ per ☐ distribution period ☐ fiscal year.</w:t>
      </w:r>
    </w:p>
    <w:p>
      <w:pPr>
        <w:spacing w:after="120"/>
        <w:ind w:left="576" w:hanging="576"/>
      </w:pPr>
      <w:r>
        <w:rPr>
          <w:b w:val="0"/>
          <w:sz w:val="22"/>
        </w:rPr>
        <w:t xml:space="preserve">3.  </w:t>
      </w:r>
      <w:r>
        <w:rPr>
          <w:b/>
          <w:i w:val="0"/>
          <w:sz w:val="22"/>
        </w:rPr>
        <w:t xml:space="preserve">Same terms as Option A; only the source of the money differs.</w:t>
      </w:r>
      <w:r>
        <w:rPr>
          <w:b w:val="0"/>
          <w:i w:val="0"/>
          <w:sz w:val="22"/>
        </w:rPr>
        <w:t xml:space="preserve"> Paragraphs 3, 4, 6, and 8 through 12 of Option A apply to this Option in full, reading each reference to the Contractor Pool’s Seat share or to Collective Seat distributions as a reference to the Sponsoring Member’s Seat share and to distributions under paragraph 4 below, and reading the citation to Section 3.4 of the Operating Agreement in paragraph 11 as a citation to Section 3.5. So, here as there: the Threshold is a rate of accrual and not a quota, Earned Amounts accrue from service rendered whether or not anything is distributed, the Unpaid Balance carries forward and does not expire, and it survives both termination of this Agreement and admission as a Member. Choosing between Options A and B is a choice of where the money comes from — the Company-wide Contractor Pool or one Member’s own share — and nothing else.</w:t>
      </w:r>
    </w:p>
    <w:p>
      <w:pPr>
        <w:spacing w:after="120"/>
        <w:ind w:left="576" w:hanging="576"/>
      </w:pPr>
      <w:r>
        <w:rPr>
          <w:b w:val="0"/>
          <w:sz w:val="22"/>
        </w:rPr>
        <w:t xml:space="preserve">4.  </w:t>
      </w:r>
      <w:r>
        <w:rPr>
          <w:b/>
          <w:i w:val="0"/>
          <w:sz w:val="22"/>
        </w:rPr>
        <w:t xml:space="preserve">Mechanics.</w:t>
      </w:r>
      <w:r>
        <w:rPr>
          <w:b w:val="0"/>
          <w:i w:val="0"/>
          <w:sz w:val="22"/>
        </w:rPr>
        <w:t xml:space="preserve"> Each time the Company distributes to the Sponsoring Member’s Seat, that share is divided ☐ equally between the Sponsoring Member and the Contributor (and any other Contributors the Sponsoring Member then sponsors) ☐ as follows: __________________. (Default if neither box is checked: equally.) No Contributor receives more than their Unpaid Balance; amounts above a Contributor’s Unpaid Balance are re-divided among the other sponsored Contributors whose Unpaid Balances are not yet paid to zero, and any remainder reverts to the Sponsoring Member. The Company pays the Contributor’s portion directly, as paying agent.</w:t>
      </w:r>
    </w:p>
    <w:p>
      <w:pPr>
        <w:spacing w:after="120"/>
        <w:ind w:left="576" w:hanging="576"/>
      </w:pPr>
      <w:r>
        <w:rPr>
          <w:b w:val="0"/>
          <w:sz w:val="22"/>
        </w:rPr>
        <w:t xml:space="preserve">5.  </w:t>
      </w:r>
      <w:r>
        <w:rPr>
          <w:b/>
          <w:i w:val="0"/>
          <w:sz w:val="22"/>
        </w:rPr>
        <w:t xml:space="preserve">Limited recourse.</w:t>
      </w:r>
      <w:r>
        <w:rPr>
          <w:b w:val="0"/>
          <w:i w:val="0"/>
          <w:sz w:val="22"/>
        </w:rPr>
        <w:t xml:space="preserve"> The Contributor’s compensation comes only from amounts otherwise distributable to the Sponsoring Member. An Unpaid Balance under this Option is a standing claim on future distributions to the Sponsoring Member’s Seat and nothing more: if that share is insufficient, or there is no distribution, the Contributor has no claim against the Company, against the Contractor Pool, or against any other Member. The Sponsoring Member ☐ does ☐ does not personally guarantee a minimum of $____________ per period from personal funds. (Default if unchecked: does not.)</w:t>
      </w:r>
    </w:p>
    <w:p>
      <w:pPr>
        <w:spacing w:after="120"/>
        <w:ind w:left="576" w:hanging="576"/>
      </w:pPr>
      <w:r>
        <w:rPr>
          <w:b w:val="0"/>
          <w:sz w:val="22"/>
        </w:rPr>
        <w:t xml:space="preserve">6.  </w:t>
      </w:r>
      <w:r>
        <w:rPr>
          <w:b/>
          <w:i w:val="0"/>
          <w:sz w:val="22"/>
        </w:rPr>
        <w:t xml:space="preserve">If the Sponsoring Member leaves.</w:t>
      </w:r>
      <w:r>
        <w:rPr>
          <w:b w:val="0"/>
          <w:i w:val="0"/>
          <w:sz w:val="22"/>
        </w:rPr>
        <w:t xml:space="preserve"> This Agreement terminates with the Sponsoring Member’s membership (Section 2.5), through no fault of the Contributor. That does not extinguish the Unpaid Balance, which is payable first from the Sponsoring Member’s Account balance under Section 8.7 of the Operating Agreement. Within thirty (30) days the Company will decide, and tell the Contributor in writing, whether it is offering another sponsor, a place in the Contractor Pool, or a conventional engagement. A Contributor who accepts another sponsor or a place in the Pool carries any remaining Unpaid Balance into it.</w:t>
      </w:r>
    </w:p>
    <w:p>
      <w:pPr>
        <w:pStyle w:val="Heading3"/>
      </w:pPr>
      <w:r>
        <w:rPr>
          <w:b/>
          <w:i/>
          <w:sz w:val="22"/>
        </w:rPr>
        <w:t>☐  Option C — Conventional compensation</w:t>
      </w:r>
    </w:p>
    <w:p>
      <w:pPr>
        <w:spacing w:after="120"/>
        <w:ind w:left="576" w:hanging="576"/>
      </w:pPr>
      <w:r>
        <w:rPr>
          <w:b w:val="0"/>
          <w:sz w:val="22"/>
        </w:rPr>
        <w:t xml:space="preserve">1.  </w:t>
      </w:r>
      <w:r>
        <w:rPr>
          <w:b/>
          <w:i w:val="0"/>
          <w:sz w:val="22"/>
        </w:rPr>
        <w:t>Approval.</w:t>
      </w:r>
      <w:r>
        <w:rPr>
          <w:b w:val="0"/>
          <w:i w:val="0"/>
          <w:sz w:val="22"/>
        </w:rPr>
        <w:t xml:space="preserve"> The Members have approved this engagement by Supermajority vote on ____________ (date), per Sections 3.6 and 5.3 of the Operating Agreement. A conventional engagement commits the Company to pay cash on a date whatever the work earns, so it is a collective decision — no single Member may enter one, whatever resources it is paid from.</w:t>
      </w:r>
    </w:p>
    <w:p>
      <w:pPr>
        <w:spacing w:after="120"/>
        <w:ind w:left="576" w:hanging="576"/>
      </w:pPr>
      <w:r>
        <w:rPr>
          <w:b w:val="0"/>
          <w:sz w:val="22"/>
        </w:rPr>
        <w:t xml:space="preserve">2.  </w:t>
      </w:r>
      <w:r>
        <w:rPr>
          <w:b/>
          <w:i w:val="0"/>
          <w:sz w:val="22"/>
        </w:rPr>
        <w:t>Amount.</w:t>
      </w:r>
      <w:r>
        <w:rPr>
          <w:b w:val="0"/>
          <w:i w:val="0"/>
          <w:sz w:val="22"/>
        </w:rPr>
        <w:t xml:space="preserve"> ☐ Fixed fee of $____________ ☐ Hourly rate of $____________ ☐ Per-milestone amounts stated in Exhibit 1.</w:t>
      </w:r>
    </w:p>
    <w:p>
      <w:pPr>
        <w:spacing w:after="120"/>
        <w:ind w:left="576" w:hanging="576"/>
      </w:pPr>
      <w:r>
        <w:rPr>
          <w:b w:val="0"/>
          <w:sz w:val="22"/>
        </w:rPr>
        <w:t xml:space="preserve">3.  </w:t>
      </w:r>
      <w:r>
        <w:rPr>
          <w:b/>
          <w:i w:val="0"/>
          <w:sz w:val="22"/>
        </w:rPr>
        <w:t>Invoicing and payment.</w:t>
      </w:r>
      <w:r>
        <w:rPr>
          <w:b w:val="0"/>
          <w:i w:val="0"/>
          <w:sz w:val="22"/>
        </w:rPr>
        <w:t xml:space="preserve"> The Contributor invoices ☐ on completion ☐ monthly ☐ per milestone, and the Company pays within thirty (30) days of a correct invoice.</w:t>
      </w:r>
    </w:p>
    <w:p>
      <w:pPr>
        <w:spacing w:after="120"/>
        <w:ind w:left="576" w:hanging="576"/>
      </w:pPr>
      <w:r>
        <w:rPr>
          <w:b w:val="0"/>
          <w:sz w:val="22"/>
        </w:rPr>
        <w:t xml:space="preserve">4.  </w:t>
      </w:r>
      <w:r>
        <w:rPr>
          <w:b/>
          <w:i w:val="0"/>
          <w:sz w:val="22"/>
        </w:rPr>
        <w:t>Not employment.</w:t>
      </w:r>
      <w:r>
        <w:rPr>
          <w:b w:val="0"/>
          <w:i w:val="0"/>
          <w:sz w:val="22"/>
        </w:rPr>
        <w:t xml:space="preserve"> This is a fee for defined work, not a wage. The Company has no employees and runs no payroll (Section 3.2 of the Operating Agreement); the Contributor is an independent contractor under Section 4.</w:t>
      </w:r>
    </w:p>
    <w:p>
      <w:pPr>
        <w:pStyle w:val="Heading3"/>
      </w:pPr>
      <w:r>
        <w:rPr>
          <w:b/>
          <w:i/>
          <w:sz w:val="22"/>
        </w:rPr>
        <w:t>☐  Option D — Volunteer engagement (no compensation)</w:t>
      </w:r>
    </w:p>
    <w:p>
      <w:pPr>
        <w:spacing w:after="120"/>
        <w:ind w:left="576" w:hanging="576"/>
      </w:pPr>
      <w:r>
        <w:rPr>
          <w:b w:val="0"/>
          <w:sz w:val="22"/>
        </w:rPr>
        <w:t xml:space="preserve">1.  </w:t>
      </w:r>
      <w:r>
        <w:rPr>
          <w:b/>
          <w:i w:val="0"/>
          <w:sz w:val="22"/>
        </w:rPr>
        <w:t>Voluntariness; why unpaid.</w:t>
      </w:r>
      <w:r>
        <w:rPr>
          <w:b w:val="0"/>
          <w:i w:val="0"/>
          <w:sz w:val="22"/>
        </w:rPr>
        <w:t xml:space="preserve"> The Contributor volunteers the Services at their own initiative, as a Volunteer under Section 3.8 of the Operating Agreement. The Company’s goal is to compensate contributors; this engagement is unpaid because payment is not currently a viable path for the Contributor: ☐ a pre-existing obligation of the Contributor (for example, an employer’s non-compete, moonlighting, or conflict-of-interest restriction) prevents accepting compensation from a company in this industry ☐ other, described: _______________________________ — which must be a constraint of the same kind, a legal or contractual bar on this Contributor accepting payment, and never a matter of the Company’s convenience or budget. The Company has not solicited unpaid labor in place of a compensated engagement, and volunteering is not a condition of candidacy or membership.</w:t>
      </w:r>
    </w:p>
    <w:p>
      <w:pPr>
        <w:spacing w:after="120"/>
        <w:ind w:left="576" w:hanging="576"/>
      </w:pPr>
      <w:r>
        <w:rPr>
          <w:b w:val="0"/>
          <w:sz w:val="22"/>
        </w:rPr>
        <w:t xml:space="preserve">2.  </w:t>
      </w:r>
      <w:r>
        <w:rPr>
          <w:b/>
          <w:i w:val="0"/>
          <w:sz w:val="22"/>
        </w:rPr>
        <w:t>No compensation.</w:t>
      </w:r>
      <w:r>
        <w:rPr>
          <w:b w:val="0"/>
          <w:i w:val="0"/>
          <w:sz w:val="22"/>
        </w:rPr>
        <w:t xml:space="preserve"> No compensation is payable for the Services, and no deferred, retroactive, or contingent compensation accrues from them. When compensation becomes viable, a new agreement (or a signed amendment) under one of Options A–C applies prospectively only — and the Company’s intent is to make that move as soon as the constraint lifts.</w:t>
      </w:r>
    </w:p>
    <w:p>
      <w:pPr>
        <w:spacing w:after="120"/>
        <w:ind w:left="576" w:hanging="576"/>
      </w:pPr>
      <w:r>
        <w:rPr>
          <w:b w:val="0"/>
          <w:sz w:val="22"/>
        </w:rPr>
        <w:t xml:space="preserve">3.  </w:t>
      </w:r>
      <w:r>
        <w:rPr>
          <w:b/>
          <w:i w:val="0"/>
          <w:sz w:val="22"/>
        </w:rPr>
        <w:t>Withdrawal at will.</w:t>
      </w:r>
      <w:r>
        <w:rPr>
          <w:b w:val="0"/>
          <w:i w:val="0"/>
          <w:sz w:val="22"/>
        </w:rPr>
        <w:t xml:space="preserve"> Notwithstanding Section 2, the Contributor may end this engagement at any time, effective immediately, without notice and without liability. Work Product already contributed remains assigned under Section 5.</w:t>
      </w:r>
    </w:p>
    <w:p>
      <w:pPr>
        <w:spacing w:after="120"/>
        <w:ind w:left="576" w:hanging="576"/>
      </w:pPr>
      <w:r>
        <w:rPr>
          <w:b w:val="0"/>
          <w:sz w:val="22"/>
        </w:rPr>
        <w:t xml:space="preserve">4.  </w:t>
      </w:r>
      <w:r>
        <w:rPr>
          <w:b/>
          <w:i w:val="0"/>
          <w:sz w:val="22"/>
        </w:rPr>
        <w:t>Everything else applies.</w:t>
      </w:r>
      <w:r>
        <w:rPr>
          <w:b w:val="0"/>
          <w:i w:val="0"/>
          <w:sz w:val="22"/>
        </w:rPr>
        <w:t xml:space="preserve"> Credit (Section 6), the path to candidacy (Section 7), narrow confidentiality (Section 8), and non-exclusivity (Section 9) apply in full. A Volunteer is on the same candidacy clock as everyone else: it starts on the first day of work and the Company votes before the sixth month is out.</w:t>
      </w:r>
    </w:p>
    <w:p>
      <w:pPr>
        <w:spacing w:after="120"/>
        <w:ind w:left="576" w:hanging="576"/>
      </w:pPr>
      <w:r>
        <w:rPr>
          <w:b w:val="0"/>
          <w:sz w:val="22"/>
        </w:rPr>
        <w:t xml:space="preserve">5.  </w:t>
      </w:r>
      <w:r>
        <w:rPr>
          <w:b/>
          <w:i w:val="0"/>
          <w:sz w:val="22"/>
        </w:rPr>
        <w:t>What the Contributor gets in exchange.</w:t>
      </w:r>
      <w:r>
        <w:rPr>
          <w:b w:val="0"/>
          <w:i w:val="0"/>
          <w:sz w:val="22"/>
        </w:rPr>
        <w:t xml:space="preserve"> In consideration of the assignment in Section 5, the Company grants the Contributor the credit in Section 6, the candidacy path in Section 7, and a worldwide, perpetual, irrevocable, royalty-free, non-exclusive license, personal to the Contributor, to use, modify, and build on the Work Product the Contributor created under this Agreement, for any purpose including the Contributor’s own commercial projects — on the same terms, and with the same limits, as the Member license in Section 7.3 of the Operating Agreement. The parties intend this as full and adequate consideration for the assignment. No one gives this Company work for nothing.</w:t>
      </w:r>
    </w:p>
    <w:p>
      <w:pPr>
        <w:spacing w:after="120"/>
        <w:ind w:left="576" w:hanging="576"/>
      </w:pPr>
      <w:r>
        <w:rPr>
          <w:b w:val="0"/>
          <w:sz w:val="22"/>
        </w:rPr>
        <w:t xml:space="preserve">6.  </w:t>
      </w:r>
      <w:r>
        <w:rPr>
          <w:b/>
          <w:i w:val="0"/>
          <w:sz w:val="22"/>
        </w:rPr>
        <w:t>When the constraint lifts.</w:t>
      </w:r>
      <w:r>
        <w:rPr>
          <w:b w:val="0"/>
          <w:i w:val="0"/>
          <w:sz w:val="22"/>
        </w:rPr>
        <w:t xml:space="preserve"> The Contributor tells the Company when the constraint in paragraph 1 no longer applies. Within thirty (30) days the Company offers a compensated engagement under Option A, B, or C, or explains in writing why it cannot and when it will revisit.</w:t>
      </w:r>
    </w:p>
    <w:p>
      <w:pPr>
        <w:spacing w:after="120"/>
      </w:pPr>
      <w:r>
        <w:rPr>
          <w:b/>
          <w:i w:val="0"/>
          <w:sz w:val="22"/>
        </w:rPr>
        <w:t>Transparency.</w:t>
      </w:r>
      <w:r>
        <w:rPr>
          <w:b w:val="0"/>
          <w:i w:val="0"/>
          <w:sz w:val="22"/>
        </w:rPr>
        <w:t xml:space="preserve"> The Contributor acknowledges that, consistent with the Operating Agreement, the Contributor’s engagement form and any Threshold are visible to all Members.</w:t>
      </w:r>
    </w:p>
    <w:p>
      <w:pPr>
        <w:pStyle w:val="Heading2"/>
      </w:pPr>
      <w:r>
        <w:rPr>
          <w:b/>
          <w:i w:val="0"/>
          <w:sz w:val="24"/>
        </w:rPr>
        <w:t>4. Independent Contractor Status</w:t>
      </w:r>
    </w:p>
    <w:p>
      <w:pPr>
        <w:spacing w:after="120"/>
        <w:ind w:left="576" w:hanging="576"/>
      </w:pPr>
      <w:r>
        <w:rPr>
          <w:b w:val="0"/>
          <w:sz w:val="22"/>
        </w:rPr>
        <w:t xml:space="preserve">1.  </w:t>
      </w:r>
      <w:r>
        <w:rPr>
          <w:b w:val="0"/>
          <w:i w:val="0"/>
          <w:sz w:val="22"/>
        </w:rPr>
        <w:t>The Contributor is an independent contractor, not an employee, partner, member, or agent of the Company, and has no authority to bind the Company.</w:t>
      </w:r>
    </w:p>
    <w:p>
      <w:pPr>
        <w:spacing w:after="120"/>
        <w:ind w:left="576" w:hanging="576"/>
      </w:pPr>
      <w:r>
        <w:rPr>
          <w:b w:val="0"/>
          <w:sz w:val="22"/>
        </w:rPr>
        <w:t xml:space="preserve">2.  </w:t>
      </w:r>
      <w:r>
        <w:rPr>
          <w:b w:val="0"/>
          <w:i w:val="0"/>
          <w:sz w:val="22"/>
        </w:rPr>
        <w:t>The Contributor is responsible for their own taxes, including self-employment taxes. The Company will issue any required information returns (for example, Form 1099).</w:t>
      </w:r>
    </w:p>
    <w:p>
      <w:pPr>
        <w:spacing w:after="120"/>
        <w:ind w:left="576" w:hanging="576"/>
      </w:pPr>
      <w:r>
        <w:rPr>
          <w:b w:val="0"/>
          <w:sz w:val="22"/>
        </w:rPr>
        <w:t xml:space="preserve">3.  </w:t>
      </w:r>
      <w:r>
        <w:rPr>
          <w:b w:val="0"/>
          <w:i w:val="0"/>
          <w:sz w:val="22"/>
        </w:rPr>
        <w:t>The Contributor is not eligible for employee benefits and is not covered by the Company’s insurance except as required by law.</w:t>
      </w:r>
    </w:p>
    <w:p>
      <w:pPr>
        <w:spacing w:after="120"/>
        <w:ind w:left="576" w:hanging="576"/>
      </w:pPr>
      <w:r>
        <w:rPr>
          <w:b w:val="0"/>
          <w:sz w:val="22"/>
        </w:rPr>
        <w:t xml:space="preserve">4.  </w:t>
      </w:r>
      <w:r>
        <w:rPr>
          <w:b w:val="0"/>
          <w:i w:val="0"/>
          <w:sz w:val="22"/>
        </w:rPr>
        <w:t>The Contributor provides their own equipment and tools unless Exhibit 1 states otherwise.</w:t>
      </w:r>
    </w:p>
    <w:p>
      <w:pPr>
        <w:spacing w:after="120"/>
        <w:ind w:left="576" w:hanging="576"/>
      </w:pPr>
      <w:r>
        <w:rPr>
          <w:b w:val="0"/>
          <w:sz w:val="22"/>
        </w:rPr>
        <w:t xml:space="preserve">5.  </w:t>
      </w:r>
      <w:r>
        <w:rPr>
          <w:b/>
          <w:i w:val="0"/>
          <w:sz w:val="22"/>
        </w:rPr>
        <w:t>If a government agency disagrees.</w:t>
      </w:r>
      <w:r>
        <w:rPr>
          <w:b w:val="0"/>
          <w:i w:val="0"/>
          <w:sz w:val="22"/>
        </w:rPr>
        <w:t xml:space="preserve"> If any authority determines the Contributor was an employee rather than an independent contractor, this Agreement stays in effect except where the law requires otherwise; the assignment in Section 5 and the credit in Section 6 are unaffected; and amounts already paid under Section 3 are credited against any amount then found owing as wages. Neither party waives any position on the question by signing this.</w:t>
      </w:r>
    </w:p>
    <w:p>
      <w:pPr>
        <w:pStyle w:val="Heading2"/>
      </w:pPr>
      <w:r>
        <w:rPr>
          <w:b/>
          <w:i w:val="0"/>
          <w:sz w:val="24"/>
        </w:rPr>
        <w:t>5. Intellectual Property</w:t>
      </w:r>
    </w:p>
    <w:p>
      <w:pPr>
        <w:spacing w:after="120"/>
        <w:ind w:left="576" w:hanging="576"/>
      </w:pPr>
      <w:r>
        <w:rPr>
          <w:b w:val="0"/>
          <w:sz w:val="22"/>
        </w:rPr>
        <w:t xml:space="preserve">1.  </w:t>
      </w:r>
      <w:r>
        <w:rPr>
          <w:b/>
          <w:i w:val="0"/>
          <w:sz w:val="22"/>
        </w:rPr>
        <w:t>Work made for hire; assignment.</w:t>
      </w:r>
      <w:r>
        <w:rPr>
          <w:b w:val="0"/>
          <w:i w:val="0"/>
          <w:sz w:val="22"/>
        </w:rPr>
        <w:t xml:space="preserve"> All work product the Contributor creates in performing the Services (the “Work Product”) is a “work made for hire” for the Company to the fullest extent permitted by law. To the extent any Work Product is not a work made for hire, the Contributor hereby irrevocably assigns to the Company, upon creation, all right, title, and interest in it, including all copyrights, patent rights, trademark rights, and trade secrets, worldwide.</w:t>
      </w:r>
    </w:p>
    <w:p>
      <w:pPr>
        <w:spacing w:after="120"/>
        <w:ind w:left="576" w:hanging="576"/>
      </w:pPr>
      <w:r>
        <w:rPr>
          <w:b w:val="0"/>
          <w:sz w:val="22"/>
        </w:rPr>
        <w:t xml:space="preserve">2.  </w:t>
      </w:r>
      <w:r>
        <w:rPr>
          <w:b/>
          <w:i w:val="0"/>
          <w:sz w:val="22"/>
        </w:rPr>
        <w:t>Moral rights.</w:t>
      </w:r>
      <w:r>
        <w:rPr>
          <w:b w:val="0"/>
          <w:i w:val="0"/>
          <w:sz w:val="22"/>
        </w:rPr>
        <w:t xml:space="preserve"> To the extent permitted by law, the Contributor waives, and agrees not to assert, any moral rights in the Work Product against the Company or its licensees.</w:t>
      </w:r>
    </w:p>
    <w:p>
      <w:pPr>
        <w:spacing w:after="120"/>
        <w:ind w:left="576" w:hanging="576"/>
      </w:pPr>
      <w:r>
        <w:rPr>
          <w:b w:val="0"/>
          <w:sz w:val="22"/>
        </w:rPr>
        <w:t xml:space="preserve">3.  </w:t>
      </w:r>
      <w:r>
        <w:rPr>
          <w:b/>
          <w:i w:val="0"/>
          <w:sz w:val="22"/>
        </w:rPr>
        <w:t>Further assurances.</w:t>
      </w:r>
      <w:r>
        <w:rPr>
          <w:b w:val="0"/>
          <w:i w:val="0"/>
          <w:sz w:val="22"/>
        </w:rPr>
        <w:t xml:space="preserve"> The Contributor will execute any documents the Company reasonably requests to perfect or record the Company’s ownership.</w:t>
      </w:r>
    </w:p>
    <w:p>
      <w:pPr>
        <w:spacing w:after="120"/>
        <w:ind w:left="576" w:hanging="576"/>
      </w:pPr>
      <w:r>
        <w:rPr>
          <w:b w:val="0"/>
          <w:sz w:val="22"/>
        </w:rPr>
        <w:t xml:space="preserve">4.  </w:t>
      </w:r>
      <w:r>
        <w:rPr>
          <w:b/>
          <w:i w:val="0"/>
          <w:sz w:val="22"/>
        </w:rPr>
        <w:t>Pre-existing materials.</w:t>
      </w:r>
      <w:r>
        <w:rPr>
          <w:b w:val="0"/>
          <w:i w:val="0"/>
          <w:sz w:val="22"/>
        </w:rPr>
        <w:t xml:space="preserve"> Tools, libraries, and materials the Contributor created before or outside this engagement and listed in Exhibit 2 remain the Contributor’s. To the extent the Contributor incorporates any of them into Work Product, the Contributor grants the Company a perpetual, irrevocable, worldwide, royalty-free, non-exclusive license to use them as embedded in the Work Product and its derivatives.</w:t>
      </w:r>
    </w:p>
    <w:p>
      <w:pPr>
        <w:spacing w:after="120"/>
        <w:ind w:left="576" w:hanging="576"/>
      </w:pPr>
      <w:r>
        <w:rPr>
          <w:b w:val="0"/>
          <w:sz w:val="22"/>
        </w:rPr>
        <w:t xml:space="preserve">5.  </w:t>
      </w:r>
      <w:r>
        <w:rPr>
          <w:b/>
          <w:i w:val="0"/>
          <w:sz w:val="22"/>
        </w:rPr>
        <w:t>Portfolio right.</w:t>
      </w:r>
      <w:r>
        <w:rPr>
          <w:b w:val="0"/>
          <w:i w:val="0"/>
          <w:sz w:val="22"/>
        </w:rPr>
        <w:t xml:space="preserve"> After a project is publicly released (or with the Company’s earlier written consent), the Contributor may display excerpts of their contribution in their portfolio, reel, and professional materials, with credit to the Company.</w:t>
      </w:r>
    </w:p>
    <w:p>
      <w:pPr>
        <w:spacing w:after="120"/>
        <w:ind w:left="576" w:hanging="576"/>
      </w:pPr>
      <w:r>
        <w:rPr>
          <w:b w:val="0"/>
          <w:sz w:val="22"/>
        </w:rPr>
        <w:t xml:space="preserve">6.  </w:t>
      </w:r>
      <w:r>
        <w:rPr>
          <w:b/>
          <w:i w:val="0"/>
          <w:sz w:val="22"/>
        </w:rPr>
        <w:t>What the Contributor warrants — and the limit on it.</w:t>
      </w:r>
      <w:r>
        <w:rPr>
          <w:b w:val="0"/>
          <w:i w:val="0"/>
          <w:sz w:val="22"/>
        </w:rPr>
        <w:t xml:space="preserve"> The Contributor represents that the Work Product is their own original work, that it does not infringe anyone’s rights, that they have the right to grant what this Section grants, and that every third-party, open-source, marketplace, and AI-generated component in it is identified — in Exhibit 2, or in writing to the Company on delivery — with the license terms it comes under. The Company relies on this to keep the Work Pool clean and to keep its promise that every Member may take the work with them. The Contributor’s total liability under this Agreement is limited to the amounts the Company has actually paid them, except for a breach of this paragraph or for willful misconduct. The Company’s liability to the Contributor is not limited.</w:t>
      </w:r>
    </w:p>
    <w:p>
      <w:pPr>
        <w:spacing w:after="120"/>
      </w:pPr>
      <w:r>
        <w:rPr>
          <w:b/>
          <w:i w:val="0"/>
          <w:sz w:val="22"/>
        </w:rPr>
        <w:t>Why the Company takes full ownership.</w:t>
      </w:r>
      <w:r>
        <w:rPr>
          <w:b w:val="0"/>
          <w:i w:val="0"/>
          <w:sz w:val="22"/>
        </w:rPr>
        <w:t xml:space="preserve"> Section 3.7 of the Operating Agreement requires it: the Company cannot license or protect work it does not own, and no project should enter the Work Pool carrying a contributor's retained rights. The long-term path here is not for contributors to hold slivers of IP. It is for contributors to become Members — at which point they receive the same perpetual, irrevocable license to </w:t>
      </w:r>
      <w:r>
        <w:rPr>
          <w:b w:val="0"/>
          <w:i/>
          <w:sz w:val="22"/>
        </w:rPr>
        <w:t>all</w:t>
      </w:r>
      <w:r>
        <w:rPr>
          <w:b w:val="0"/>
          <w:i w:val="0"/>
          <w:sz w:val="22"/>
        </w:rPr>
        <w:t xml:space="preserve"> Company IP that every Member holds, along with the right to be handed the actual files (Section 7.3 of the Operating Agreement). A Contributor who is unpaid under Option D receives a license back to their own work immediately, under Section 3, Option D, paragraph 5.</w:t>
      </w:r>
    </w:p>
    <w:p>
      <w:pPr>
        <w:pStyle w:val="Heading2"/>
      </w:pPr>
      <w:r>
        <w:rPr>
          <w:b/>
          <w:i w:val="0"/>
          <w:sz w:val="24"/>
        </w:rPr>
        <w:t>6. Credit</w:t>
      </w:r>
    </w:p>
    <w:p>
      <w:pPr>
        <w:spacing w:after="120"/>
      </w:pPr>
      <w:r>
        <w:rPr>
          <w:b w:val="0"/>
          <w:i w:val="0"/>
          <w:sz w:val="22"/>
        </w:rPr>
        <w:t>The Contributor will be credited by name (or a professional name they designate in writing) in the credits of any released project to which they contributed. Failure to credit due to good-faith error will be corrected in the next practicable update. The Company will require this credit obligation in any agreement under which a third party publishes or distributes a project the Contributor worked on; the Company does not trade away its workers’ names.</w:t>
      </w:r>
    </w:p>
    <w:p>
      <w:pPr>
        <w:pStyle w:val="Heading2"/>
      </w:pPr>
      <w:r>
        <w:rPr>
          <w:b/>
          <w:i w:val="0"/>
          <w:sz w:val="24"/>
        </w:rPr>
        <w:t>7. Path to Candidacy and Membership</w:t>
      </w:r>
    </w:p>
    <w:p>
      <w:pPr>
        <w:spacing w:after="120"/>
      </w:pPr>
      <w:r>
        <w:rPr>
          <w:b/>
          <w:i w:val="0"/>
          <w:sz w:val="22"/>
        </w:rPr>
        <w:t>Candidacy begins on your first day.</w:t>
      </w:r>
      <w:r>
        <w:rPr>
          <w:b w:val="0"/>
          <w:i w:val="0"/>
          <w:sz w:val="22"/>
        </w:rPr>
        <w:t xml:space="preserve"> The Candidacy Period described in Section 2.3 of the Operating Agreement starts on the Start Date and runs six (6) months. The Contributor does not apply for it, no one approves it, and it cannot be withheld. Time already worked for the Company — paid or volunteer — counts toward the six months.</w:t>
      </w:r>
    </w:p>
    <w:p>
      <w:pPr>
        <w:spacing w:after="120"/>
      </w:pPr>
      <w:r>
        <w:rPr>
          <w:b/>
          <w:i w:val="0"/>
          <w:sz w:val="22"/>
        </w:rPr>
        <w:t>The Company votes before the sixth month ends.</w:t>
      </w:r>
      <w:r>
        <w:rPr>
          <w:b w:val="0"/>
          <w:i w:val="0"/>
          <w:sz w:val="22"/>
        </w:rPr>
        <w:t xml:space="preserve"> The Contributor receives the result in writing within thirty (30) days of the vote. If admission is declined, that writing states plainly where the Members see the misalignment — in the work, in the fit, or in the Company’s own capacity to carry another Member. It is a statement of reasons, not a promise that any particular change would produce a different answer.</w:t>
      </w:r>
    </w:p>
    <w:p>
      <w:pPr>
        <w:spacing w:after="120"/>
      </w:pPr>
      <w:r>
        <w:rPr>
          <w:b/>
          <w:i w:val="0"/>
          <w:sz w:val="22"/>
        </w:rPr>
        <w:t>The engagement does not outlast the decision.</w:t>
      </w:r>
      <w:r>
        <w:rPr>
          <w:b w:val="0"/>
          <w:i w:val="0"/>
          <w:sz w:val="22"/>
        </w:rPr>
        <w:t xml:space="preserve"> If the Contributor is not admitted by the end of the sixth month, this Agreement terminates under Section 2.6. The only exception is where the Contributor has declined membership in writing, in which case the Members may extend by Supermajority in renewable six-month terms. The Company does not keep people working as non-owners indefinitely; that is the point of the ceiling, and it runs in the Contributor’s favour.</w:t>
      </w:r>
    </w:p>
    <w:p>
      <w:pPr>
        <w:spacing w:after="120"/>
      </w:pPr>
      <w:r>
        <w:rPr>
          <w:b/>
          <w:i w:val="0"/>
          <w:sz w:val="22"/>
        </w:rPr>
        <w:t xml:space="preserve">What membership is.</w:t>
      </w:r>
      <w:r>
        <w:rPr>
          <w:b w:val="0"/>
          <w:i w:val="0"/>
          <w:sz w:val="22"/>
        </w:rPr>
        <w:t xml:space="preserve"> No buy-in, an equal seat, an equal share, and an equal vote — the same as every other Member, from the first day. On admission this Agreement terminates and the person’s work is governed by the Operating Agreement, including the perpetual IP licence to Members and the right to be handed the actual files under Section 7.3, clause 7. Any Unpaid Balance survives admission and keeps being paid (Section 3, Option A, paragraph 9, which Option B adopts).</w:t>
      </w:r>
    </w:p>
    <w:p>
      <w:pPr>
        <w:pStyle w:val="Heading2"/>
      </w:pPr>
      <w:r>
        <w:rPr>
          <w:b/>
          <w:i w:val="0"/>
          <w:sz w:val="24"/>
        </w:rPr>
        <w:t>8. Confidentiality — Narrow by Design</w:t>
      </w:r>
    </w:p>
    <w:p>
      <w:pPr>
        <w:spacing w:after="120"/>
        <w:ind w:left="576" w:hanging="576"/>
      </w:pPr>
      <w:r>
        <w:rPr>
          <w:b w:val="0"/>
          <w:sz w:val="22"/>
        </w:rPr>
        <w:t xml:space="preserve">1.  </w:t>
      </w:r>
      <w:r>
        <w:rPr>
          <w:b/>
          <w:i w:val="0"/>
          <w:sz w:val="22"/>
        </w:rPr>
        <w:t>What is confidential.</w:t>
      </w:r>
      <w:r>
        <w:rPr>
          <w:b w:val="0"/>
          <w:i w:val="0"/>
          <w:sz w:val="22"/>
        </w:rPr>
        <w:t xml:space="preserve"> “Confidential Information” means only: unreleased builds, source code, and assets not yet made public; access credentials and keys; personal data of players, community members, Members, and other contributors; and third parties’ information the Company is obligated to protect.</w:t>
      </w:r>
    </w:p>
    <w:p>
      <w:pPr>
        <w:spacing w:after="120"/>
        <w:ind w:left="576" w:hanging="576"/>
      </w:pPr>
      <w:r>
        <w:rPr>
          <w:b w:val="0"/>
          <w:sz w:val="22"/>
        </w:rPr>
        <w:t xml:space="preserve">2.  </w:t>
      </w:r>
      <w:r>
        <w:rPr>
          <w:b/>
          <w:i w:val="0"/>
          <w:sz w:val="22"/>
        </w:rPr>
        <w:t>What is never confidential.</w:t>
      </w:r>
      <w:r>
        <w:rPr>
          <w:b w:val="0"/>
          <w:i w:val="0"/>
          <w:sz w:val="22"/>
        </w:rPr>
        <w:t xml:space="preserve"> Nothing in this Agreement restricts the Contributor from discussing or disclosing their own compensation, their working conditions, the fact and general nature of this engagement, or from any communication protected by law, including Section 7 of the National Labor Relations Act. Whether or not that Act reaches this engagement, the Company will not restrict these discussions as a matter of contract. The Company practices candid discourse and does not use confidentiality to silence workers.</w:t>
      </w:r>
    </w:p>
    <w:p>
      <w:pPr>
        <w:spacing w:after="120"/>
        <w:ind w:left="576" w:hanging="576"/>
      </w:pPr>
      <w:r>
        <w:rPr>
          <w:b w:val="0"/>
          <w:sz w:val="22"/>
        </w:rPr>
        <w:t xml:space="preserve">3.  </w:t>
      </w:r>
      <w:r>
        <w:rPr>
          <w:b/>
          <w:i w:val="0"/>
          <w:sz w:val="22"/>
        </w:rPr>
        <w:t>Duration.</w:t>
      </w:r>
      <w:r>
        <w:rPr>
          <w:b w:val="0"/>
          <w:i w:val="0"/>
          <w:sz w:val="22"/>
        </w:rPr>
        <w:t xml:space="preserve"> Confidentiality obligations end when the information becomes public through no breach, and in any event three (3) years after termination — except for personal data and third-party obligations, which last as long as the underlying duty.</w:t>
      </w:r>
    </w:p>
    <w:p>
      <w:pPr>
        <w:pStyle w:val="Heading2"/>
      </w:pPr>
      <w:r>
        <w:rPr>
          <w:b/>
          <w:i w:val="0"/>
          <w:sz w:val="24"/>
        </w:rPr>
        <w:t>9. No Exclusivity</w:t>
      </w:r>
    </w:p>
    <w:p>
      <w:pPr>
        <w:spacing w:after="120"/>
      </w:pPr>
      <w:r>
        <w:rPr>
          <w:b w:val="0"/>
          <w:i w:val="0"/>
          <w:sz w:val="22"/>
        </w:rPr>
        <w:t>This engagement is non-exclusive in both directions. The Contributor may work for others, including other studios, and the Company may engage others for similar services. The Company encourages outside work and asks only that the Contributor avoid unauthorized use of Confidential Information or Work Product.</w:t>
      </w:r>
    </w:p>
    <w:p>
      <w:pPr>
        <w:pStyle w:val="Heading2"/>
      </w:pPr>
      <w:r>
        <w:rPr>
          <w:b/>
          <w:i w:val="0"/>
          <w:sz w:val="24"/>
        </w:rPr>
        <w:t>10. Dispute Resolution</w:t>
      </w:r>
    </w:p>
    <w:p>
      <w:pPr>
        <w:spacing w:after="120"/>
      </w:pPr>
      <w:r>
        <w:rPr>
          <w:b w:val="0"/>
          <w:i w:val="0"/>
          <w:sz w:val="22"/>
        </w:rPr>
        <w:t>The parties will first attempt in good faith to resolve any dispute by direct, candid discussion, and may agree to mediation before pursuing other remedies. Nothing in this Agreement waives the Contributor’s non-waivable statutory rights, including the right to pursue harassment or discrimination claims before the appropriate agency.</w:t>
      </w:r>
    </w:p>
    <w:p>
      <w:pPr>
        <w:pStyle w:val="Heading2"/>
      </w:pPr>
      <w:r>
        <w:rPr>
          <w:b/>
          <w:i w:val="0"/>
          <w:sz w:val="24"/>
        </w:rPr>
        <w:t>11. General</w:t>
      </w:r>
    </w:p>
    <w:p>
      <w:pPr>
        <w:spacing w:after="120"/>
        <w:ind w:left="576" w:hanging="576"/>
      </w:pPr>
      <w:r>
        <w:rPr>
          <w:b w:val="0"/>
          <w:sz w:val="22"/>
        </w:rPr>
        <w:t xml:space="preserve">1.  </w:t>
      </w:r>
      <w:r>
        <w:rPr>
          <w:b w:val="0"/>
          <w:i w:val="0"/>
          <w:sz w:val="22"/>
        </w:rPr>
        <w:t>This Agreement is governed by the laws of the State of Texas, without regard to conflict-of-laws principles.</w:t>
      </w:r>
    </w:p>
    <w:p>
      <w:pPr>
        <w:spacing w:after="120"/>
        <w:ind w:left="576" w:hanging="576"/>
      </w:pPr>
      <w:r>
        <w:rPr>
          <w:b w:val="0"/>
          <w:sz w:val="22"/>
        </w:rPr>
        <w:t xml:space="preserve">2.  </w:t>
      </w:r>
      <w:r>
        <w:rPr>
          <w:b w:val="0"/>
          <w:i w:val="0"/>
          <w:sz w:val="22"/>
        </w:rPr>
        <w:t>This Agreement, with its Exhibits, is the entire agreement about its subject and supersedes prior discussions. It may be amended only in a writing signed by all parties.</w:t>
      </w:r>
    </w:p>
    <w:p>
      <w:pPr>
        <w:spacing w:after="120"/>
        <w:ind w:left="576" w:hanging="576"/>
      </w:pPr>
      <w:r>
        <w:rPr>
          <w:b w:val="0"/>
          <w:sz w:val="22"/>
        </w:rPr>
        <w:t xml:space="preserve">3.  </w:t>
      </w:r>
      <w:r>
        <w:rPr>
          <w:b w:val="0"/>
          <w:i w:val="0"/>
          <w:sz w:val="22"/>
        </w:rPr>
        <w:t>If any provision is held unenforceable, the rest remains in effect.</w:t>
      </w:r>
    </w:p>
    <w:p>
      <w:pPr>
        <w:spacing w:after="120"/>
        <w:ind w:left="576" w:hanging="576"/>
      </w:pPr>
      <w:r>
        <w:rPr>
          <w:b w:val="0"/>
          <w:sz w:val="22"/>
        </w:rPr>
        <w:t xml:space="preserve">4.  </w:t>
      </w:r>
      <w:r>
        <w:rPr>
          <w:b w:val="0"/>
          <w:i w:val="0"/>
          <w:sz w:val="22"/>
        </w:rPr>
        <w:t>This Agreement may be signed in counterparts, including electronically.</w:t>
      </w:r>
    </w:p>
    <w:p>
      <w:pPr>
        <w:spacing w:after="120"/>
        <w:ind w:left="576" w:hanging="576"/>
      </w:pPr>
      <w:r>
        <w:rPr>
          <w:b w:val="0"/>
          <w:sz w:val="22"/>
        </w:rPr>
        <w:t xml:space="preserve">5.  </w:t>
      </w:r>
      <w:r>
        <w:rPr>
          <w:b w:val="0"/>
          <w:i w:val="0"/>
          <w:sz w:val="22"/>
        </w:rPr>
        <w:t>Where this Agreement conflicts with the Operating Agreement, the Operating Agreement controls as among the Company and its Members; this Agreement controls as to the Contributor’s compensation and rights stated here.</w:t>
      </w:r>
    </w:p>
    <w:p>
      <w:pPr>
        <w:spacing w:after="120"/>
        <w:ind w:left="576" w:hanging="576"/>
      </w:pPr>
      <w:r>
        <w:rPr>
          <w:b w:val="0"/>
          <w:sz w:val="22"/>
        </w:rPr>
        <w:t xml:space="preserve">6.  </w:t>
      </w:r>
      <w:r>
        <w:rPr>
          <w:b w:val="0"/>
          <w:i w:val="0"/>
          <w:sz w:val="22"/>
        </w:rPr>
        <w:t>The Company will not retaliate against the Contributor — by termination, by cutting off work, by denying candidacy, or otherwise — for raising a concern in good faith, for discussing their compensation or working conditions, or for taking part in a corrective process (Section 5.7 of the Operating Agreement).</w:t>
      </w:r>
    </w:p>
    <w:p>
      <w:pPr>
        <w:spacing w:after="120"/>
        <w:ind w:left="576" w:hanging="576"/>
      </w:pPr>
      <w:r>
        <w:rPr>
          <w:b w:val="0"/>
          <w:sz w:val="22"/>
        </w:rPr>
        <w:t xml:space="preserve">7.  </w:t>
      </w:r>
      <w:r>
        <w:rPr>
          <w:b w:val="0"/>
          <w:i w:val="0"/>
          <w:sz w:val="22"/>
        </w:rPr>
        <w:t>The Company may not assign this Agreement, including in a sale, merger, or reorganization of the Company, without the Contributor’s written consent. The Contributor may not assign it without the Company’s written consent, except that an Unpaid Balance passes to the Contributor’s estate.</w:t>
      </w:r>
    </w:p>
    <w:p>
      <w:pPr>
        <w:pStyle w:val="Heading2"/>
      </w:pPr>
      <w:r>
        <w:rPr>
          <w:b/>
          <w:i w:val="0"/>
          <w:sz w:val="24"/>
        </w:rPr>
        <w:t>Signatures</w:t>
      </w:r>
    </w:p>
    <w:p>
      <w:pPr>
        <w:spacing w:after="120"/>
      </w:pPr>
      <w:r>
        <w:rPr>
          <w:b/>
          <w:i w:val="0"/>
          <w:sz w:val="22"/>
        </w:rPr>
        <w:t>Timeless Way Interactive, LLC</w:t>
      </w:r>
    </w:p>
    <w:p>
      <w:pPr>
        <w:spacing w:after="120"/>
      </w:pPr>
      <w:r>
        <w:rPr>
          <w:b w:val="0"/>
          <w:i w:val="0"/>
          <w:sz w:val="22"/>
        </w:rPr>
        <w:t>_______________________________________</w:t>
      </w:r>
    </w:p>
    <w:p>
      <w:pPr>
        <w:spacing w:after="120"/>
      </w:pPr>
      <w:r>
        <w:rPr>
          <w:b w:val="0"/>
          <w:i w:val="0"/>
          <w:sz w:val="22"/>
        </w:rPr>
        <w:t>By (Member signature)                                                   Date</w:t>
      </w:r>
    </w:p>
    <w:p>
      <w:pPr>
        <w:spacing w:after="120"/>
      </w:pPr>
      <w:r>
        <w:rPr>
          <w:b w:val="0"/>
          <w:i w:val="0"/>
          <w:sz w:val="22"/>
        </w:rPr>
        <w:t>Printed name: _____________________    Office (if any): _____________________</w:t>
      </w:r>
    </w:p>
    <w:p>
      <w:pPr>
        <w:spacing w:after="120"/>
      </w:pPr>
      <w:r>
        <w:rPr>
          <w:b/>
          <w:i w:val="0"/>
          <w:sz w:val="22"/>
        </w:rPr>
        <w:t>Contributor</w:t>
      </w:r>
    </w:p>
    <w:p>
      <w:pPr>
        <w:spacing w:after="120"/>
      </w:pPr>
      <w:r>
        <w:rPr>
          <w:b w:val="0"/>
          <w:i w:val="0"/>
          <w:sz w:val="22"/>
        </w:rPr>
        <w:t>_______________________________________</w:t>
      </w:r>
    </w:p>
    <w:p>
      <w:pPr>
        <w:spacing w:after="120"/>
      </w:pPr>
      <w:r>
        <w:rPr>
          <w:b w:val="0"/>
          <w:i w:val="0"/>
          <w:sz w:val="22"/>
        </w:rPr>
        <w:t>Contributor signature                                                     Date</w:t>
      </w:r>
    </w:p>
    <w:p>
      <w:pPr>
        <w:spacing w:after="120"/>
      </w:pPr>
      <w:r>
        <w:rPr>
          <w:b w:val="0"/>
          <w:i w:val="0"/>
          <w:sz w:val="22"/>
        </w:rPr>
        <w:t>Printed name: _____________________</w:t>
      </w:r>
    </w:p>
    <w:p>
      <w:pPr>
        <w:spacing w:after="120"/>
      </w:pPr>
      <w:r>
        <w:rPr>
          <w:b/>
          <w:i w:val="0"/>
          <w:sz w:val="22"/>
        </w:rPr>
        <w:t>Sponsoring Member (Option B only)</w:t>
      </w:r>
    </w:p>
    <w:p>
      <w:pPr>
        <w:spacing w:after="120"/>
      </w:pPr>
      <w:r>
        <w:rPr>
          <w:b w:val="0"/>
          <w:i w:val="0"/>
          <w:sz w:val="22"/>
        </w:rPr>
        <w:t>_______________________________________</w:t>
      </w:r>
    </w:p>
    <w:p>
      <w:pPr>
        <w:spacing w:after="120"/>
      </w:pPr>
      <w:r>
        <w:rPr>
          <w:b w:val="0"/>
          <w:i w:val="0"/>
          <w:sz w:val="22"/>
        </w:rPr>
        <w:t>Sponsoring Member signature                                          Date</w:t>
      </w:r>
    </w:p>
    <w:p>
      <w:pPr>
        <w:spacing w:after="120"/>
      </w:pPr>
      <w:r>
        <w:rPr>
          <w:b w:val="0"/>
          <w:i w:val="0"/>
          <w:sz w:val="22"/>
        </w:rPr>
        <w:t>Printed name: _____________________</w:t>
      </w:r>
    </w:p>
    <w:p>
      <w:r>
        <w:br w:type="page"/>
      </w:r>
    </w:p>
    <w:p>
      <w:pPr>
        <w:pStyle w:val="Heading1"/>
      </w:pPr>
      <w:r>
        <w:rPr>
          <w:b w:val="0"/>
          <w:i w:val="0"/>
          <w:sz w:val="28"/>
        </w:rPr>
        <w:t>Exhibit 1 — Statement of Work</w:t>
      </w:r>
    </w:p>
    <w:p>
      <w:pPr>
        <w:spacing w:after="120"/>
      </w:pPr>
      <w:r>
        <w:rPr>
          <w:b w:val="0"/>
          <w:i w:val="0"/>
          <w:sz w:val="22"/>
        </w:rPr>
        <w:t>Describe the Services, Deliverables, timeline, milestone amounts (if Option C per-milestone), and any Company-provided equipment:</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r>
        <w:br w:type="page"/>
      </w:r>
    </w:p>
    <w:p>
      <w:pPr>
        <w:pStyle w:val="Heading1"/>
      </w:pPr>
      <w:r>
        <w:rPr>
          <w:b w:val="0"/>
          <w:i w:val="0"/>
          <w:sz w:val="28"/>
        </w:rPr>
        <w:t>Exhibit 2 — Contributor’s Pre-Existing Materials</w:t>
      </w:r>
    </w:p>
    <w:p>
      <w:pPr>
        <w:spacing w:after="120"/>
      </w:pPr>
      <w:r>
        <w:rPr>
          <w:b w:val="0"/>
          <w:i w:val="0"/>
          <w:sz w:val="22"/>
        </w:rPr>
        <w:t>List tools, libraries, and materials the Contributor owns and may incorporate (Section 5.4). If none, write “None.”:</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p>
      <w:pPr>
        <w:spacing w:after="120"/>
      </w:pPr>
      <w:r>
        <w:rPr>
          <w:b w:val="0"/>
          <w:i w:val="0"/>
          <w:sz w:val="22"/>
        </w:rPr>
        <w:t>____________________________________________________________________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