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1281920549"/>
        <w:docPartObj>
          <w:docPartGallery w:val="Cover Pages"/>
          <w:docPartUnique/>
        </w:docPartObj>
      </w:sdtPr>
      <w:sdtEndPr>
        <w:rPr>
          <w:b/>
          <w:bCs/>
          <w:sz w:val="24"/>
        </w:rPr>
      </w:sdtEndPr>
      <w:sdtContent>
        <w:p w14:paraId="15245C1D" w14:textId="77777777" w:rsidR="00B36501" w:rsidRDefault="00B36501">
          <w:pPr>
            <w:rPr>
              <w:sz w:val="12"/>
            </w:rPr>
          </w:pPr>
        </w:p>
        <w:p w14:paraId="2EEE8F64" w14:textId="77777777" w:rsidR="00B36501" w:rsidRDefault="00B36501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5E7FAFD7AE16C64A91CB42C1ADB1083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Sunrise Business Requirements/ Statement of Work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B5B567CA1DF68D419A032BCD40DA4983"/>
            </w:placeholder>
            <w:text/>
          </w:sdtPr>
          <w:sdtContent>
            <w:p w14:paraId="10FFB46A" w14:textId="77777777" w:rsidR="00B36501" w:rsidRDefault="00B36501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For BDFM</w:t>
              </w:r>
            </w:p>
          </w:sdtContent>
        </w:sdt>
        <w:p w14:paraId="3CB90C1E" w14:textId="77777777" w:rsidR="00B36501" w:rsidRDefault="00B36501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60E3D723BFD4B54CA6EC39CDB436D45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Anton Lokotsch</w:t>
              </w:r>
            </w:sdtContent>
          </w:sdt>
        </w:p>
        <w:p w14:paraId="2212AAED" w14:textId="77777777" w:rsidR="00B36501" w:rsidRDefault="00B36501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Purpose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Abstract"/>
            <w:id w:val="1556273158"/>
            <w:placeholder>
              <w:docPart w:val="7647B78998292841B47AD3360C782D9F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14:paraId="4133F946" w14:textId="77777777" w:rsidR="00B36501" w:rsidRDefault="00B36501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</w:rPr>
                <w:t>Purpose of this document is to clearly define the work that BDFM have contracted AVUSA IT to conduct for the circulation management system ‘Sunrise’ for the financial year 2012/2013</w:t>
              </w:r>
            </w:p>
          </w:sdtContent>
        </w:sdt>
        <w:p w14:paraId="01EECE98" w14:textId="77777777" w:rsidR="00B36501" w:rsidRDefault="00B36501"/>
        <w:p w14:paraId="417860BB" w14:textId="77777777" w:rsidR="00B36501" w:rsidRDefault="00B36501">
          <w:r>
            <w:rPr>
              <w:b/>
              <w:bCs/>
            </w:rPr>
            <w:br w:type="page"/>
          </w:r>
        </w:p>
      </w:sdtContent>
    </w:sdt>
    <w:sdt>
      <w:sdtPr>
        <w:id w:val="17562326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4223B2AA" w14:textId="77777777" w:rsidR="00B36501" w:rsidRDefault="00B36501">
          <w:pPr>
            <w:pStyle w:val="TOCHeading"/>
          </w:pPr>
          <w:r>
            <w:t>Table of Contents</w:t>
          </w:r>
        </w:p>
        <w:p w14:paraId="6E89EE3C" w14:textId="77777777" w:rsidR="00B36501" w:rsidRDefault="00B36501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C8562C4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High-Level Architecture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42AD37D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Banking and financials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A005DE4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Customer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1EDADA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Customer Correspondence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9BED408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Reporting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D913E5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BDFM Tasks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DCFBA0" w14:textId="77777777" w:rsidR="00B36501" w:rsidRDefault="00B36501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High Level Architecture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AAE1540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Entry Points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71EFEC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Paradise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0E0900" w14:textId="77777777" w:rsidR="00B36501" w:rsidRDefault="00B36501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Banking and financials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67C1DCB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Debit Orders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28FB197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Credit Cards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D9CB436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Corporates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FBA6AF7" w14:textId="77777777" w:rsidR="00B36501" w:rsidRDefault="00B36501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Customer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DA6360E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Subscriber types: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C74BD5B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Individual subscribers: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5913914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Corporate Subscribers: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F479932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Product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8CCE057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Discount structure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6C746E5" w14:textId="77777777" w:rsidR="00B36501" w:rsidRDefault="00B36501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Customer Correspondence: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5F77823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Invoicing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1C8B25A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Credit Notes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B6F0627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Renewal Notices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D4BEFBD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Audit Trail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539233D" w14:textId="77777777" w:rsidR="00B36501" w:rsidRDefault="00B36501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Reporting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C09C57B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Debtors report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DE9F637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Credit note report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397A9D3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VAT Report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C5AB149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Revenue Report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E5008BE" w14:textId="77777777" w:rsidR="00B36501" w:rsidRDefault="00B36501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Current Liabilities Report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F6C6F50" w14:textId="77777777" w:rsidR="00B36501" w:rsidRDefault="00B36501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BDFM Tasks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_Toc191357981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DF72781" w14:textId="77777777" w:rsidR="00B36501" w:rsidRDefault="00B36501">
          <w:r>
            <w:rPr>
              <w:b/>
              <w:bCs/>
              <w:noProof/>
            </w:rPr>
            <w:fldChar w:fldCharType="end"/>
          </w:r>
        </w:p>
      </w:sdtContent>
    </w:sdt>
    <w:p w14:paraId="6DB358BA" w14:textId="77777777" w:rsidR="00B36501" w:rsidRDefault="00B36501" w:rsidP="00F606EF">
      <w:pPr>
        <w:pStyle w:val="Heading1"/>
      </w:pPr>
      <w:r>
        <w:br w:type="page"/>
      </w:r>
    </w:p>
    <w:p w14:paraId="145FC1BF" w14:textId="77777777" w:rsidR="0094738C" w:rsidRPr="003F2E99" w:rsidRDefault="00B36501" w:rsidP="00F606EF">
      <w:pPr>
        <w:pStyle w:val="Heading1"/>
      </w:pPr>
      <w:bookmarkStart w:id="0" w:name="_Toc191357950"/>
      <w:r>
        <w:t>Introduction</w:t>
      </w:r>
      <w:bookmarkEnd w:id="0"/>
    </w:p>
    <w:p w14:paraId="38987EB3" w14:textId="77777777" w:rsidR="0094738C" w:rsidRDefault="0094738C"/>
    <w:p w14:paraId="4D41695A" w14:textId="77777777" w:rsidR="003E5341" w:rsidRDefault="00F606EF">
      <w:r>
        <w:t>This document describes the business requirements provided by BDFM for the Sunrise system to be developed by AVUSA IT.</w:t>
      </w:r>
      <w:r w:rsidR="003E5341">
        <w:t xml:space="preserve"> </w:t>
      </w:r>
    </w:p>
    <w:p w14:paraId="617370BE" w14:textId="77777777" w:rsidR="003E5341" w:rsidRDefault="003E5341"/>
    <w:p w14:paraId="24B91B11" w14:textId="77777777" w:rsidR="003E5341" w:rsidRDefault="003E5341">
      <w:r>
        <w:t xml:space="preserve">Any additions/changes of scope/functionality will trigger a change to this </w:t>
      </w:r>
      <w:proofErr w:type="gramStart"/>
      <w:r>
        <w:t>document which</w:t>
      </w:r>
      <w:proofErr w:type="gramEnd"/>
      <w:r>
        <w:t xml:space="preserve"> requires an addendum whose consequences will need to be agreed by BDFM and AVUSA IT.</w:t>
      </w:r>
    </w:p>
    <w:p w14:paraId="6C50202F" w14:textId="77777777" w:rsidR="003E5341" w:rsidRDefault="003E5341"/>
    <w:p w14:paraId="58EF9014" w14:textId="77777777" w:rsidR="003E5341" w:rsidRDefault="003E5341">
      <w:r>
        <w:t>The structure of this document is as follows:</w:t>
      </w:r>
    </w:p>
    <w:p w14:paraId="79772368" w14:textId="77777777" w:rsidR="003E5341" w:rsidRDefault="003E5341"/>
    <w:p w14:paraId="6A964C4F" w14:textId="77777777" w:rsidR="003E5341" w:rsidRDefault="003E5341" w:rsidP="003E5341">
      <w:pPr>
        <w:pStyle w:val="Heading2"/>
      </w:pPr>
      <w:bookmarkStart w:id="1" w:name="_Toc191357951"/>
      <w:r>
        <w:t>High-Level Architecture</w:t>
      </w:r>
      <w:bookmarkEnd w:id="1"/>
    </w:p>
    <w:p w14:paraId="22FA5289" w14:textId="77777777" w:rsidR="003E5341" w:rsidRDefault="003E5341"/>
    <w:p w14:paraId="783D1175" w14:textId="77777777" w:rsidR="003E5341" w:rsidRDefault="003E5341">
      <w:r>
        <w:t>Will identify the systems that will be integrating with sunrise.</w:t>
      </w:r>
    </w:p>
    <w:p w14:paraId="59D39E7A" w14:textId="77777777" w:rsidR="003E5341" w:rsidRDefault="003E5341"/>
    <w:p w14:paraId="26739A98" w14:textId="77777777" w:rsidR="003E5341" w:rsidRDefault="003E5341" w:rsidP="003E5341">
      <w:pPr>
        <w:pStyle w:val="Heading2"/>
      </w:pPr>
      <w:bookmarkStart w:id="2" w:name="_Toc191357952"/>
      <w:r>
        <w:t>Banking and financials</w:t>
      </w:r>
      <w:bookmarkEnd w:id="2"/>
    </w:p>
    <w:p w14:paraId="3BFE7EC1" w14:textId="77777777" w:rsidR="003E5341" w:rsidRDefault="003E5341"/>
    <w:p w14:paraId="2D517B2B" w14:textId="77777777" w:rsidR="003E5341" w:rsidRDefault="003E5341">
      <w:r>
        <w:t>Will identify the role of sunrise in managing the financials of customers.</w:t>
      </w:r>
    </w:p>
    <w:p w14:paraId="29EEFE48" w14:textId="77777777" w:rsidR="003E5341" w:rsidRDefault="003E5341"/>
    <w:p w14:paraId="509DEBF1" w14:textId="77777777" w:rsidR="003E5341" w:rsidRDefault="003E5341" w:rsidP="003E5341">
      <w:pPr>
        <w:pStyle w:val="Heading2"/>
      </w:pPr>
      <w:bookmarkStart w:id="3" w:name="_Toc191357953"/>
      <w:r>
        <w:t>Customer Details</w:t>
      </w:r>
      <w:bookmarkEnd w:id="3"/>
    </w:p>
    <w:p w14:paraId="557169F2" w14:textId="77777777" w:rsidR="003E5341" w:rsidRDefault="003E5341"/>
    <w:p w14:paraId="7AFA4A3E" w14:textId="77777777" w:rsidR="003E5341" w:rsidRDefault="003E5341">
      <w:r>
        <w:t>What details of the different types of customers will be stores.</w:t>
      </w:r>
    </w:p>
    <w:p w14:paraId="6EFF2ADA" w14:textId="77777777" w:rsidR="003E5341" w:rsidRDefault="003E5341"/>
    <w:p w14:paraId="4E1BD0A0" w14:textId="77777777" w:rsidR="003E5341" w:rsidRDefault="003E5341" w:rsidP="003E5341">
      <w:pPr>
        <w:pStyle w:val="Heading2"/>
      </w:pPr>
      <w:bookmarkStart w:id="4" w:name="_Toc191357954"/>
      <w:r>
        <w:t>Customer Correspondence</w:t>
      </w:r>
      <w:bookmarkEnd w:id="4"/>
    </w:p>
    <w:p w14:paraId="1C1F6577" w14:textId="77777777" w:rsidR="003E5341" w:rsidRDefault="003E5341"/>
    <w:p w14:paraId="7B8449D0" w14:textId="77777777" w:rsidR="003E5341" w:rsidRDefault="003E5341">
      <w:r>
        <w:t xml:space="preserve">How and when will correspondence occur with a </w:t>
      </w:r>
      <w:proofErr w:type="gramStart"/>
      <w:r>
        <w:t>customer.</w:t>
      </w:r>
      <w:proofErr w:type="gramEnd"/>
    </w:p>
    <w:p w14:paraId="1D10AAA0" w14:textId="77777777" w:rsidR="003E5341" w:rsidRDefault="003E5341"/>
    <w:p w14:paraId="236E6B8F" w14:textId="77777777" w:rsidR="003E5341" w:rsidRDefault="003E5341" w:rsidP="003E5341">
      <w:pPr>
        <w:pStyle w:val="Heading2"/>
      </w:pPr>
      <w:bookmarkStart w:id="5" w:name="_Toc191357955"/>
      <w:r>
        <w:t>Reporting</w:t>
      </w:r>
      <w:bookmarkEnd w:id="5"/>
    </w:p>
    <w:p w14:paraId="5E20FF99" w14:textId="77777777" w:rsidR="003E5341" w:rsidRDefault="003E5341"/>
    <w:p w14:paraId="32FA88B1" w14:textId="77777777" w:rsidR="003E5341" w:rsidRDefault="003E5341">
      <w:r>
        <w:t>What types of reports will be provided and in what format.</w:t>
      </w:r>
    </w:p>
    <w:p w14:paraId="505ACEA8" w14:textId="77777777" w:rsidR="003E5341" w:rsidRDefault="003E5341"/>
    <w:p w14:paraId="46B6F380" w14:textId="77777777" w:rsidR="003E5341" w:rsidRDefault="003E5341" w:rsidP="003E5341">
      <w:pPr>
        <w:pStyle w:val="Heading2"/>
      </w:pPr>
      <w:bookmarkStart w:id="6" w:name="_Toc191357956"/>
      <w:r>
        <w:t>BDFM Tasks</w:t>
      </w:r>
      <w:bookmarkEnd w:id="6"/>
    </w:p>
    <w:p w14:paraId="73A841A0" w14:textId="77777777" w:rsidR="003E5341" w:rsidRDefault="003E5341"/>
    <w:p w14:paraId="18EA85F2" w14:textId="77777777" w:rsidR="003E5341" w:rsidRDefault="003E5341">
      <w:proofErr w:type="gramStart"/>
      <w:r>
        <w:t>Request for information from BDFM to allow development to proceed.</w:t>
      </w:r>
      <w:proofErr w:type="gramEnd"/>
    </w:p>
    <w:p w14:paraId="78216143" w14:textId="77777777" w:rsidR="003E5341" w:rsidRDefault="003E5341" w:rsidP="003F2E99">
      <w:pPr>
        <w:pStyle w:val="Heading1"/>
      </w:pPr>
      <w:r>
        <w:br w:type="page"/>
      </w:r>
    </w:p>
    <w:p w14:paraId="339D4B11" w14:textId="77777777" w:rsidR="00D30D69" w:rsidRDefault="00F606EF" w:rsidP="003F2E99">
      <w:pPr>
        <w:pStyle w:val="Heading1"/>
      </w:pPr>
      <w:bookmarkStart w:id="7" w:name="_Toc191357957"/>
      <w:r>
        <w:t>High Level Architecture</w:t>
      </w:r>
      <w:bookmarkEnd w:id="7"/>
    </w:p>
    <w:p w14:paraId="34558B3E" w14:textId="77777777" w:rsidR="00D30D69" w:rsidRDefault="00D30D69" w:rsidP="00D30D69"/>
    <w:p w14:paraId="50CB889D" w14:textId="77777777" w:rsidR="00F606EF" w:rsidRDefault="00F606EF" w:rsidP="00D30D69">
      <w:r>
        <w:t>Diagram as per my board</w:t>
      </w:r>
    </w:p>
    <w:p w14:paraId="2B44C6A1" w14:textId="77777777" w:rsidR="00D30D69" w:rsidRDefault="00D30D69" w:rsidP="00F606EF">
      <w:pPr>
        <w:pStyle w:val="Heading2"/>
      </w:pPr>
      <w:bookmarkStart w:id="8" w:name="_Toc191357958"/>
      <w:r>
        <w:t>Entry Points</w:t>
      </w:r>
      <w:bookmarkEnd w:id="8"/>
    </w:p>
    <w:p w14:paraId="0884CEEE" w14:textId="77777777" w:rsidR="00D30D69" w:rsidRDefault="00D30D69" w:rsidP="00D30D69"/>
    <w:p w14:paraId="6A033C07" w14:textId="77777777" w:rsidR="00520D07" w:rsidRDefault="00D30D69" w:rsidP="00D30D69">
      <w:r>
        <w:t>Sunrise will provide an API-type interface for adding custome</w:t>
      </w:r>
      <w:r w:rsidR="00520D07">
        <w:t>r purchases of print, e-edition and web-subscriptions.</w:t>
      </w:r>
    </w:p>
    <w:p w14:paraId="1922C1E5" w14:textId="77777777" w:rsidR="00F606EF" w:rsidRDefault="00F606EF" w:rsidP="00D30D69"/>
    <w:p w14:paraId="65753080" w14:textId="77777777" w:rsidR="00F606EF" w:rsidRDefault="00F606EF" w:rsidP="00D30D69">
      <w:r>
        <w:t xml:space="preserve">Holiday hold, updating address details </w:t>
      </w:r>
      <w:proofErr w:type="spellStart"/>
      <w:r>
        <w:t>etc</w:t>
      </w:r>
      <w:proofErr w:type="spellEnd"/>
      <w:r>
        <w:t>… is not included in the first phase.</w:t>
      </w:r>
    </w:p>
    <w:p w14:paraId="5BD2952F" w14:textId="77777777" w:rsidR="00F606EF" w:rsidRDefault="00F606EF" w:rsidP="00D30D69"/>
    <w:p w14:paraId="38B2217D" w14:textId="77777777" w:rsidR="00F606EF" w:rsidRDefault="00F606EF" w:rsidP="00F606EF">
      <w:pPr>
        <w:pStyle w:val="Heading2"/>
      </w:pPr>
      <w:bookmarkStart w:id="9" w:name="_Toc191357959"/>
      <w:r>
        <w:t>Paradise</w:t>
      </w:r>
      <w:bookmarkEnd w:id="9"/>
    </w:p>
    <w:p w14:paraId="24BB8417" w14:textId="77777777" w:rsidR="00F606EF" w:rsidRDefault="00F606EF" w:rsidP="00D30D69"/>
    <w:p w14:paraId="48C72B5D" w14:textId="77777777" w:rsidR="00F606EF" w:rsidRDefault="00F606EF" w:rsidP="00D30D69">
      <w:r>
        <w:t xml:space="preserve">Paradise will be used as the circulation fulfillment system.  </w:t>
      </w:r>
    </w:p>
    <w:p w14:paraId="1BD773CB" w14:textId="77777777" w:rsidR="00F606EF" w:rsidRDefault="00F606EF" w:rsidP="00D30D69"/>
    <w:p w14:paraId="3381E087" w14:textId="77777777" w:rsidR="00F606EF" w:rsidRDefault="00F606EF" w:rsidP="00D30D69">
      <w:r>
        <w:t>The Paradise interface mechanism is yet to be defined.  However it is generally accepted that it will be a one-way push interface into paradise of:</w:t>
      </w:r>
    </w:p>
    <w:p w14:paraId="188F7436" w14:textId="77777777" w:rsidR="00F606EF" w:rsidRDefault="00F606EF" w:rsidP="00F606EF">
      <w:pPr>
        <w:pStyle w:val="ListParagraph"/>
        <w:numPr>
          <w:ilvl w:val="0"/>
          <w:numId w:val="4"/>
        </w:numPr>
      </w:pPr>
      <w:proofErr w:type="gramStart"/>
      <w:r>
        <w:t>new</w:t>
      </w:r>
      <w:proofErr w:type="gramEnd"/>
      <w:r>
        <w:t xml:space="preserve"> subscribers</w:t>
      </w:r>
    </w:p>
    <w:p w14:paraId="5269F4F0" w14:textId="77777777" w:rsidR="00F606EF" w:rsidRDefault="00F606EF" w:rsidP="00F606EF">
      <w:pPr>
        <w:pStyle w:val="ListParagraph"/>
        <w:numPr>
          <w:ilvl w:val="0"/>
          <w:numId w:val="4"/>
        </w:numPr>
      </w:pPr>
      <w:proofErr w:type="gramStart"/>
      <w:r>
        <w:t>updated</w:t>
      </w:r>
      <w:proofErr w:type="gramEnd"/>
      <w:r>
        <w:t xml:space="preserve"> details,</w:t>
      </w:r>
    </w:p>
    <w:p w14:paraId="45E6734E" w14:textId="77777777" w:rsidR="00F606EF" w:rsidRDefault="00F606EF" w:rsidP="00F606EF">
      <w:pPr>
        <w:pStyle w:val="ListParagraph"/>
        <w:numPr>
          <w:ilvl w:val="0"/>
          <w:numId w:val="4"/>
        </w:numPr>
      </w:pPr>
      <w:proofErr w:type="gramStart"/>
      <w:r>
        <w:t>cancelled</w:t>
      </w:r>
      <w:proofErr w:type="gramEnd"/>
      <w:r>
        <w:t xml:space="preserve"> or expired subscribers</w:t>
      </w:r>
    </w:p>
    <w:p w14:paraId="34E24231" w14:textId="77777777" w:rsidR="00F606EF" w:rsidRDefault="00F606EF" w:rsidP="00D30D69"/>
    <w:p w14:paraId="671216E2" w14:textId="77777777" w:rsidR="00F606EF" w:rsidRDefault="00F606EF" w:rsidP="00D30D69">
      <w:r>
        <w:t>Paradise currently has two possible methods to interface:</w:t>
      </w:r>
    </w:p>
    <w:p w14:paraId="3C04C813" w14:textId="77777777" w:rsidR="00F606EF" w:rsidRDefault="00F606EF" w:rsidP="00F606EF">
      <w:pPr>
        <w:pStyle w:val="ListParagraph"/>
        <w:numPr>
          <w:ilvl w:val="0"/>
          <w:numId w:val="5"/>
        </w:numPr>
      </w:pPr>
      <w:r>
        <w:t>Temporary tables</w:t>
      </w:r>
    </w:p>
    <w:p w14:paraId="1E7C50EE" w14:textId="77777777" w:rsidR="00F606EF" w:rsidRDefault="00F606EF" w:rsidP="00F606EF">
      <w:pPr>
        <w:pStyle w:val="ListParagraph"/>
        <w:numPr>
          <w:ilvl w:val="0"/>
          <w:numId w:val="5"/>
        </w:numPr>
      </w:pPr>
      <w:proofErr w:type="spellStart"/>
      <w:r>
        <w:t>Webservice</w:t>
      </w:r>
      <w:proofErr w:type="spellEnd"/>
    </w:p>
    <w:p w14:paraId="22396DA4" w14:textId="77777777" w:rsidR="00F606EF" w:rsidRDefault="00F606EF" w:rsidP="00D30D69"/>
    <w:p w14:paraId="102FE261" w14:textId="77777777" w:rsidR="00F606EF" w:rsidRDefault="00F606EF" w:rsidP="00D30D69">
      <w:r>
        <w:t>It is understood that these records should be manually vetted to ensure compliance with Paradise record standards.</w:t>
      </w:r>
    </w:p>
    <w:p w14:paraId="180C66C0" w14:textId="77777777" w:rsidR="00F606EF" w:rsidRDefault="00F606EF" w:rsidP="00D30D69"/>
    <w:p w14:paraId="2ECEA07A" w14:textId="77777777" w:rsidR="00F606EF" w:rsidRDefault="00F606EF" w:rsidP="00D30D69">
      <w:r>
        <w:t xml:space="preserve">The balancing of records across sunrise and Paradise will be monitored by a monthly exception report from each system, which needs to be manually audited and </w:t>
      </w:r>
      <w:proofErr w:type="spellStart"/>
      <w:r>
        <w:t>actioned</w:t>
      </w:r>
      <w:proofErr w:type="spellEnd"/>
      <w:r>
        <w:t>.</w:t>
      </w:r>
    </w:p>
    <w:p w14:paraId="47EF4229" w14:textId="77777777" w:rsidR="00F606EF" w:rsidRDefault="00F606EF" w:rsidP="00D30D69"/>
    <w:p w14:paraId="40C9F091" w14:textId="77777777" w:rsidR="00F606EF" w:rsidRDefault="00F606EF" w:rsidP="00D30D69"/>
    <w:p w14:paraId="1E1EC411" w14:textId="77777777" w:rsidR="00F606EF" w:rsidRDefault="00F606EF" w:rsidP="000F4C37">
      <w:pPr>
        <w:pStyle w:val="Heading1"/>
      </w:pPr>
    </w:p>
    <w:p w14:paraId="1D548E67" w14:textId="77777777" w:rsidR="00B36501" w:rsidRDefault="00B36501" w:rsidP="002F36B8">
      <w:pPr>
        <w:pStyle w:val="Heading1"/>
        <w:sectPr w:rsidR="00B36501" w:rsidSect="003E1258"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bookmarkStart w:id="10" w:name="_Toc191357960"/>
    </w:p>
    <w:p w14:paraId="4FE7D12B" w14:textId="77777777" w:rsidR="002F36B8" w:rsidRDefault="002F36B8" w:rsidP="002F36B8">
      <w:pPr>
        <w:pStyle w:val="Heading1"/>
      </w:pPr>
      <w:bookmarkStart w:id="11" w:name="_GoBack"/>
      <w:bookmarkEnd w:id="11"/>
      <w:r>
        <w:t>Banking and financials</w:t>
      </w:r>
      <w:bookmarkEnd w:id="10"/>
    </w:p>
    <w:p w14:paraId="0B5050F7" w14:textId="77777777" w:rsidR="002F36B8" w:rsidRDefault="002F36B8" w:rsidP="00D30D69"/>
    <w:p w14:paraId="233ECE40" w14:textId="77777777" w:rsidR="002F36B8" w:rsidRDefault="002F36B8" w:rsidP="00D30D69">
      <w:r>
        <w:t>Also refer to the reporting section.</w:t>
      </w:r>
    </w:p>
    <w:p w14:paraId="3B7B41C5" w14:textId="77777777" w:rsidR="002F36B8" w:rsidRDefault="002F36B8" w:rsidP="00D30D69"/>
    <w:p w14:paraId="0296F837" w14:textId="77777777" w:rsidR="002F36B8" w:rsidRDefault="002F36B8" w:rsidP="002F36B8">
      <w:pPr>
        <w:pStyle w:val="Heading2"/>
      </w:pPr>
      <w:bookmarkStart w:id="12" w:name="_Toc191357961"/>
      <w:r>
        <w:t>Debit Orders</w:t>
      </w:r>
      <w:bookmarkEnd w:id="12"/>
    </w:p>
    <w:p w14:paraId="74BCFAB1" w14:textId="77777777" w:rsidR="002F36B8" w:rsidRDefault="002F36B8" w:rsidP="002F36B8"/>
    <w:p w14:paraId="10EA58A9" w14:textId="77777777" w:rsidR="000F4C37" w:rsidRDefault="002F36B8" w:rsidP="002F36B8">
      <w:r>
        <w:t xml:space="preserve">A debit order file will be </w:t>
      </w:r>
      <w:r w:rsidR="000F4C37">
        <w:t xml:space="preserve">created on demand.  The file will need to be submitted manually to the bank.  We will also process the file back from the bank and create a credit or failed debit entry on the users account.  </w:t>
      </w:r>
    </w:p>
    <w:p w14:paraId="0957F548" w14:textId="77777777" w:rsidR="000F4C37" w:rsidRDefault="000F4C37" w:rsidP="002F36B8"/>
    <w:p w14:paraId="0E69933E" w14:textId="77777777" w:rsidR="000F4C37" w:rsidRDefault="000F4C37" w:rsidP="002F36B8">
      <w:r>
        <w:t xml:space="preserve">Question: will we provide a report showing a consolidated list of failed debit orders that will need to be </w:t>
      </w:r>
      <w:proofErr w:type="gramStart"/>
      <w:r>
        <w:t>re-process</w:t>
      </w:r>
      <w:proofErr w:type="gramEnd"/>
      <w:r>
        <w:t>.</w:t>
      </w:r>
    </w:p>
    <w:p w14:paraId="03425AF6" w14:textId="77777777" w:rsidR="000F4C37" w:rsidRDefault="000F4C37" w:rsidP="002F36B8"/>
    <w:p w14:paraId="23A85401" w14:textId="77777777" w:rsidR="000F4C37" w:rsidRDefault="000F4C37" w:rsidP="000F4C37">
      <w:pPr>
        <w:pStyle w:val="Heading2"/>
      </w:pPr>
      <w:bookmarkStart w:id="13" w:name="_Toc191357962"/>
      <w:r>
        <w:t>Credit Cards</w:t>
      </w:r>
      <w:bookmarkEnd w:id="13"/>
    </w:p>
    <w:p w14:paraId="0BAB6C88" w14:textId="77777777" w:rsidR="000F4C37" w:rsidRDefault="000F4C37" w:rsidP="000F4C37"/>
    <w:p w14:paraId="4A6F506F" w14:textId="77777777" w:rsidR="000F4C37" w:rsidRDefault="000F4C37" w:rsidP="000F4C37">
      <w:r>
        <w:t xml:space="preserve">Credit card payments will need to be manually processed through the website. Or via the </w:t>
      </w:r>
      <w:proofErr w:type="spellStart"/>
      <w:r>
        <w:t>Safeshop</w:t>
      </w:r>
      <w:proofErr w:type="spellEnd"/>
      <w:r>
        <w:t xml:space="preserve"> interface.  Processing via the </w:t>
      </w:r>
      <w:proofErr w:type="spellStart"/>
      <w:r>
        <w:t>Safeshop</w:t>
      </w:r>
      <w:proofErr w:type="spellEnd"/>
      <w:r>
        <w:t xml:space="preserve"> interface will not trigger any events on the system and these would need to be manually captured.</w:t>
      </w:r>
    </w:p>
    <w:p w14:paraId="2B6D808D" w14:textId="77777777" w:rsidR="000F4C37" w:rsidRDefault="000F4C37" w:rsidP="000F4C37">
      <w:pPr>
        <w:pStyle w:val="Heading2"/>
      </w:pPr>
      <w:bookmarkStart w:id="14" w:name="_Toc191357963"/>
      <w:r>
        <w:t>Corporates</w:t>
      </w:r>
      <w:bookmarkEnd w:id="14"/>
    </w:p>
    <w:p w14:paraId="22E96CFA" w14:textId="77777777" w:rsidR="000F4C37" w:rsidRDefault="000F4C37" w:rsidP="000F4C37"/>
    <w:p w14:paraId="70067ECC" w14:textId="77777777" w:rsidR="000F4C37" w:rsidRPr="000F4C37" w:rsidRDefault="000F4C37" w:rsidP="000F4C37">
      <w:r>
        <w:t>Corporates can be issued with a credit limit (rand amount) to allow for delivery of copies without having to have paid.</w:t>
      </w:r>
    </w:p>
    <w:p w14:paraId="443B38FE" w14:textId="77777777" w:rsidR="0099257C" w:rsidRDefault="0099257C" w:rsidP="0099257C">
      <w:pPr>
        <w:pStyle w:val="Heading1"/>
      </w:pPr>
      <w:bookmarkStart w:id="15" w:name="_Toc191357964"/>
      <w:r>
        <w:t>Customer Details</w:t>
      </w:r>
      <w:bookmarkEnd w:id="15"/>
    </w:p>
    <w:p w14:paraId="2F063CDE" w14:textId="77777777" w:rsidR="00520D07" w:rsidRDefault="00520D07" w:rsidP="0099257C">
      <w:pPr>
        <w:pStyle w:val="Heading2"/>
      </w:pPr>
      <w:bookmarkStart w:id="16" w:name="_Toc191357965"/>
      <w:r>
        <w:t>Subscriber types:</w:t>
      </w:r>
      <w:bookmarkEnd w:id="16"/>
    </w:p>
    <w:p w14:paraId="1D59ED43" w14:textId="77777777" w:rsidR="00520D07" w:rsidRDefault="00520D07" w:rsidP="00D30D69"/>
    <w:p w14:paraId="1DEFEA4D" w14:textId="77777777" w:rsidR="00520D07" w:rsidRDefault="00520D07" w:rsidP="00D30D69">
      <w:r>
        <w:t>Two subscriber types will be catered for:</w:t>
      </w:r>
    </w:p>
    <w:p w14:paraId="17FC3FFA" w14:textId="77777777" w:rsidR="00520D07" w:rsidRDefault="00520D07" w:rsidP="00520D07">
      <w:proofErr w:type="gramStart"/>
      <w:r>
        <w:t xml:space="preserve">Individual </w:t>
      </w:r>
      <w:r w:rsidR="00FD4E58">
        <w:t>subscribers and c</w:t>
      </w:r>
      <w:r>
        <w:t>orporate subscribers.</w:t>
      </w:r>
      <w:proofErr w:type="gramEnd"/>
      <w:r>
        <w:t xml:space="preserve">  The </w:t>
      </w:r>
      <w:r w:rsidR="00FD4E58">
        <w:t>differences</w:t>
      </w:r>
      <w:r>
        <w:t xml:space="preserve"> are detailed below:</w:t>
      </w:r>
    </w:p>
    <w:p w14:paraId="432F0F8B" w14:textId="77777777" w:rsidR="00520D07" w:rsidRDefault="00520D07" w:rsidP="00520D07"/>
    <w:p w14:paraId="7F742A66" w14:textId="77777777" w:rsidR="00520D07" w:rsidRDefault="00520D07" w:rsidP="00126C32">
      <w:pPr>
        <w:pStyle w:val="Heading2"/>
      </w:pPr>
      <w:bookmarkStart w:id="17" w:name="_Toc191357966"/>
      <w:r>
        <w:t>Individual subscribers:</w:t>
      </w:r>
      <w:bookmarkEnd w:id="17"/>
    </w:p>
    <w:p w14:paraId="268B8244" w14:textId="77777777" w:rsidR="00520D07" w:rsidRDefault="00520D07" w:rsidP="00520D07"/>
    <w:p w14:paraId="5111443E" w14:textId="77777777" w:rsidR="00520D07" w:rsidRDefault="00FD4E58" w:rsidP="00520D07">
      <w:r>
        <w:t>Individual subscribers require the following details:</w:t>
      </w:r>
    </w:p>
    <w:p w14:paraId="1E73DAB0" w14:textId="77777777" w:rsidR="00FD4E58" w:rsidRDefault="00FD4E58" w:rsidP="00520D07"/>
    <w:p w14:paraId="5D995572" w14:textId="77777777" w:rsidR="00126C32" w:rsidRDefault="00126C32" w:rsidP="00520D07">
      <w:r>
        <w:t>Salutation</w:t>
      </w:r>
    </w:p>
    <w:p w14:paraId="5E6FE981" w14:textId="77777777" w:rsidR="00FD4E58" w:rsidRDefault="00FD4E58" w:rsidP="00520D07">
      <w:proofErr w:type="spellStart"/>
      <w:r>
        <w:t>Firtstname</w:t>
      </w:r>
      <w:proofErr w:type="spellEnd"/>
    </w:p>
    <w:p w14:paraId="065DD3B5" w14:textId="77777777" w:rsidR="00FD4E58" w:rsidRDefault="00FD4E58" w:rsidP="00520D07">
      <w:proofErr w:type="spellStart"/>
      <w:r>
        <w:t>Lastname</w:t>
      </w:r>
      <w:proofErr w:type="spellEnd"/>
    </w:p>
    <w:p w14:paraId="588F7210" w14:textId="77777777" w:rsidR="00FD4E58" w:rsidRDefault="00FD4E58" w:rsidP="00520D07">
      <w:r>
        <w:t>Cellphone</w:t>
      </w:r>
    </w:p>
    <w:p w14:paraId="1217A935" w14:textId="77777777" w:rsidR="00126C32" w:rsidRDefault="00126C32" w:rsidP="00520D07">
      <w:proofErr w:type="spellStart"/>
      <w:r>
        <w:t>IDNo</w:t>
      </w:r>
      <w:proofErr w:type="spellEnd"/>
    </w:p>
    <w:p w14:paraId="30C2FE1E" w14:textId="77777777" w:rsidR="00FD4E58" w:rsidRDefault="00FD4E58" w:rsidP="00520D07">
      <w:proofErr w:type="spellStart"/>
      <w:r>
        <w:t>Hometel</w:t>
      </w:r>
      <w:proofErr w:type="spellEnd"/>
    </w:p>
    <w:p w14:paraId="439B90A7" w14:textId="77777777" w:rsidR="00FD4E58" w:rsidRDefault="00FD4E58" w:rsidP="00520D07">
      <w:proofErr w:type="spellStart"/>
      <w:r>
        <w:t>Worktel</w:t>
      </w:r>
      <w:proofErr w:type="spellEnd"/>
    </w:p>
    <w:p w14:paraId="420922A5" w14:textId="77777777" w:rsidR="0099257C" w:rsidRDefault="0099257C" w:rsidP="00520D07">
      <w:r>
        <w:t>Email</w:t>
      </w:r>
    </w:p>
    <w:p w14:paraId="7382F4D2" w14:textId="77777777" w:rsidR="00FD4E58" w:rsidRDefault="00FD4E58" w:rsidP="00520D07">
      <w:r>
        <w:t xml:space="preserve">Billing address (with </w:t>
      </w:r>
      <w:r w:rsidR="003A43B8">
        <w:t xml:space="preserve">ZA </w:t>
      </w:r>
      <w:r>
        <w:t>province</w:t>
      </w:r>
      <w:r w:rsidR="003A43B8">
        <w:t>s</w:t>
      </w:r>
      <w:r>
        <w:t xml:space="preserve"> and </w:t>
      </w:r>
      <w:r w:rsidR="003A43B8">
        <w:t>list of international countries</w:t>
      </w:r>
      <w:r>
        <w:t>)</w:t>
      </w:r>
    </w:p>
    <w:p w14:paraId="01F7172D" w14:textId="77777777" w:rsidR="00E6014E" w:rsidRDefault="00FD4E58" w:rsidP="00520D07">
      <w:r>
        <w:t xml:space="preserve">Delivery address (with </w:t>
      </w:r>
      <w:r w:rsidR="003A43B8">
        <w:t xml:space="preserve">ZA </w:t>
      </w:r>
      <w:r>
        <w:t>province</w:t>
      </w:r>
      <w:r w:rsidR="003A43B8">
        <w:t>s</w:t>
      </w:r>
      <w:r>
        <w:t xml:space="preserve"> and </w:t>
      </w:r>
      <w:r w:rsidR="003A43B8">
        <w:t>list of international countries</w:t>
      </w:r>
      <w:r>
        <w:t>)</w:t>
      </w:r>
    </w:p>
    <w:p w14:paraId="7F40C8A0" w14:textId="77777777" w:rsidR="00E6014E" w:rsidRDefault="00E6014E" w:rsidP="00520D07">
      <w:r>
        <w:t>Pensioner/student</w:t>
      </w:r>
    </w:p>
    <w:p w14:paraId="735D9391" w14:textId="77777777" w:rsidR="00126C32" w:rsidRDefault="00126C32" w:rsidP="00520D07">
      <w:r>
        <w:t>List of professions (as per FM.co.za)</w:t>
      </w:r>
    </w:p>
    <w:p w14:paraId="67F312BE" w14:textId="77777777" w:rsidR="00126C32" w:rsidRDefault="00126C32" w:rsidP="00520D07">
      <w:r>
        <w:t>List of positions (as per FM.co.za)</w:t>
      </w:r>
    </w:p>
    <w:p w14:paraId="7322E09B" w14:textId="77777777" w:rsidR="0099257C" w:rsidRDefault="0099257C" w:rsidP="00520D07">
      <w:r>
        <w:t>Correspondence preference (Email/</w:t>
      </w:r>
      <w:r w:rsidR="002F36B8">
        <w:t>post)</w:t>
      </w:r>
    </w:p>
    <w:p w14:paraId="1C0F957E" w14:textId="77777777" w:rsidR="00FD4E58" w:rsidRDefault="00FD4E58" w:rsidP="00520D07"/>
    <w:p w14:paraId="1CE6CDEE" w14:textId="77777777" w:rsidR="00126C32" w:rsidRDefault="00126C32" w:rsidP="00126C32">
      <w:pPr>
        <w:pStyle w:val="Heading2"/>
      </w:pPr>
      <w:bookmarkStart w:id="18" w:name="_Toc191357967"/>
      <w:r>
        <w:t>Corporate Subscribers:</w:t>
      </w:r>
      <w:bookmarkEnd w:id="18"/>
    </w:p>
    <w:p w14:paraId="5D76DE0E" w14:textId="77777777" w:rsidR="00126C32" w:rsidRDefault="00126C32" w:rsidP="00520D07"/>
    <w:p w14:paraId="34319A93" w14:textId="77777777" w:rsidR="00126C32" w:rsidRDefault="00126C32" w:rsidP="00520D07">
      <w:r>
        <w:t>Company Name</w:t>
      </w:r>
    </w:p>
    <w:p w14:paraId="6E03CAEC" w14:textId="77777777" w:rsidR="00126C32" w:rsidRDefault="00126C32" w:rsidP="00520D07">
      <w:r>
        <w:t>VAT No</w:t>
      </w:r>
    </w:p>
    <w:p w14:paraId="228CB18D" w14:textId="77777777" w:rsidR="0099257C" w:rsidRDefault="0099257C" w:rsidP="00520D07"/>
    <w:p w14:paraId="0A8444C5" w14:textId="77777777" w:rsidR="00126C32" w:rsidRDefault="00126C32" w:rsidP="00520D07">
      <w:r>
        <w:t>Responsible accounts person:</w:t>
      </w:r>
    </w:p>
    <w:p w14:paraId="0F4EE52E" w14:textId="77777777" w:rsidR="00126C32" w:rsidRDefault="00126C32" w:rsidP="00520D07"/>
    <w:p w14:paraId="60BABE3F" w14:textId="77777777" w:rsidR="00126C32" w:rsidRDefault="00126C32" w:rsidP="00520D07">
      <w:r>
        <w:t>Salutation</w:t>
      </w:r>
    </w:p>
    <w:p w14:paraId="77215AFD" w14:textId="77777777" w:rsidR="00126C32" w:rsidRDefault="00126C32" w:rsidP="00126C32">
      <w:proofErr w:type="spellStart"/>
      <w:r>
        <w:t>Firtstname</w:t>
      </w:r>
      <w:proofErr w:type="spellEnd"/>
    </w:p>
    <w:p w14:paraId="55AC8F86" w14:textId="77777777" w:rsidR="00126C32" w:rsidRDefault="00126C32" w:rsidP="00126C32">
      <w:proofErr w:type="spellStart"/>
      <w:r>
        <w:t>Lastname</w:t>
      </w:r>
      <w:proofErr w:type="spellEnd"/>
    </w:p>
    <w:p w14:paraId="580AEC02" w14:textId="77777777" w:rsidR="00126C32" w:rsidRDefault="00126C32" w:rsidP="00126C32">
      <w:r>
        <w:t>Cellphone</w:t>
      </w:r>
    </w:p>
    <w:p w14:paraId="360CEAE2" w14:textId="77777777" w:rsidR="00126C32" w:rsidRDefault="00126C32" w:rsidP="00126C32">
      <w:proofErr w:type="spellStart"/>
      <w:r>
        <w:t>Worktel</w:t>
      </w:r>
      <w:proofErr w:type="spellEnd"/>
    </w:p>
    <w:p w14:paraId="289BB7FF" w14:textId="77777777" w:rsidR="0099257C" w:rsidRDefault="0099257C" w:rsidP="00126C32">
      <w:r>
        <w:t>Email</w:t>
      </w:r>
    </w:p>
    <w:p w14:paraId="78EE6795" w14:textId="77777777" w:rsidR="002F36B8" w:rsidRDefault="002F36B8" w:rsidP="002F36B8"/>
    <w:p w14:paraId="6D08B6F0" w14:textId="77777777" w:rsidR="00126C32" w:rsidRDefault="002F36B8" w:rsidP="00520D07">
      <w:r>
        <w:t xml:space="preserve">List of professions (as per FM.co.za, </w:t>
      </w:r>
      <w:proofErr w:type="spellStart"/>
      <w:r>
        <w:t>ie</w:t>
      </w:r>
      <w:proofErr w:type="spellEnd"/>
      <w:r>
        <w:t>: in what field does this company operate)</w:t>
      </w:r>
    </w:p>
    <w:p w14:paraId="025F001D" w14:textId="77777777" w:rsidR="00126C32" w:rsidRDefault="00126C32" w:rsidP="00126C32">
      <w:r>
        <w:t>Billing address (with ZA provinces and list of international countries)</w:t>
      </w:r>
    </w:p>
    <w:p w14:paraId="119413CE" w14:textId="77777777" w:rsidR="00126C32" w:rsidRDefault="00126C32" w:rsidP="00126C32">
      <w:r>
        <w:t>Delivery address (with ZA provinces and list of international countries)</w:t>
      </w:r>
    </w:p>
    <w:p w14:paraId="78C89350" w14:textId="77777777" w:rsidR="002F36B8" w:rsidRDefault="002F36B8" w:rsidP="002F36B8">
      <w:r>
        <w:t>Correspondence preference (Email/post)</w:t>
      </w:r>
    </w:p>
    <w:p w14:paraId="41C84DDD" w14:textId="77777777" w:rsidR="00126C32" w:rsidRDefault="00126C32" w:rsidP="00126C32"/>
    <w:p w14:paraId="3C5FDD0B" w14:textId="77777777" w:rsidR="00126C32" w:rsidRDefault="00126C32" w:rsidP="00126C32">
      <w:r>
        <w:t>Then it should be possible for each copy to have individual details as above.</w:t>
      </w:r>
    </w:p>
    <w:p w14:paraId="44AFCCF5" w14:textId="77777777" w:rsidR="00126C32" w:rsidRDefault="00126C32" w:rsidP="00520D07"/>
    <w:p w14:paraId="2756A44E" w14:textId="77777777" w:rsidR="00126C32" w:rsidRDefault="00126C32" w:rsidP="00126C32">
      <w:pPr>
        <w:pStyle w:val="Heading4"/>
      </w:pPr>
      <w:r>
        <w:t>Vouchers</w:t>
      </w:r>
    </w:p>
    <w:p w14:paraId="41E9FAE2" w14:textId="77777777" w:rsidR="00126C32" w:rsidRDefault="00126C32" w:rsidP="00126C32"/>
    <w:p w14:paraId="484A92EF" w14:textId="77777777" w:rsidR="00126C32" w:rsidRDefault="00126C32" w:rsidP="00126C32">
      <w:r>
        <w:t>Corporate subscribers can have a voucher code and voucher value issued to them per product</w:t>
      </w:r>
    </w:p>
    <w:p w14:paraId="6FF3A4B3" w14:textId="77777777" w:rsidR="00126C32" w:rsidRPr="00126C32" w:rsidRDefault="00126C32" w:rsidP="00126C32">
      <w:r>
        <w:t>Example: BD</w:t>
      </w:r>
      <w:r w:rsidR="0099257C">
        <w:t>E</w:t>
      </w:r>
      <w:r>
        <w:t>001</w:t>
      </w:r>
      <w:r w:rsidR="0099257C">
        <w:t>, CODEXYZ</w:t>
      </w:r>
      <w:r>
        <w:t xml:space="preserve">, 1000 </w:t>
      </w:r>
    </w:p>
    <w:p w14:paraId="71026AF9" w14:textId="77777777" w:rsidR="00126C32" w:rsidRDefault="0099257C" w:rsidP="00520D07">
      <w:r>
        <w:t>This will allow 1000 users to sign up for a 1 month BD e-edition.</w:t>
      </w:r>
    </w:p>
    <w:p w14:paraId="04CECDB8" w14:textId="77777777" w:rsidR="0099257C" w:rsidRDefault="0099257C" w:rsidP="00520D07"/>
    <w:p w14:paraId="0CB6B7AE" w14:textId="77777777" w:rsidR="003E5341" w:rsidRPr="003A43B8" w:rsidRDefault="003E5341" w:rsidP="003E5341">
      <w:pPr>
        <w:pStyle w:val="Heading2"/>
      </w:pPr>
      <w:bookmarkStart w:id="19" w:name="_Toc191357968"/>
      <w:r>
        <w:t>Product Details</w:t>
      </w:r>
      <w:bookmarkEnd w:id="19"/>
    </w:p>
    <w:p w14:paraId="58B14BA7" w14:textId="77777777" w:rsidR="003E5341" w:rsidRDefault="003E5341" w:rsidP="00520D07"/>
    <w:p w14:paraId="24B01D69" w14:textId="77777777" w:rsidR="003E1258" w:rsidRDefault="003E1258" w:rsidP="00520D07">
      <w:r>
        <w:t>Products will consist of these fields:</w:t>
      </w:r>
    </w:p>
    <w:p w14:paraId="13651386" w14:textId="77777777" w:rsidR="003E1258" w:rsidRDefault="003E1258" w:rsidP="003E1258">
      <w:pPr>
        <w:pStyle w:val="ListParagraph"/>
        <w:numPr>
          <w:ilvl w:val="0"/>
          <w:numId w:val="7"/>
        </w:numPr>
      </w:pPr>
      <w:r>
        <w:t>Code</w:t>
      </w:r>
    </w:p>
    <w:p w14:paraId="27AAAF02" w14:textId="77777777" w:rsidR="003E1258" w:rsidRDefault="003E1258" w:rsidP="003E1258">
      <w:pPr>
        <w:pStyle w:val="ListParagraph"/>
        <w:numPr>
          <w:ilvl w:val="0"/>
          <w:numId w:val="7"/>
        </w:numPr>
      </w:pPr>
      <w:r>
        <w:t>Description</w:t>
      </w:r>
    </w:p>
    <w:p w14:paraId="5A08A376" w14:textId="77777777" w:rsidR="003E1258" w:rsidRDefault="003E1258" w:rsidP="003E1258">
      <w:pPr>
        <w:pStyle w:val="ListParagraph"/>
        <w:numPr>
          <w:ilvl w:val="0"/>
          <w:numId w:val="7"/>
        </w:numPr>
      </w:pPr>
      <w:r>
        <w:t>Duration (in days?)</w:t>
      </w:r>
    </w:p>
    <w:p w14:paraId="1873C780" w14:textId="77777777" w:rsidR="003E1258" w:rsidRDefault="003E1258" w:rsidP="003E1258">
      <w:pPr>
        <w:pStyle w:val="ListParagraph"/>
        <w:numPr>
          <w:ilvl w:val="0"/>
          <w:numId w:val="7"/>
        </w:numPr>
      </w:pPr>
      <w:r>
        <w:t>Expiry (expiry date of the product offer)</w:t>
      </w:r>
    </w:p>
    <w:p w14:paraId="2CB946FA" w14:textId="77777777" w:rsidR="003E1258" w:rsidRDefault="003E1258" w:rsidP="00520D07"/>
    <w:p w14:paraId="5AE4B79D" w14:textId="77777777" w:rsidR="003E5341" w:rsidRDefault="003E5341" w:rsidP="00520D07">
      <w:r>
        <w:t xml:space="preserve">A combo product will consist of a single code. </w:t>
      </w:r>
    </w:p>
    <w:p w14:paraId="1364F73A" w14:textId="77777777" w:rsidR="003E5341" w:rsidRDefault="003E5341" w:rsidP="00520D07"/>
    <w:p w14:paraId="236D22D8" w14:textId="77777777" w:rsidR="003E5341" w:rsidRDefault="003E5341" w:rsidP="00520D07">
      <w:r w:rsidRPr="003E1258">
        <w:rPr>
          <w:rStyle w:val="Heading4Char"/>
        </w:rPr>
        <w:t>Assumption</w:t>
      </w:r>
      <w:r>
        <w:t>: It is preferable to</w:t>
      </w:r>
      <w:r w:rsidR="003E1258">
        <w:t xml:space="preserve"> have the same product codes as per Paradise</w:t>
      </w:r>
    </w:p>
    <w:p w14:paraId="2CDE89D8" w14:textId="77777777" w:rsidR="003E1258" w:rsidRDefault="003E1258" w:rsidP="00520D07"/>
    <w:p w14:paraId="705AE0FB" w14:textId="77777777" w:rsidR="003E1258" w:rsidRDefault="003E1258" w:rsidP="00520D07">
      <w:r>
        <w:t>Product details will be provided by BDFM.</w:t>
      </w:r>
    </w:p>
    <w:p w14:paraId="69760241" w14:textId="77777777" w:rsidR="00FD4E58" w:rsidRPr="003A43B8" w:rsidRDefault="00FD4E58" w:rsidP="00126C32">
      <w:pPr>
        <w:pStyle w:val="Heading2"/>
      </w:pPr>
      <w:bookmarkStart w:id="20" w:name="_Toc191357969"/>
      <w:r w:rsidRPr="003A43B8">
        <w:t>Discount structure</w:t>
      </w:r>
      <w:bookmarkEnd w:id="20"/>
    </w:p>
    <w:p w14:paraId="6F41683A" w14:textId="77777777" w:rsidR="00FD4E58" w:rsidRDefault="00FD4E58" w:rsidP="00520D07"/>
    <w:p w14:paraId="3B48797F" w14:textId="77777777" w:rsidR="00E6014E" w:rsidRDefault="00FD4E58" w:rsidP="00520D07">
      <w:r>
        <w:t>The following standard</w:t>
      </w:r>
      <w:r w:rsidR="003A43B8">
        <w:t xml:space="preserve"> discount structure will be </w:t>
      </w:r>
      <w:r w:rsidR="00E6014E">
        <w:t>allowed for all products:</w:t>
      </w:r>
    </w:p>
    <w:p w14:paraId="6669E3DD" w14:textId="77777777" w:rsidR="00E6014E" w:rsidRDefault="00E6014E" w:rsidP="00520D07"/>
    <w:p w14:paraId="07577040" w14:textId="77777777" w:rsidR="00E6014E" w:rsidRDefault="00E6014E" w:rsidP="00520D07">
      <w:r>
        <w:t>Pensioner 33%</w:t>
      </w:r>
    </w:p>
    <w:p w14:paraId="407A0E5B" w14:textId="77777777" w:rsidR="00E6014E" w:rsidRDefault="00E6014E" w:rsidP="00520D07">
      <w:r>
        <w:t>Student 15%</w:t>
      </w:r>
    </w:p>
    <w:p w14:paraId="2585A15C" w14:textId="77777777" w:rsidR="00E6014E" w:rsidRDefault="00E6014E" w:rsidP="00520D07">
      <w:r>
        <w:t>Corporate 20%</w:t>
      </w:r>
    </w:p>
    <w:p w14:paraId="128C1A45" w14:textId="77777777" w:rsidR="00E6014E" w:rsidRDefault="00E6014E" w:rsidP="00520D07">
      <w:r>
        <w:t>Individual 10%</w:t>
      </w:r>
    </w:p>
    <w:p w14:paraId="23D8865C" w14:textId="77777777" w:rsidR="00E6014E" w:rsidRPr="00D30D69" w:rsidRDefault="00E6014E" w:rsidP="00520D07">
      <w:r>
        <w:t>Free 100% (can only be applied by administrator</w:t>
      </w:r>
      <w:r w:rsidR="003E1258">
        <w:t>)</w:t>
      </w:r>
    </w:p>
    <w:p w14:paraId="44A7413A" w14:textId="77777777" w:rsidR="00D30D69" w:rsidRDefault="0099257C" w:rsidP="003F2E99">
      <w:pPr>
        <w:pStyle w:val="Heading1"/>
      </w:pPr>
      <w:bookmarkStart w:id="21" w:name="_Toc191357970"/>
      <w:r>
        <w:t>Customer Correspondence:</w:t>
      </w:r>
      <w:bookmarkEnd w:id="21"/>
    </w:p>
    <w:p w14:paraId="5F7E24B0" w14:textId="77777777" w:rsidR="002F36B8" w:rsidRDefault="002F36B8" w:rsidP="002F36B8"/>
    <w:p w14:paraId="05524CE2" w14:textId="77777777" w:rsidR="002F36B8" w:rsidRPr="002F36B8" w:rsidRDefault="002F36B8" w:rsidP="002F36B8">
      <w:r>
        <w:t>In all actions/events, the correspondence preference will be checked and the agent prompted to print and mail should the preference be post.</w:t>
      </w:r>
    </w:p>
    <w:p w14:paraId="415C1E84" w14:textId="77777777" w:rsidR="0099257C" w:rsidRDefault="0099257C" w:rsidP="0099257C"/>
    <w:p w14:paraId="060B9270" w14:textId="77777777" w:rsidR="0099257C" w:rsidRDefault="0099257C" w:rsidP="0099257C">
      <w:pPr>
        <w:pStyle w:val="Heading2"/>
      </w:pPr>
      <w:bookmarkStart w:id="22" w:name="_Toc191357971"/>
      <w:r>
        <w:t>Invoicing</w:t>
      </w:r>
      <w:bookmarkEnd w:id="22"/>
    </w:p>
    <w:p w14:paraId="04FD760F" w14:textId="77777777" w:rsidR="0099257C" w:rsidRDefault="0099257C" w:rsidP="0099257C"/>
    <w:p w14:paraId="0AA6C6BD" w14:textId="77777777" w:rsidR="0099257C" w:rsidRDefault="0099257C" w:rsidP="0099257C">
      <w:r>
        <w:t>When a new subscriber is processed/vetted by an agent, a PDF invoice will be sent to</w:t>
      </w:r>
      <w:r w:rsidR="002F36B8">
        <w:t xml:space="preserve"> that subscribers email address.  The correspondence preference will be checked and the agent prompted to print and mail should the preference be post.</w:t>
      </w:r>
    </w:p>
    <w:p w14:paraId="3B22F75C" w14:textId="77777777" w:rsidR="0099257C" w:rsidRDefault="0099257C" w:rsidP="0099257C"/>
    <w:p w14:paraId="47784ED3" w14:textId="77777777" w:rsidR="0099257C" w:rsidRDefault="0099257C" w:rsidP="0099257C">
      <w:r>
        <w:t>It is envisaged a button will be provided that triggers this action.  This will also allow for any invoices to be resent.</w:t>
      </w:r>
    </w:p>
    <w:p w14:paraId="6D74DCA6" w14:textId="77777777" w:rsidR="0099257C" w:rsidRDefault="0099257C" w:rsidP="0099257C"/>
    <w:p w14:paraId="3741D101" w14:textId="77777777" w:rsidR="0099257C" w:rsidRDefault="0099257C" w:rsidP="0099257C">
      <w:r>
        <w:t>The invoices will be stored in the subscribers audit trail/CRM notes section.</w:t>
      </w:r>
    </w:p>
    <w:p w14:paraId="72FBE136" w14:textId="77777777" w:rsidR="0099257C" w:rsidRDefault="0099257C" w:rsidP="0099257C"/>
    <w:p w14:paraId="43FBCA41" w14:textId="77777777" w:rsidR="0099257C" w:rsidRDefault="0099257C" w:rsidP="0099257C">
      <w:pPr>
        <w:pStyle w:val="Heading2"/>
      </w:pPr>
      <w:bookmarkStart w:id="23" w:name="_Toc191357972"/>
      <w:r w:rsidRPr="0099257C">
        <w:t>Credit Notes</w:t>
      </w:r>
      <w:bookmarkEnd w:id="23"/>
    </w:p>
    <w:p w14:paraId="2D8B0059" w14:textId="77777777" w:rsidR="0099257C" w:rsidRDefault="0099257C" w:rsidP="0099257C"/>
    <w:p w14:paraId="48991CEA" w14:textId="77777777" w:rsidR="0099257C" w:rsidRDefault="0099257C" w:rsidP="0099257C">
      <w:r>
        <w:t>As per the invoice mechanism defined above, a button action will trigger the credit note to be sent via PDF to the email address of the subscriber.</w:t>
      </w:r>
    </w:p>
    <w:p w14:paraId="34F71AE5" w14:textId="77777777" w:rsidR="0099257C" w:rsidRDefault="0099257C" w:rsidP="0099257C">
      <w:r>
        <w:t>Similarly the credit note PDF will be stored in the customers audit trail.</w:t>
      </w:r>
    </w:p>
    <w:p w14:paraId="06CF8D86" w14:textId="77777777" w:rsidR="0099257C" w:rsidRDefault="0099257C" w:rsidP="0099257C"/>
    <w:p w14:paraId="63750859" w14:textId="77777777" w:rsidR="0099257C" w:rsidRPr="0099257C" w:rsidRDefault="0099257C" w:rsidP="0099257C">
      <w:pPr>
        <w:pStyle w:val="Heading2"/>
      </w:pPr>
      <w:bookmarkStart w:id="24" w:name="_Toc191357973"/>
      <w:r>
        <w:t>Renewal Notices</w:t>
      </w:r>
      <w:bookmarkEnd w:id="24"/>
    </w:p>
    <w:p w14:paraId="1BCE20CA" w14:textId="77777777" w:rsidR="0099257C" w:rsidRDefault="0099257C" w:rsidP="0099257C"/>
    <w:p w14:paraId="4DCCB2C9" w14:textId="77777777" w:rsidR="0099257C" w:rsidRDefault="0099257C" w:rsidP="0099257C">
      <w:r>
        <w:t xml:space="preserve">Renewal notices will be sent </w:t>
      </w:r>
      <w:r w:rsidR="002F36B8">
        <w:t xml:space="preserve">automatically via email </w:t>
      </w:r>
      <w:r>
        <w:t>according to the product table below</w:t>
      </w:r>
      <w:r w:rsidR="002F36B8">
        <w:t xml:space="preserve">.  The format of the email will be an HTML template and there will be no attachments. These notices will not be physically stored in the customer audit trail but a history event will be stored, </w:t>
      </w:r>
      <w:proofErr w:type="spellStart"/>
      <w:r w:rsidR="002F36B8">
        <w:t>eg</w:t>
      </w:r>
      <w:proofErr w:type="spellEnd"/>
      <w:r w:rsidR="002F36B8">
        <w:t xml:space="preserve">: </w:t>
      </w:r>
      <w:proofErr w:type="gramStart"/>
      <w:r w:rsidR="002F36B8">
        <w:t>14 day</w:t>
      </w:r>
      <w:proofErr w:type="gramEnd"/>
      <w:r w:rsidR="002F36B8">
        <w:t xml:space="preserve"> reminder sent</w:t>
      </w:r>
    </w:p>
    <w:p w14:paraId="40F394D9" w14:textId="77777777" w:rsidR="002F36B8" w:rsidRDefault="002F36B8" w:rsidP="0099257C"/>
    <w:p w14:paraId="5BA21BC7" w14:textId="77777777" w:rsidR="002F36B8" w:rsidRPr="002F36B8" w:rsidRDefault="002F36B8" w:rsidP="0099257C">
      <w:r w:rsidRPr="002F36B8">
        <w:t>In the case of a corporate subscription, individuals will not receive renewal notices</w:t>
      </w:r>
    </w:p>
    <w:p w14:paraId="75107E0D" w14:textId="77777777" w:rsidR="0099257C" w:rsidRDefault="0099257C" w:rsidP="0099257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18366E"/>
          <w:sz w:val="30"/>
          <w:szCs w:val="30"/>
        </w:rPr>
        <w:t> 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60"/>
        <w:gridCol w:w="1540"/>
        <w:gridCol w:w="1540"/>
        <w:gridCol w:w="1540"/>
        <w:gridCol w:w="1540"/>
      </w:tblGrid>
      <w:tr w:rsidR="0099257C" w14:paraId="7A5E36AB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14C0B3FC" w14:textId="77777777" w:rsidR="0099257C" w:rsidRPr="0099257C" w:rsidRDefault="009925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30"/>
                <w:szCs w:val="30"/>
              </w:rPr>
            </w:pPr>
            <w:r w:rsidRPr="0099257C">
              <w:rPr>
                <w:rFonts w:ascii="Calibri" w:hAnsi="Calibri" w:cs="Calibri"/>
                <w:b/>
                <w:sz w:val="22"/>
                <w:szCs w:val="22"/>
              </w:rPr>
              <w:t>BDFM Print &amp; E Subs</w:t>
            </w:r>
          </w:p>
        </w:tc>
        <w:tc>
          <w:tcPr>
            <w:tcW w:w="14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3FC57661" w14:textId="77777777" w:rsidR="0099257C" w:rsidRPr="0099257C" w:rsidRDefault="009925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30"/>
                <w:szCs w:val="30"/>
              </w:rPr>
            </w:pPr>
            <w:r w:rsidRPr="0099257C">
              <w:rPr>
                <w:rFonts w:ascii="Calibri" w:hAnsi="Calibri" w:cs="Calibri"/>
                <w:b/>
                <w:sz w:val="22"/>
                <w:szCs w:val="22"/>
              </w:rPr>
              <w:t>Next Day</w:t>
            </w:r>
          </w:p>
          <w:p w14:paraId="155B4B0C" w14:textId="77777777" w:rsidR="0099257C" w:rsidRPr="0099257C" w:rsidRDefault="009925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30"/>
                <w:szCs w:val="30"/>
              </w:rPr>
            </w:pPr>
            <w:r w:rsidRPr="0099257C">
              <w:rPr>
                <w:rFonts w:ascii="Calibri" w:hAnsi="Calibri" w:cs="Calibri"/>
                <w:b/>
                <w:sz w:val="22"/>
                <w:szCs w:val="22"/>
              </w:rPr>
              <w:t>5</w:t>
            </w:r>
            <w:r w:rsidRPr="0099257C">
              <w:rPr>
                <w:rFonts w:ascii="Calibri" w:hAnsi="Calibri" w:cs="Calibri"/>
                <w:b/>
                <w:sz w:val="18"/>
                <w:szCs w:val="18"/>
                <w:vertAlign w:val="superscript"/>
              </w:rPr>
              <w:t>th</w:t>
            </w:r>
            <w:r w:rsidRPr="0099257C">
              <w:rPr>
                <w:rFonts w:ascii="Calibri" w:hAnsi="Calibri" w:cs="Calibri"/>
                <w:b/>
                <w:sz w:val="22"/>
                <w:szCs w:val="22"/>
              </w:rPr>
              <w:t xml:space="preserve"> reminder</w:t>
            </w:r>
          </w:p>
        </w:tc>
        <w:tc>
          <w:tcPr>
            <w:tcW w:w="1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6A5ABCBC" w14:textId="77777777" w:rsidR="0099257C" w:rsidRPr="0099257C" w:rsidRDefault="009925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30"/>
                <w:szCs w:val="30"/>
              </w:rPr>
            </w:pPr>
            <w:r w:rsidRPr="0099257C">
              <w:rPr>
                <w:rFonts w:ascii="Calibri" w:hAnsi="Calibri" w:cs="Calibri"/>
                <w:b/>
                <w:sz w:val="22"/>
                <w:szCs w:val="22"/>
              </w:rPr>
              <w:t>5 Days</w:t>
            </w:r>
          </w:p>
          <w:p w14:paraId="36076D09" w14:textId="77777777" w:rsidR="0099257C" w:rsidRPr="0099257C" w:rsidRDefault="009925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30"/>
                <w:szCs w:val="30"/>
              </w:rPr>
            </w:pPr>
            <w:r w:rsidRPr="0099257C">
              <w:rPr>
                <w:rFonts w:ascii="Calibri" w:hAnsi="Calibri" w:cs="Calibri"/>
                <w:b/>
                <w:sz w:val="22"/>
                <w:szCs w:val="22"/>
              </w:rPr>
              <w:t>4</w:t>
            </w:r>
            <w:r w:rsidRPr="0099257C">
              <w:rPr>
                <w:rFonts w:ascii="Calibri" w:hAnsi="Calibri" w:cs="Calibri"/>
                <w:b/>
                <w:sz w:val="18"/>
                <w:szCs w:val="18"/>
                <w:vertAlign w:val="superscript"/>
              </w:rPr>
              <w:t>th</w:t>
            </w:r>
            <w:r w:rsidRPr="0099257C">
              <w:rPr>
                <w:rFonts w:ascii="Calibri" w:hAnsi="Calibri" w:cs="Calibri"/>
                <w:b/>
                <w:sz w:val="22"/>
                <w:szCs w:val="22"/>
              </w:rPr>
              <w:t xml:space="preserve"> reminder</w:t>
            </w:r>
          </w:p>
        </w:tc>
        <w:tc>
          <w:tcPr>
            <w:tcW w:w="1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55EECBF5" w14:textId="77777777" w:rsidR="0099257C" w:rsidRPr="0099257C" w:rsidRDefault="009925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30"/>
                <w:szCs w:val="30"/>
              </w:rPr>
            </w:pPr>
            <w:r w:rsidRPr="0099257C">
              <w:rPr>
                <w:rFonts w:ascii="Calibri" w:hAnsi="Calibri" w:cs="Calibri"/>
                <w:b/>
                <w:sz w:val="22"/>
                <w:szCs w:val="22"/>
              </w:rPr>
              <w:t>14 Days</w:t>
            </w:r>
          </w:p>
          <w:p w14:paraId="4513601A" w14:textId="77777777" w:rsidR="0099257C" w:rsidRPr="0099257C" w:rsidRDefault="009925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30"/>
                <w:szCs w:val="30"/>
              </w:rPr>
            </w:pPr>
            <w:r w:rsidRPr="0099257C">
              <w:rPr>
                <w:rFonts w:ascii="Calibri" w:hAnsi="Calibri" w:cs="Calibri"/>
                <w:b/>
                <w:sz w:val="22"/>
                <w:szCs w:val="22"/>
              </w:rPr>
              <w:t>3</w:t>
            </w:r>
            <w:r w:rsidRPr="0099257C">
              <w:rPr>
                <w:rFonts w:ascii="Calibri" w:hAnsi="Calibri" w:cs="Calibri"/>
                <w:b/>
                <w:sz w:val="18"/>
                <w:szCs w:val="18"/>
                <w:vertAlign w:val="superscript"/>
              </w:rPr>
              <w:t>rd</w:t>
            </w:r>
            <w:r w:rsidRPr="0099257C">
              <w:rPr>
                <w:rFonts w:ascii="Calibri" w:hAnsi="Calibri" w:cs="Calibri"/>
                <w:b/>
                <w:sz w:val="22"/>
                <w:szCs w:val="22"/>
              </w:rPr>
              <w:t xml:space="preserve"> reminder</w:t>
            </w:r>
          </w:p>
        </w:tc>
        <w:tc>
          <w:tcPr>
            <w:tcW w:w="1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135AA714" w14:textId="77777777" w:rsidR="0099257C" w:rsidRPr="0099257C" w:rsidRDefault="009925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30"/>
                <w:szCs w:val="30"/>
              </w:rPr>
            </w:pPr>
            <w:r w:rsidRPr="0099257C">
              <w:rPr>
                <w:rFonts w:ascii="Calibri" w:hAnsi="Calibri" w:cs="Calibri"/>
                <w:b/>
                <w:sz w:val="22"/>
                <w:szCs w:val="22"/>
              </w:rPr>
              <w:t>28 Days</w:t>
            </w:r>
          </w:p>
          <w:p w14:paraId="17C877BF" w14:textId="77777777" w:rsidR="0099257C" w:rsidRPr="0099257C" w:rsidRDefault="009925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30"/>
                <w:szCs w:val="30"/>
              </w:rPr>
            </w:pPr>
            <w:r w:rsidRPr="0099257C"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Pr="0099257C">
              <w:rPr>
                <w:rFonts w:ascii="Calibri" w:hAnsi="Calibri" w:cs="Calibri"/>
                <w:b/>
                <w:sz w:val="18"/>
                <w:szCs w:val="18"/>
                <w:vertAlign w:val="superscript"/>
              </w:rPr>
              <w:t>nd</w:t>
            </w:r>
            <w:r w:rsidRPr="0099257C">
              <w:rPr>
                <w:rFonts w:ascii="Calibri" w:hAnsi="Calibri" w:cs="Calibri"/>
                <w:b/>
                <w:sz w:val="22"/>
                <w:szCs w:val="22"/>
              </w:rPr>
              <w:t xml:space="preserve"> reminder</w:t>
            </w:r>
          </w:p>
        </w:tc>
        <w:tc>
          <w:tcPr>
            <w:tcW w:w="1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00A686D3" w14:textId="77777777" w:rsidR="0099257C" w:rsidRPr="0099257C" w:rsidRDefault="009925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30"/>
                <w:szCs w:val="30"/>
              </w:rPr>
            </w:pPr>
            <w:r w:rsidRPr="0099257C">
              <w:rPr>
                <w:rFonts w:ascii="Calibri" w:hAnsi="Calibri" w:cs="Calibri"/>
                <w:b/>
                <w:sz w:val="22"/>
                <w:szCs w:val="22"/>
              </w:rPr>
              <w:t>56 Days</w:t>
            </w:r>
          </w:p>
          <w:p w14:paraId="0F8EF51E" w14:textId="77777777" w:rsidR="0099257C" w:rsidRPr="0099257C" w:rsidRDefault="009925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30"/>
                <w:szCs w:val="30"/>
              </w:rPr>
            </w:pPr>
            <w:r w:rsidRPr="0099257C"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Pr="0099257C">
              <w:rPr>
                <w:rFonts w:ascii="Calibri" w:hAnsi="Calibri" w:cs="Calibri"/>
                <w:b/>
                <w:sz w:val="18"/>
                <w:szCs w:val="18"/>
                <w:vertAlign w:val="superscript"/>
              </w:rPr>
              <w:t>st</w:t>
            </w:r>
            <w:r w:rsidRPr="0099257C">
              <w:rPr>
                <w:rFonts w:ascii="Calibri" w:hAnsi="Calibri" w:cs="Calibri"/>
                <w:b/>
                <w:sz w:val="22"/>
                <w:szCs w:val="22"/>
              </w:rPr>
              <w:t xml:space="preserve"> reminder</w:t>
            </w:r>
          </w:p>
        </w:tc>
      </w:tr>
      <w:tr w:rsidR="0099257C" w14:paraId="5D5B160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0B64415D" w14:textId="77777777" w:rsidR="0099257C" w:rsidRDefault="009925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 month</w:t>
            </w:r>
          </w:p>
        </w:tc>
        <w:tc>
          <w:tcPr>
            <w:tcW w:w="146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202C32A0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*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5A9EF38C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*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1EF23062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*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4C36D001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*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6DD69D3D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9257C" w14:paraId="08DF85F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0A6A22AE" w14:textId="77777777" w:rsidR="0099257C" w:rsidRDefault="009925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 month</w:t>
            </w:r>
          </w:p>
        </w:tc>
        <w:tc>
          <w:tcPr>
            <w:tcW w:w="146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24C12FE6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*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2257575C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0BBF1EDF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*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3E0FF833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*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05B1964C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*</w:t>
            </w:r>
          </w:p>
        </w:tc>
      </w:tr>
      <w:tr w:rsidR="0099257C" w14:paraId="4137D00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022298CB" w14:textId="77777777" w:rsidR="0099257C" w:rsidRDefault="009925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 month</w:t>
            </w:r>
          </w:p>
        </w:tc>
        <w:tc>
          <w:tcPr>
            <w:tcW w:w="146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044C4B3D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*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7DEF0C12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56AF061D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*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138A73B5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*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4185B32E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*</w:t>
            </w:r>
          </w:p>
        </w:tc>
      </w:tr>
      <w:tr w:rsidR="0099257C" w14:paraId="3FD2E01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1534F1CB" w14:textId="77777777" w:rsidR="0099257C" w:rsidRDefault="009925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Individual</w:t>
            </w:r>
          </w:p>
        </w:tc>
        <w:tc>
          <w:tcPr>
            <w:tcW w:w="146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2B2CAA46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*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6B8D1BBD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1F6E1979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5DD3FB84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2864D883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9257C" w14:paraId="5E90D144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17EBF600" w14:textId="77777777" w:rsidR="0099257C" w:rsidRDefault="009925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6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52492C73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5C3B186F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6225404D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4A20ABFB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62728623" w14:textId="77777777" w:rsidR="0099257C" w:rsidRDefault="009925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74B914C3" w14:textId="77777777" w:rsidR="002F36B8" w:rsidRDefault="002F36B8" w:rsidP="0099257C">
      <w:pPr>
        <w:rPr>
          <w:rFonts w:ascii="Calibri" w:hAnsi="Calibri" w:cs="Calibri"/>
          <w:color w:val="18366E"/>
          <w:sz w:val="30"/>
          <w:szCs w:val="30"/>
        </w:rPr>
      </w:pPr>
    </w:p>
    <w:p w14:paraId="7B5E6EBA" w14:textId="77777777" w:rsidR="0099257C" w:rsidRDefault="002F36B8" w:rsidP="002F36B8">
      <w:r>
        <w:t>After this report is run, an exception result will be emailed to the designated renewal administrators where customers have ‘post’ specified as a correspondence preference.  The agent will then have to manually go and process each exception.</w:t>
      </w:r>
    </w:p>
    <w:p w14:paraId="70CAD95E" w14:textId="77777777" w:rsidR="00F606EF" w:rsidRDefault="00F606EF" w:rsidP="002F36B8"/>
    <w:p w14:paraId="3101D878" w14:textId="77777777" w:rsidR="00F606EF" w:rsidRDefault="00F606EF" w:rsidP="00F606EF">
      <w:pPr>
        <w:pStyle w:val="Heading2"/>
      </w:pPr>
      <w:bookmarkStart w:id="25" w:name="_Toc191357974"/>
      <w:r>
        <w:t>Audit Trail</w:t>
      </w:r>
      <w:bookmarkEnd w:id="25"/>
    </w:p>
    <w:p w14:paraId="2EDA4E09" w14:textId="77777777" w:rsidR="00F606EF" w:rsidRDefault="00F606EF" w:rsidP="00F606EF"/>
    <w:p w14:paraId="07F06BF7" w14:textId="77777777" w:rsidR="00F606EF" w:rsidRDefault="00F606EF" w:rsidP="00F606EF">
      <w:r>
        <w:t>Every correspondence event on a customer account will be recorded as a history item in the customers account history.  Invoices and credit notes issued will also be stored in PDF format.</w:t>
      </w:r>
    </w:p>
    <w:p w14:paraId="2D6A9B27" w14:textId="77777777" w:rsidR="00F606EF" w:rsidRDefault="00F606EF" w:rsidP="00F606EF"/>
    <w:p w14:paraId="6DCEF863" w14:textId="77777777" w:rsidR="00F606EF" w:rsidRDefault="00F606EF" w:rsidP="00F606EF">
      <w:r>
        <w:t>An agent should be allowed to manually insert notes from correspondence.</w:t>
      </w:r>
    </w:p>
    <w:p w14:paraId="381BEA46" w14:textId="77777777" w:rsidR="00F606EF" w:rsidRPr="0099257C" w:rsidRDefault="00F606EF" w:rsidP="002F36B8"/>
    <w:p w14:paraId="21F74018" w14:textId="77777777" w:rsidR="0094738C" w:rsidRPr="003F2E99" w:rsidRDefault="003F2E99" w:rsidP="003F2E99">
      <w:pPr>
        <w:pStyle w:val="Heading1"/>
      </w:pPr>
      <w:bookmarkStart w:id="26" w:name="_Toc191357975"/>
      <w:r>
        <w:t>Reporting</w:t>
      </w:r>
      <w:bookmarkEnd w:id="26"/>
    </w:p>
    <w:p w14:paraId="2562A932" w14:textId="77777777" w:rsidR="009A120D" w:rsidRDefault="009A120D"/>
    <w:p w14:paraId="550199C9" w14:textId="77777777" w:rsidR="009A120D" w:rsidRDefault="009A120D">
      <w:r>
        <w:t>5 Reports will be created.</w:t>
      </w:r>
      <w:r w:rsidR="002E4345">
        <w:t xml:space="preserve">  They will all be emailed to a BDFM provided list of recipients as per the frequency requirements stated below.</w:t>
      </w:r>
    </w:p>
    <w:p w14:paraId="39759DD2" w14:textId="77777777" w:rsidR="003F2E99" w:rsidRDefault="003F2E99"/>
    <w:p w14:paraId="7034470B" w14:textId="77777777" w:rsidR="003F2E99" w:rsidRDefault="003E1258" w:rsidP="003F2E99">
      <w:pPr>
        <w:pStyle w:val="Subtitle"/>
      </w:pPr>
      <w:r>
        <w:t xml:space="preserve">Important </w:t>
      </w:r>
      <w:r w:rsidR="003F2E99">
        <w:t>Deliverables from BDFM:</w:t>
      </w:r>
    </w:p>
    <w:p w14:paraId="20967552" w14:textId="77777777" w:rsidR="003F2E99" w:rsidRDefault="003F2E99"/>
    <w:p w14:paraId="471F9C3C" w14:textId="77777777" w:rsidR="003F2E99" w:rsidRDefault="003F2E99">
      <w:r>
        <w:t>BDFM will provide a spreadsheet for each report, populated with column headings, example data and any calculations used.</w:t>
      </w:r>
    </w:p>
    <w:p w14:paraId="22B994A6" w14:textId="77777777" w:rsidR="002E4345" w:rsidRDefault="002E4345"/>
    <w:p w14:paraId="44885888" w14:textId="77777777" w:rsidR="002E4345" w:rsidRDefault="002E4345">
      <w:r>
        <w:t>BDFM will provide list of email addresses to receive report.</w:t>
      </w:r>
    </w:p>
    <w:p w14:paraId="3DB92409" w14:textId="77777777" w:rsidR="009A120D" w:rsidRDefault="009A120D"/>
    <w:p w14:paraId="02A843D1" w14:textId="77777777" w:rsidR="009A120D" w:rsidRPr="009A120D" w:rsidRDefault="009A120D" w:rsidP="003F2E99">
      <w:pPr>
        <w:pStyle w:val="Heading2"/>
      </w:pPr>
      <w:bookmarkStart w:id="27" w:name="_Toc191357976"/>
      <w:r>
        <w:t>D</w:t>
      </w:r>
      <w:r w:rsidRPr="009A120D">
        <w:t>ebtors report</w:t>
      </w:r>
      <w:bookmarkEnd w:id="27"/>
    </w:p>
    <w:p w14:paraId="0C3E548A" w14:textId="77777777" w:rsidR="009A120D" w:rsidRDefault="009A120D" w:rsidP="009A120D"/>
    <w:p w14:paraId="4E3DDAAC" w14:textId="77777777" w:rsidR="009A120D" w:rsidRDefault="009A120D" w:rsidP="009A120D">
      <w:r>
        <w:t>Frequency: monthly</w:t>
      </w:r>
    </w:p>
    <w:p w14:paraId="35FACD38" w14:textId="77777777" w:rsidR="009A120D" w:rsidRDefault="009A120D" w:rsidP="009A120D"/>
    <w:p w14:paraId="719FB89B" w14:textId="77777777" w:rsidR="009A120D" w:rsidRDefault="009A120D" w:rsidP="009A120D">
      <w:r>
        <w:t>Detail: Shows all debtors and total amounts outstanding for each in the 30,60,90,120 day range.</w:t>
      </w:r>
    </w:p>
    <w:p w14:paraId="1779F54B" w14:textId="77777777" w:rsidR="009A120D" w:rsidRDefault="009A120D" w:rsidP="009A120D"/>
    <w:p w14:paraId="3CC3EFC6" w14:textId="77777777" w:rsidR="009A120D" w:rsidRDefault="009A120D" w:rsidP="003F2E99">
      <w:pPr>
        <w:pStyle w:val="Heading2"/>
      </w:pPr>
      <w:bookmarkStart w:id="28" w:name="_Toc191357977"/>
      <w:r w:rsidRPr="009A120D">
        <w:t>Credit note report</w:t>
      </w:r>
      <w:bookmarkEnd w:id="28"/>
    </w:p>
    <w:p w14:paraId="43D25B3E" w14:textId="77777777" w:rsidR="009A120D" w:rsidRDefault="009A120D" w:rsidP="009A120D">
      <w:pPr>
        <w:rPr>
          <w:b/>
        </w:rPr>
      </w:pPr>
    </w:p>
    <w:p w14:paraId="78032AF8" w14:textId="77777777" w:rsidR="009A120D" w:rsidRDefault="009A120D" w:rsidP="009A120D">
      <w:r w:rsidRPr="009A120D">
        <w:t>Frequency: daily (</w:t>
      </w:r>
      <w:proofErr w:type="spellStart"/>
      <w:r w:rsidRPr="009A120D">
        <w:t>mon-fri</w:t>
      </w:r>
      <w:proofErr w:type="spellEnd"/>
      <w:r w:rsidRPr="009A120D">
        <w:t>)</w:t>
      </w:r>
    </w:p>
    <w:p w14:paraId="2C9456F1" w14:textId="77777777" w:rsidR="009A120D" w:rsidRDefault="009A120D" w:rsidP="009A120D"/>
    <w:p w14:paraId="51D8364A" w14:textId="77777777" w:rsidR="009A120D" w:rsidRDefault="009A120D" w:rsidP="009A120D">
      <w:r>
        <w:t xml:space="preserve">Detail: shows </w:t>
      </w:r>
      <w:proofErr w:type="gramStart"/>
      <w:r>
        <w:t>customers which</w:t>
      </w:r>
      <w:proofErr w:type="gramEnd"/>
      <w:r>
        <w:t xml:space="preserve"> have been issued refunds on the system which need to be </w:t>
      </w:r>
      <w:proofErr w:type="spellStart"/>
      <w:r>
        <w:t>actioned</w:t>
      </w:r>
      <w:proofErr w:type="spellEnd"/>
      <w:r>
        <w:t xml:space="preserve"> manually.</w:t>
      </w:r>
    </w:p>
    <w:p w14:paraId="6EA78D72" w14:textId="77777777" w:rsidR="009A120D" w:rsidRDefault="009A120D" w:rsidP="009A120D"/>
    <w:p w14:paraId="2CEA4314" w14:textId="77777777" w:rsidR="009A120D" w:rsidRDefault="009A120D" w:rsidP="009A120D">
      <w:r w:rsidRPr="003E1258">
        <w:rPr>
          <w:rStyle w:val="Heading4Char"/>
        </w:rPr>
        <w:t>Assumption</w:t>
      </w:r>
      <w:r>
        <w:t>: 100% credit card refunds don’t need to be listed.</w:t>
      </w:r>
    </w:p>
    <w:p w14:paraId="321C2910" w14:textId="77777777" w:rsidR="009A120D" w:rsidRDefault="009A120D" w:rsidP="009A120D"/>
    <w:p w14:paraId="7D6019A2" w14:textId="77777777" w:rsidR="009A120D" w:rsidRPr="009A120D" w:rsidRDefault="009A120D" w:rsidP="003F2E99">
      <w:pPr>
        <w:pStyle w:val="Heading2"/>
      </w:pPr>
      <w:bookmarkStart w:id="29" w:name="_Toc191357978"/>
      <w:r w:rsidRPr="009A120D">
        <w:t>VAT Report</w:t>
      </w:r>
      <w:bookmarkEnd w:id="29"/>
    </w:p>
    <w:p w14:paraId="6AC45F59" w14:textId="77777777" w:rsidR="009A120D" w:rsidRDefault="009A120D" w:rsidP="009A120D"/>
    <w:p w14:paraId="0A8AD125" w14:textId="77777777" w:rsidR="009A120D" w:rsidRDefault="009A120D" w:rsidP="009A120D">
      <w:r>
        <w:t>Frequency: Monthly</w:t>
      </w:r>
    </w:p>
    <w:p w14:paraId="0A863D01" w14:textId="77777777" w:rsidR="009A120D" w:rsidRDefault="009A120D" w:rsidP="009A120D"/>
    <w:p w14:paraId="5ADF0A8E" w14:textId="77777777" w:rsidR="009A120D" w:rsidRDefault="009A120D" w:rsidP="009A120D">
      <w:r>
        <w:t xml:space="preserve">Detail:  Report showing </w:t>
      </w:r>
      <w:proofErr w:type="spellStart"/>
      <w:r>
        <w:t>vattable</w:t>
      </w:r>
      <w:proofErr w:type="spellEnd"/>
      <w:r>
        <w:t xml:space="preserve"> sales totals and non-</w:t>
      </w:r>
      <w:proofErr w:type="spellStart"/>
      <w:r>
        <w:t>vattable</w:t>
      </w:r>
      <w:proofErr w:type="spellEnd"/>
      <w:r>
        <w:t xml:space="preserve"> sales totals (international). Report should show total VAT amount due to SARS.</w:t>
      </w:r>
    </w:p>
    <w:p w14:paraId="39A4D675" w14:textId="77777777" w:rsidR="009A120D" w:rsidRDefault="009A120D" w:rsidP="009A120D"/>
    <w:p w14:paraId="03C41D6D" w14:textId="77777777" w:rsidR="009A120D" w:rsidRDefault="009A120D" w:rsidP="009A120D">
      <w:r w:rsidRPr="003E1258">
        <w:rPr>
          <w:rStyle w:val="Heading4Char"/>
        </w:rPr>
        <w:t>Assumption</w:t>
      </w:r>
      <w:r>
        <w:t>: Detail of every line item is not required, just totals.</w:t>
      </w:r>
    </w:p>
    <w:p w14:paraId="15A986B0" w14:textId="77777777" w:rsidR="009A120D" w:rsidRDefault="009A120D" w:rsidP="009A120D"/>
    <w:p w14:paraId="23A0C83C" w14:textId="77777777" w:rsidR="009A120D" w:rsidRDefault="009A120D" w:rsidP="003F2E99">
      <w:pPr>
        <w:pStyle w:val="Heading2"/>
      </w:pPr>
      <w:bookmarkStart w:id="30" w:name="_Toc191357979"/>
      <w:r w:rsidRPr="009A120D">
        <w:t>Revenue Report</w:t>
      </w:r>
      <w:bookmarkEnd w:id="30"/>
    </w:p>
    <w:p w14:paraId="6A2E6569" w14:textId="77777777" w:rsidR="009A120D" w:rsidRDefault="009A120D" w:rsidP="009A120D">
      <w:pPr>
        <w:rPr>
          <w:b/>
        </w:rPr>
      </w:pPr>
    </w:p>
    <w:p w14:paraId="10F54F27" w14:textId="77777777" w:rsidR="009A120D" w:rsidRDefault="009A120D" w:rsidP="009A120D">
      <w:r w:rsidRPr="009A120D">
        <w:t>Frequency: monthly</w:t>
      </w:r>
    </w:p>
    <w:p w14:paraId="2DEA5520" w14:textId="77777777" w:rsidR="009A120D" w:rsidRDefault="009A120D" w:rsidP="009A120D"/>
    <w:p w14:paraId="11D06AD2" w14:textId="77777777" w:rsidR="002E4345" w:rsidRDefault="009A120D" w:rsidP="009A120D">
      <w:r>
        <w:t xml:space="preserve">Detail: </w:t>
      </w:r>
    </w:p>
    <w:p w14:paraId="039EA4A1" w14:textId="77777777" w:rsidR="002E4345" w:rsidRDefault="002E4345" w:rsidP="009A120D"/>
    <w:p w14:paraId="781E59A6" w14:textId="77777777" w:rsidR="009A120D" w:rsidRDefault="009A120D" w:rsidP="002E4345">
      <w:pPr>
        <w:pStyle w:val="ListParagraph"/>
        <w:numPr>
          <w:ilvl w:val="0"/>
          <w:numId w:val="2"/>
        </w:numPr>
      </w:pPr>
      <w:r>
        <w:t xml:space="preserve">Report showing copies flagged as ’delivered’ and the value thereof.  For individuals this is ‘paid for’ subscriptions, for companies these may not yet be paid for. </w:t>
      </w:r>
      <w:r w:rsidR="002E4345">
        <w:t xml:space="preserve">This is in a window of a month, </w:t>
      </w:r>
      <w:proofErr w:type="spellStart"/>
      <w:r w:rsidR="002E4345">
        <w:t>ie</w:t>
      </w:r>
      <w:proofErr w:type="spellEnd"/>
      <w:r w:rsidR="002E4345">
        <w:t>: not cumulative.</w:t>
      </w:r>
    </w:p>
    <w:p w14:paraId="3F62391B" w14:textId="77777777" w:rsidR="003F2E99" w:rsidRDefault="003F2E99" w:rsidP="009A120D"/>
    <w:p w14:paraId="363587C4" w14:textId="77777777" w:rsidR="003F2E99" w:rsidRDefault="003F2E99" w:rsidP="002E4345">
      <w:pPr>
        <w:pStyle w:val="ListParagraph"/>
        <w:numPr>
          <w:ilvl w:val="0"/>
          <w:numId w:val="2"/>
        </w:numPr>
      </w:pPr>
      <w:r>
        <w:t xml:space="preserve">This needs to be broken down into how each of these was paid for EFT, Credit Card, </w:t>
      </w:r>
      <w:proofErr w:type="gramStart"/>
      <w:r>
        <w:t>Debit</w:t>
      </w:r>
      <w:proofErr w:type="gramEnd"/>
      <w:r>
        <w:t xml:space="preserve"> Order.</w:t>
      </w:r>
    </w:p>
    <w:p w14:paraId="3EA64491" w14:textId="77777777" w:rsidR="002E4345" w:rsidRDefault="002E4345" w:rsidP="009A120D"/>
    <w:p w14:paraId="0BA14AC4" w14:textId="77777777" w:rsidR="002E4345" w:rsidRDefault="002E4345" w:rsidP="002E4345">
      <w:pPr>
        <w:pStyle w:val="ListParagraph"/>
        <w:numPr>
          <w:ilvl w:val="0"/>
          <w:numId w:val="2"/>
        </w:numPr>
      </w:pPr>
      <w:r>
        <w:t>Further broken down into province and international.</w:t>
      </w:r>
    </w:p>
    <w:p w14:paraId="45BDFDBF" w14:textId="77777777" w:rsidR="002E4345" w:rsidRDefault="002E4345" w:rsidP="009A120D"/>
    <w:p w14:paraId="24BC593D" w14:textId="77777777" w:rsidR="002E4345" w:rsidRPr="009A120D" w:rsidRDefault="002E4345" w:rsidP="009A120D">
      <w:r w:rsidRPr="003E1258">
        <w:rPr>
          <w:rStyle w:val="Heading4Char"/>
        </w:rPr>
        <w:t>Assumption</w:t>
      </w:r>
      <w:r>
        <w:t xml:space="preserve">: BDFM don’t want details of which international country, </w:t>
      </w:r>
      <w:proofErr w:type="spellStart"/>
      <w:r>
        <w:t>ie</w:t>
      </w:r>
      <w:proofErr w:type="spellEnd"/>
      <w:r>
        <w:t>: all countries outside South Arica are classed as International on the report.</w:t>
      </w:r>
    </w:p>
    <w:p w14:paraId="68B82C42" w14:textId="77777777" w:rsidR="009A120D" w:rsidRPr="009A120D" w:rsidRDefault="009A120D" w:rsidP="009A120D">
      <w:pPr>
        <w:rPr>
          <w:b/>
        </w:rPr>
      </w:pPr>
    </w:p>
    <w:p w14:paraId="7C86DB88" w14:textId="77777777" w:rsidR="009A120D" w:rsidRPr="009A120D" w:rsidRDefault="009A120D" w:rsidP="003F2E99">
      <w:pPr>
        <w:pStyle w:val="Heading2"/>
      </w:pPr>
      <w:bookmarkStart w:id="31" w:name="_Toc191357980"/>
      <w:r w:rsidRPr="009A120D">
        <w:t>Current Liabilities Report</w:t>
      </w:r>
      <w:bookmarkEnd w:id="31"/>
    </w:p>
    <w:p w14:paraId="5CA0DE66" w14:textId="77777777" w:rsidR="009A120D" w:rsidRPr="009A120D" w:rsidRDefault="009A120D" w:rsidP="009A120D"/>
    <w:p w14:paraId="2280E1C6" w14:textId="77777777" w:rsidR="009A120D" w:rsidRDefault="009A120D" w:rsidP="009A120D">
      <w:r w:rsidRPr="009A120D">
        <w:t>Frequency: monthly</w:t>
      </w:r>
    </w:p>
    <w:p w14:paraId="45621FED" w14:textId="77777777" w:rsidR="003F2E99" w:rsidRDefault="003F2E99" w:rsidP="009A120D"/>
    <w:p w14:paraId="606FAD60" w14:textId="77777777" w:rsidR="003F2E99" w:rsidRDefault="003F2E99" w:rsidP="009A120D">
      <w:r>
        <w:t xml:space="preserve">Detail: Number of copies and value </w:t>
      </w:r>
      <w:proofErr w:type="gramStart"/>
      <w:r>
        <w:t>thereof which</w:t>
      </w:r>
      <w:proofErr w:type="gramEnd"/>
      <w:r>
        <w:t xml:space="preserve"> are still owed to customers.</w:t>
      </w:r>
    </w:p>
    <w:p w14:paraId="375B1364" w14:textId="77777777" w:rsidR="003F2E99" w:rsidRDefault="003F2E99" w:rsidP="009A120D"/>
    <w:p w14:paraId="3C03C329" w14:textId="77777777" w:rsidR="003F2E99" w:rsidRPr="009A120D" w:rsidRDefault="003F2E99" w:rsidP="009A120D">
      <w:r w:rsidRPr="003E1258">
        <w:rPr>
          <w:rStyle w:val="Heading4Char"/>
        </w:rPr>
        <w:t>Assumption</w:t>
      </w:r>
      <w:r>
        <w:t xml:space="preserve">: this is the total liability of all subscriptions paid for. </w:t>
      </w:r>
      <w:proofErr w:type="spellStart"/>
      <w:r>
        <w:t>Ie</w:t>
      </w:r>
      <w:proofErr w:type="spellEnd"/>
      <w:r>
        <w:t>: anything not paid for is excluded.</w:t>
      </w:r>
    </w:p>
    <w:p w14:paraId="7762E1F2" w14:textId="77777777" w:rsidR="009A120D" w:rsidRDefault="009A120D" w:rsidP="009A120D">
      <w:pPr>
        <w:rPr>
          <w:b/>
        </w:rPr>
      </w:pPr>
    </w:p>
    <w:p w14:paraId="2782E9E4" w14:textId="77777777" w:rsidR="003E1258" w:rsidRDefault="003E1258" w:rsidP="009A120D">
      <w:pPr>
        <w:rPr>
          <w:b/>
        </w:rPr>
      </w:pPr>
    </w:p>
    <w:p w14:paraId="645395BC" w14:textId="77777777" w:rsidR="003E1258" w:rsidRDefault="003E1258" w:rsidP="003E1258">
      <w:pPr>
        <w:pStyle w:val="Heading1"/>
      </w:pPr>
      <w:bookmarkStart w:id="32" w:name="_Toc191357981"/>
      <w:r>
        <w:t>BDFM Tasks</w:t>
      </w:r>
      <w:bookmarkEnd w:id="32"/>
    </w:p>
    <w:p w14:paraId="75A43931" w14:textId="77777777" w:rsidR="003E1258" w:rsidRDefault="003E1258" w:rsidP="009A120D">
      <w:pPr>
        <w:rPr>
          <w:b/>
        </w:rPr>
      </w:pPr>
    </w:p>
    <w:p w14:paraId="3832FC38" w14:textId="77777777" w:rsidR="003E1258" w:rsidRDefault="003E1258" w:rsidP="003E1258">
      <w:pPr>
        <w:pStyle w:val="ListParagraph"/>
        <w:numPr>
          <w:ilvl w:val="0"/>
          <w:numId w:val="6"/>
        </w:numPr>
      </w:pPr>
      <w:r>
        <w:t>Product details will be provided by BDFM.</w:t>
      </w:r>
    </w:p>
    <w:p w14:paraId="1702CE15" w14:textId="77777777" w:rsidR="003E1258" w:rsidRDefault="003E1258" w:rsidP="003E1258">
      <w:pPr>
        <w:pStyle w:val="ListParagraph"/>
        <w:numPr>
          <w:ilvl w:val="0"/>
          <w:numId w:val="6"/>
        </w:numPr>
        <w:tabs>
          <w:tab w:val="center" w:pos="4320"/>
        </w:tabs>
      </w:pPr>
      <w:r w:rsidRPr="003E1258">
        <w:t>Customer fields will be confirmed</w:t>
      </w:r>
      <w:r>
        <w:tab/>
      </w:r>
    </w:p>
    <w:p w14:paraId="61A8B805" w14:textId="77777777" w:rsidR="003E1258" w:rsidRDefault="003E1258" w:rsidP="003E1258">
      <w:pPr>
        <w:pStyle w:val="ListParagraph"/>
        <w:numPr>
          <w:ilvl w:val="0"/>
          <w:numId w:val="6"/>
        </w:numPr>
        <w:tabs>
          <w:tab w:val="center" w:pos="4320"/>
        </w:tabs>
      </w:pPr>
      <w:r>
        <w:t>Spreadsheets will be provided for each report</w:t>
      </w:r>
    </w:p>
    <w:p w14:paraId="20A88118" w14:textId="77777777" w:rsidR="003E1258" w:rsidRDefault="003E1258" w:rsidP="003E1258">
      <w:pPr>
        <w:pStyle w:val="ListParagraph"/>
        <w:numPr>
          <w:ilvl w:val="0"/>
          <w:numId w:val="6"/>
        </w:numPr>
        <w:tabs>
          <w:tab w:val="center" w:pos="4320"/>
        </w:tabs>
      </w:pPr>
      <w:r>
        <w:t>Reporting assumptions will be answered.</w:t>
      </w:r>
    </w:p>
    <w:p w14:paraId="7B6D310F" w14:textId="77777777" w:rsidR="003E1258" w:rsidRDefault="003E1258" w:rsidP="003E1258">
      <w:pPr>
        <w:pStyle w:val="ListParagraph"/>
        <w:numPr>
          <w:ilvl w:val="0"/>
          <w:numId w:val="6"/>
        </w:numPr>
        <w:tabs>
          <w:tab w:val="center" w:pos="4320"/>
        </w:tabs>
      </w:pPr>
      <w:r>
        <w:t>BDFM will identify the administrative user/s</w:t>
      </w:r>
    </w:p>
    <w:p w14:paraId="27000742" w14:textId="77777777" w:rsidR="003E1258" w:rsidRDefault="003E1258" w:rsidP="003E1258">
      <w:pPr>
        <w:pStyle w:val="ListParagraph"/>
        <w:numPr>
          <w:ilvl w:val="0"/>
          <w:numId w:val="6"/>
        </w:numPr>
        <w:tabs>
          <w:tab w:val="center" w:pos="4320"/>
        </w:tabs>
      </w:pPr>
      <w:r>
        <w:t>BDFM will provide email addresses for the reports</w:t>
      </w:r>
    </w:p>
    <w:p w14:paraId="47233DBA" w14:textId="77777777" w:rsidR="003E1258" w:rsidRDefault="003E1258" w:rsidP="003E1258">
      <w:pPr>
        <w:pStyle w:val="ListParagraph"/>
        <w:numPr>
          <w:ilvl w:val="0"/>
          <w:numId w:val="6"/>
        </w:numPr>
        <w:tabs>
          <w:tab w:val="center" w:pos="4320"/>
        </w:tabs>
      </w:pPr>
      <w:r>
        <w:t xml:space="preserve">BDFM will provide existing subscriber lists, the products, their expiry, their balances </w:t>
      </w:r>
      <w:proofErr w:type="spellStart"/>
      <w:r>
        <w:t>etc</w:t>
      </w:r>
      <w:proofErr w:type="spellEnd"/>
      <w:r>
        <w:t>…</w:t>
      </w:r>
    </w:p>
    <w:p w14:paraId="2E03DEBD" w14:textId="77777777" w:rsidR="003E1258" w:rsidRDefault="003E1258" w:rsidP="003E1258">
      <w:pPr>
        <w:pStyle w:val="ListParagraph"/>
        <w:numPr>
          <w:ilvl w:val="0"/>
          <w:numId w:val="6"/>
        </w:numPr>
        <w:tabs>
          <w:tab w:val="center" w:pos="4320"/>
        </w:tabs>
      </w:pPr>
      <w:r>
        <w:t>BDFM will initiate and request any work required on the Paradise system</w:t>
      </w:r>
    </w:p>
    <w:p w14:paraId="6584CE27" w14:textId="77777777" w:rsidR="003E1258" w:rsidRDefault="003E1258" w:rsidP="003E1258">
      <w:pPr>
        <w:pStyle w:val="ListParagraph"/>
        <w:numPr>
          <w:ilvl w:val="0"/>
          <w:numId w:val="6"/>
        </w:numPr>
        <w:tabs>
          <w:tab w:val="center" w:pos="4320"/>
        </w:tabs>
      </w:pPr>
      <w:r>
        <w:t>This document to be signed-off by BDFM</w:t>
      </w:r>
    </w:p>
    <w:p w14:paraId="32E591AD" w14:textId="77777777" w:rsidR="003E1258" w:rsidRPr="003E1258" w:rsidRDefault="003E1258" w:rsidP="003E1258">
      <w:pPr>
        <w:tabs>
          <w:tab w:val="center" w:pos="4320"/>
        </w:tabs>
      </w:pPr>
    </w:p>
    <w:p w14:paraId="2C1255B8" w14:textId="77777777" w:rsidR="003E1258" w:rsidRPr="009A120D" w:rsidRDefault="003E1258" w:rsidP="009A120D">
      <w:pPr>
        <w:rPr>
          <w:b/>
        </w:rPr>
      </w:pPr>
    </w:p>
    <w:sectPr w:rsidR="003E1258" w:rsidRPr="009A120D" w:rsidSect="003E1258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50A93"/>
    <w:multiLevelType w:val="hybridMultilevel"/>
    <w:tmpl w:val="CECC2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D63E6"/>
    <w:multiLevelType w:val="hybridMultilevel"/>
    <w:tmpl w:val="68863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37B7E"/>
    <w:multiLevelType w:val="hybridMultilevel"/>
    <w:tmpl w:val="DCA2D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B3055"/>
    <w:multiLevelType w:val="hybridMultilevel"/>
    <w:tmpl w:val="F1EC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B0878"/>
    <w:multiLevelType w:val="hybridMultilevel"/>
    <w:tmpl w:val="0A082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D6CFD"/>
    <w:multiLevelType w:val="hybridMultilevel"/>
    <w:tmpl w:val="6BF40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3C4269"/>
    <w:multiLevelType w:val="hybridMultilevel"/>
    <w:tmpl w:val="09CC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C07"/>
    <w:rsid w:val="000F4C37"/>
    <w:rsid w:val="00126C32"/>
    <w:rsid w:val="002E4345"/>
    <w:rsid w:val="002F36B8"/>
    <w:rsid w:val="003A43B8"/>
    <w:rsid w:val="003E1258"/>
    <w:rsid w:val="003E5341"/>
    <w:rsid w:val="003F2E99"/>
    <w:rsid w:val="00520D07"/>
    <w:rsid w:val="005B52AD"/>
    <w:rsid w:val="0094738C"/>
    <w:rsid w:val="0099257C"/>
    <w:rsid w:val="009A120D"/>
    <w:rsid w:val="00B36501"/>
    <w:rsid w:val="00D30D69"/>
    <w:rsid w:val="00E6014E"/>
    <w:rsid w:val="00ED5C07"/>
    <w:rsid w:val="00F606EF"/>
    <w:rsid w:val="00FD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2069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E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E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C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C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2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E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E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2E9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F2E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6C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6C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B3650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36501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3650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5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501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36501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36501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36501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36501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36501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36501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36501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E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E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C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C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2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E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E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2E9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F2E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6C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6C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B3650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36501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3650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5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501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36501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36501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36501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36501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36501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36501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36501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7FAFD7AE16C64A91CB42C1ADB10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D5FDE-3F2B-4545-B307-41694EEBCE97}"/>
      </w:docPartPr>
      <w:docPartBody>
        <w:p w:rsidR="00000000" w:rsidRDefault="00B27AB9" w:rsidP="00B27AB9">
          <w:pPr>
            <w:pStyle w:val="5E7FAFD7AE16C64A91CB42C1ADB10835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B5B567CA1DF68D419A032BCD40DA4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4315A-C9E3-B544-AC68-5279DD7F7E23}"/>
      </w:docPartPr>
      <w:docPartBody>
        <w:p w:rsidR="00000000" w:rsidRDefault="00B27AB9" w:rsidP="00B27AB9">
          <w:pPr>
            <w:pStyle w:val="B5B567CA1DF68D419A032BCD40DA4983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  <w:docPart>
      <w:docPartPr>
        <w:name w:val="60E3D723BFD4B54CA6EC39CDB436D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85C17-2ACF-794D-8B7E-5AFB92BD7F47}"/>
      </w:docPartPr>
      <w:docPartBody>
        <w:p w:rsidR="00000000" w:rsidRDefault="00B27AB9" w:rsidP="00B27AB9">
          <w:pPr>
            <w:pStyle w:val="60E3D723BFD4B54CA6EC39CDB436D452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B9"/>
    <w:rsid w:val="00B2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7FAFD7AE16C64A91CB42C1ADB10835">
    <w:name w:val="5E7FAFD7AE16C64A91CB42C1ADB10835"/>
    <w:rsid w:val="00B27AB9"/>
  </w:style>
  <w:style w:type="paragraph" w:customStyle="1" w:styleId="B5B567CA1DF68D419A032BCD40DA4983">
    <w:name w:val="B5B567CA1DF68D419A032BCD40DA4983"/>
    <w:rsid w:val="00B27AB9"/>
  </w:style>
  <w:style w:type="paragraph" w:customStyle="1" w:styleId="60E3D723BFD4B54CA6EC39CDB436D452">
    <w:name w:val="60E3D723BFD4B54CA6EC39CDB436D452"/>
    <w:rsid w:val="00B27AB9"/>
  </w:style>
  <w:style w:type="paragraph" w:customStyle="1" w:styleId="7647B78998292841B47AD3360C782D9F">
    <w:name w:val="7647B78998292841B47AD3360C782D9F"/>
    <w:rsid w:val="00B27AB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7FAFD7AE16C64A91CB42C1ADB10835">
    <w:name w:val="5E7FAFD7AE16C64A91CB42C1ADB10835"/>
    <w:rsid w:val="00B27AB9"/>
  </w:style>
  <w:style w:type="paragraph" w:customStyle="1" w:styleId="B5B567CA1DF68D419A032BCD40DA4983">
    <w:name w:val="B5B567CA1DF68D419A032BCD40DA4983"/>
    <w:rsid w:val="00B27AB9"/>
  </w:style>
  <w:style w:type="paragraph" w:customStyle="1" w:styleId="60E3D723BFD4B54CA6EC39CDB436D452">
    <w:name w:val="60E3D723BFD4B54CA6EC39CDB436D452"/>
    <w:rsid w:val="00B27AB9"/>
  </w:style>
  <w:style w:type="paragraph" w:customStyle="1" w:styleId="7647B78998292841B47AD3360C782D9F">
    <w:name w:val="7647B78998292841B47AD3360C782D9F"/>
    <w:rsid w:val="00B27A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Purpose of this document is to clearly define the work that BDFM have contracted AVUSA IT to conduct for the circulation management system ‘Sunrise’ for the financial year 2012/2013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9147D2-0D94-5942-B812-C5FA45779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1566</Words>
  <Characters>8930</Characters>
  <Application>Microsoft Macintosh Word</Application>
  <DocSecurity>0</DocSecurity>
  <Lines>74</Lines>
  <Paragraphs>20</Paragraphs>
  <ScaleCrop>false</ScaleCrop>
  <Company/>
  <LinksUpToDate>false</LinksUpToDate>
  <CharactersWithSpaces>10476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Sunrise Business Requirements/ Statement of Work</dc:title>
  <dc:subject/>
  <dc:creator>Anton Lokotsch</dc:creator>
  <cp:keywords/>
  <dc:description/>
  <cp:lastModifiedBy>lokotscha</cp:lastModifiedBy>
  <cp:revision>2</cp:revision>
  <dcterms:created xsi:type="dcterms:W3CDTF">2012-02-15T14:20:00Z</dcterms:created>
  <dcterms:modified xsi:type="dcterms:W3CDTF">2012-02-20T09:50:00Z</dcterms:modified>
</cp:coreProperties>
</file>