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F4" w:rsidRPr="00D96CE4" w:rsidRDefault="00B31287">
      <w:pPr>
        <w:rPr>
          <w:rFonts w:cs="Courier New"/>
          <w:color w:val="333333"/>
          <w:sz w:val="24"/>
          <w:szCs w:val="20"/>
          <w:shd w:val="clear" w:color="auto" w:fill="FFFFFF"/>
        </w:rPr>
      </w:pPr>
      <w:r>
        <w:rPr>
          <w:rFonts w:cs="Courier New"/>
          <w:color w:val="333333"/>
          <w:sz w:val="24"/>
          <w:szCs w:val="20"/>
          <w:shd w:val="clear" w:color="auto" w:fill="FFFFFF"/>
        </w:rPr>
        <w:t>For the following problems, write it out in plain English</w:t>
      </w:r>
      <w:r w:rsidR="006A5AB0">
        <w:rPr>
          <w:rFonts w:cs="Courier New"/>
          <w:color w:val="333333"/>
          <w:sz w:val="24"/>
          <w:szCs w:val="20"/>
          <w:shd w:val="clear" w:color="auto" w:fill="FFFFFF"/>
        </w:rPr>
        <w:t>,</w:t>
      </w:r>
      <w:r>
        <w:rPr>
          <w:rFonts w:cs="Courier New"/>
          <w:color w:val="333333"/>
          <w:sz w:val="24"/>
          <w:szCs w:val="20"/>
          <w:shd w:val="clear" w:color="auto" w:fill="FFFFFF"/>
        </w:rPr>
        <w:t xml:space="preserve"> structured English</w:t>
      </w:r>
      <w:r w:rsidR="006A5AB0">
        <w:rPr>
          <w:rFonts w:cs="Courier New"/>
          <w:color w:val="333333"/>
          <w:sz w:val="24"/>
          <w:szCs w:val="20"/>
          <w:shd w:val="clear" w:color="auto" w:fill="FFFFFF"/>
        </w:rPr>
        <w:t>, or</w:t>
      </w:r>
      <w:r>
        <w:rPr>
          <w:rFonts w:cs="Courier New"/>
          <w:color w:val="333333"/>
          <w:sz w:val="24"/>
          <w:szCs w:val="20"/>
          <w:shd w:val="clear" w:color="auto" w:fill="FFFFFF"/>
        </w:rPr>
        <w:t xml:space="preserve"> in pseudocode (when applicable).</w:t>
      </w:r>
      <w:r w:rsidR="005A1ED2">
        <w:rPr>
          <w:rFonts w:cs="Courier New"/>
          <w:color w:val="333333"/>
          <w:sz w:val="24"/>
          <w:szCs w:val="20"/>
          <w:shd w:val="clear" w:color="auto" w:fill="FFFFFF"/>
        </w:rPr>
        <w:t xml:space="preserve"> Include variable declaration and assignment</w:t>
      </w:r>
      <w:r w:rsidR="00616A38">
        <w:rPr>
          <w:rFonts w:cs="Courier New"/>
          <w:color w:val="333333"/>
          <w:sz w:val="24"/>
          <w:szCs w:val="20"/>
          <w:shd w:val="clear" w:color="auto" w:fill="FFFFFF"/>
        </w:rPr>
        <w:t xml:space="preserve"> (if needed)</w:t>
      </w:r>
      <w:r w:rsidR="007D236C">
        <w:rPr>
          <w:rFonts w:cs="Courier New"/>
          <w:color w:val="333333"/>
          <w:sz w:val="24"/>
          <w:szCs w:val="20"/>
          <w:shd w:val="clear" w:color="auto" w:fill="FFFFFF"/>
        </w:rPr>
        <w:t xml:space="preserve"> with meaningful names</w:t>
      </w:r>
      <w:r w:rsidR="005A1ED2">
        <w:rPr>
          <w:rFonts w:cs="Courier New"/>
          <w:color w:val="333333"/>
          <w:sz w:val="24"/>
          <w:szCs w:val="20"/>
          <w:shd w:val="clear" w:color="auto" w:fill="FFFFFF"/>
        </w:rPr>
        <w:t>.</w:t>
      </w:r>
      <w:r w:rsidR="006A5AB0">
        <w:rPr>
          <w:rFonts w:cs="Courier New"/>
          <w:color w:val="333333"/>
          <w:sz w:val="24"/>
          <w:szCs w:val="20"/>
          <w:shd w:val="clear" w:color="auto" w:fill="FFFFFF"/>
        </w:rPr>
        <w:t xml:space="preserve"> Use indentation and alignment.</w:t>
      </w:r>
      <w:r w:rsidR="00C42449">
        <w:rPr>
          <w:rFonts w:cs="Courier New"/>
          <w:color w:val="333333"/>
          <w:sz w:val="24"/>
          <w:szCs w:val="20"/>
          <w:shd w:val="clear" w:color="auto" w:fill="FFFFFF"/>
        </w:rPr>
        <w:t xml:space="preserve"> </w:t>
      </w:r>
      <w:r w:rsidR="00C42449" w:rsidRPr="00C42449">
        <w:rPr>
          <w:rFonts w:cs="Courier New"/>
          <w:color w:val="333333"/>
          <w:sz w:val="24"/>
          <w:szCs w:val="20"/>
          <w:shd w:val="clear" w:color="auto" w:fill="FFFFFF"/>
        </w:rPr>
        <w:t xml:space="preserve">You may work </w:t>
      </w:r>
      <w:r w:rsidR="007D236C">
        <w:rPr>
          <w:rFonts w:cs="Courier New"/>
          <w:color w:val="333333"/>
          <w:sz w:val="24"/>
          <w:szCs w:val="20"/>
          <w:shd w:val="clear" w:color="auto" w:fill="FFFFFF"/>
        </w:rPr>
        <w:t>together with your group</w:t>
      </w:r>
      <w:r w:rsidR="00C42449" w:rsidRPr="00C42449">
        <w:rPr>
          <w:rFonts w:cs="Courier New"/>
          <w:color w:val="333333"/>
          <w:sz w:val="24"/>
          <w:szCs w:val="20"/>
          <w:shd w:val="clear" w:color="auto" w:fill="FFFFFF"/>
        </w:rPr>
        <w:t xml:space="preserve"> but </w:t>
      </w:r>
      <w:r w:rsidR="00C42449" w:rsidRPr="007D236C">
        <w:rPr>
          <w:rFonts w:cs="Courier New"/>
          <w:color w:val="333333"/>
          <w:sz w:val="24"/>
          <w:szCs w:val="20"/>
          <w:u w:val="single"/>
          <w:shd w:val="clear" w:color="auto" w:fill="FFFFFF"/>
        </w:rPr>
        <w:t>each student must complete and submit their own assignment</w:t>
      </w:r>
      <w:r w:rsidR="00C42449" w:rsidRPr="00C42449">
        <w:rPr>
          <w:rFonts w:cs="Courier New"/>
          <w:color w:val="333333"/>
          <w:sz w:val="24"/>
          <w:szCs w:val="20"/>
          <w:shd w:val="clear" w:color="auto" w:fill="FFFFFF"/>
        </w:rPr>
        <w:t>.</w:t>
      </w:r>
      <w:r>
        <w:rPr>
          <w:rFonts w:cs="Courier New"/>
          <w:color w:val="333333"/>
          <w:sz w:val="24"/>
          <w:szCs w:val="20"/>
          <w:shd w:val="clear" w:color="auto" w:fill="FFFFFF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8"/>
        <w:gridCol w:w="11362"/>
      </w:tblGrid>
      <w:tr w:rsidR="007D236C" w:rsidRPr="00D96CE4" w:rsidTr="007D236C">
        <w:tc>
          <w:tcPr>
            <w:tcW w:w="613" w:type="pct"/>
          </w:tcPr>
          <w:p w:rsid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4387" w:type="pct"/>
          </w:tcPr>
          <w:p w:rsidR="007D236C" w:rsidRPr="00D96CE4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STATEMENT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</w:t>
            </w:r>
          </w:p>
        </w:tc>
        <w:tc>
          <w:tcPr>
            <w:tcW w:w="4387" w:type="pct"/>
          </w:tcPr>
          <w:p w:rsidR="007D236C" w:rsidRP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If it’s raining, bring your umbrella.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0F3C5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If (it’s </w:t>
            </w:r>
            <w:proofErr w:type="gramStart"/>
            <w:r>
              <w:rPr>
                <w:rFonts w:ascii="Courier New" w:hAnsi="Courier New" w:cs="Courier New"/>
                <w:sz w:val="24"/>
              </w:rPr>
              <w:t>raining){</w:t>
            </w:r>
            <w:proofErr w:type="gramEnd"/>
            <w:r>
              <w:rPr>
                <w:rFonts w:ascii="Courier New" w:hAnsi="Courier New" w:cs="Courier New"/>
                <w:sz w:val="24"/>
              </w:rPr>
              <w:t>bring your umbrella}.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2</w:t>
            </w:r>
          </w:p>
        </w:tc>
        <w:tc>
          <w:tcPr>
            <w:tcW w:w="4387" w:type="pct"/>
          </w:tcPr>
          <w:p w:rsidR="007D236C" w:rsidRP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If it’s raining, bring your umbrella. Otherwise, wear your sunglasses.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0F3C5F" w:rsidP="00B3128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(it’s raining</w:t>
            </w:r>
            <w:r w:rsidR="00C820DF">
              <w:rPr>
                <w:rFonts w:ascii="Courier New" w:hAnsi="Courier New" w:cs="Courier New"/>
                <w:sz w:val="24"/>
              </w:rPr>
              <w:t>), {bring your umbrella} else {wear your sunglasses}.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3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If you’re 18 years old or older, you can vote.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C820DF" w:rsidP="00B3128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you’re (&gt;=18 years old) you {can vote}.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4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In the state of Washington, you must be 21 years old to drink. In Canada, you can drink at age 19 in British Columbia, Newfoundland and Ontario; or, if you live in Alberta, Manitoba and Quebec, you can drink at age 18.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C820DF" w:rsidP="00B3128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In the state of Washington, you must be (&gt;=21 years old) {to drink}. In Canada, you can drink at the age (&gt;=19) in British Columbia, Newfoundland and Ontario; else if (you live in Alberta Manitoba and Quebec), you {can drink at age &gt;=18}.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5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To be eligible to graduate from Loyola University, you must have 120 credits and a GPA of at least 2.0.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C820DF" w:rsidP="00B3128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(you have 120 credits &amp;&amp; GPA &gt;=2.0) you {can graduate}.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6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A person is eligible to be a US Senator who is at least 30 years old and has been a citizen for at least 9 years.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lastRenderedPageBreak/>
              <w:t>ANSWER</w:t>
            </w:r>
          </w:p>
        </w:tc>
        <w:tc>
          <w:tcPr>
            <w:tcW w:w="4387" w:type="pct"/>
          </w:tcPr>
          <w:p w:rsidR="007D236C" w:rsidRPr="007D236C" w:rsidRDefault="00C820DF" w:rsidP="00B3128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If a person is (&gt;=30 years old &amp;&amp; has been a citizen for &gt;= 9 years) they {can be a US Senator}. 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7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A person is eligible to be a US Representative who is at least 25 years old and has been a US citizen for at least 7 years.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C820DF" w:rsidP="005A1ED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a person is (&gt;=25 years old &amp;&amp; has been a US citizen for &gt;= 7 years) they are eligible to {be a US Representative}.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8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Combine or refactor statements #6 and 7 so that it would tell me if the person is eligible to be US Representative only, or is eligible for both offices, or is eligible for neither.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D0045E" w:rsidRPr="007D236C" w:rsidRDefault="00D0045E" w:rsidP="00ED471A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a person is (&gt;=30years old &amp;&amp; has been a citizen for &gt;=9 years) they {can be either a US Senator or a US Rep</w:t>
            </w:r>
            <w:r w:rsidR="004F14B3">
              <w:rPr>
                <w:rFonts w:ascii="Courier New" w:hAnsi="Courier New" w:cs="Courier New"/>
                <w:sz w:val="24"/>
              </w:rPr>
              <w:t>resentative} ||</w:t>
            </w:r>
            <w:r>
              <w:rPr>
                <w:rFonts w:ascii="Courier New" w:hAnsi="Courier New" w:cs="Courier New"/>
                <w:sz w:val="24"/>
              </w:rPr>
              <w:t xml:space="preserve"> (a person is (&gt;=25 years old &amp;&amp; has been a citiz</w:t>
            </w:r>
            <w:r w:rsidR="004F14B3">
              <w:rPr>
                <w:rFonts w:ascii="Courier New" w:hAnsi="Courier New" w:cs="Courier New"/>
                <w:sz w:val="24"/>
              </w:rPr>
              <w:t>en for &gt;=7 years) they can only {be a US Representative} || if a person (&lt;25 years old || has been a citizen for &lt;9 years) they {can be neither a US Senator or a US Representative)</w:t>
            </w:r>
            <w:bookmarkStart w:id="0" w:name="_GoBack"/>
            <w:bookmarkEnd w:id="0"/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9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If a person is between the ages of 1 to 3 years, inclusive, then they are considered a toddler.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10</w:t>
            </w:r>
          </w:p>
        </w:tc>
        <w:tc>
          <w:tcPr>
            <w:tcW w:w="4387" w:type="pct"/>
          </w:tcPr>
          <w:p w:rsidR="007D236C" w:rsidRPr="007D236C" w:rsidRDefault="007D236C" w:rsidP="004C0D34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A preschooler is between the ages of 3</w:t>
            </w:r>
            <w:r w:rsidR="004C0D34">
              <w:rPr>
                <w:rFonts w:ascii="Courier New" w:hAnsi="Courier New" w:cs="Courier New"/>
                <w:b/>
                <w:sz w:val="24"/>
              </w:rPr>
              <w:t xml:space="preserve"> to 5 years old</w:t>
            </w:r>
            <w:r w:rsidRPr="007D236C">
              <w:rPr>
                <w:rFonts w:ascii="Courier New" w:hAnsi="Courier New" w:cs="Courier New"/>
                <w:b/>
                <w:sz w:val="24"/>
              </w:rPr>
              <w:t>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11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A </w:t>
            </w:r>
            <w:proofErr w:type="spellStart"/>
            <w:r w:rsidRPr="007D236C">
              <w:rPr>
                <w:rFonts w:ascii="Courier New" w:hAnsi="Courier New" w:cs="Courier New"/>
                <w:b/>
                <w:sz w:val="24"/>
              </w:rPr>
              <w:t>gradeschooler</w:t>
            </w:r>
            <w:proofErr w:type="spellEnd"/>
            <w:r w:rsidRPr="007D236C">
              <w:rPr>
                <w:rFonts w:ascii="Courier New" w:hAnsi="Courier New" w:cs="Courier New"/>
                <w:b/>
                <w:sz w:val="24"/>
              </w:rPr>
              <w:t xml:space="preserve"> is between the ages of 5 to 12 years old, inclusive.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12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If a person is between the ages of 10 and 13 years, they are considered a preteen.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lastRenderedPageBreak/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13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If a person is between the ages of 12 and 18, then they are considered a teenager.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14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Young adults are normally 18 to 21 years old, inclusive.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15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Combine statements #9 – 14 into an if/else if statement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3226C0" w:rsidRPr="00D96CE4" w:rsidRDefault="003226C0">
      <w:pPr>
        <w:rPr>
          <w:rFonts w:ascii="Courier New" w:hAnsi="Courier New" w:cs="Courier New"/>
        </w:rPr>
      </w:pPr>
    </w:p>
    <w:sectPr w:rsidR="003226C0" w:rsidRPr="00D96CE4" w:rsidSect="00F038B4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095" w:rsidRDefault="00C04095" w:rsidP="003226C0">
      <w:pPr>
        <w:spacing w:after="0" w:line="240" w:lineRule="auto"/>
      </w:pPr>
      <w:r>
        <w:separator/>
      </w:r>
    </w:p>
  </w:endnote>
  <w:endnote w:type="continuationSeparator" w:id="0">
    <w:p w:rsidR="00C04095" w:rsidRDefault="00C04095" w:rsidP="0032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7C" w:rsidRDefault="00C04095" w:rsidP="00C6057C">
    <w:pPr>
      <w:pStyle w:val="Footer"/>
      <w:tabs>
        <w:tab w:val="clear" w:pos="9360"/>
        <w:tab w:val="right" w:pos="12870"/>
      </w:tabs>
    </w:pPr>
    <w:r>
      <w:fldChar w:fldCharType="begin"/>
    </w:r>
    <w:r>
      <w:instrText xml:space="preserve"> FILENAME \* MERGEFORMAT </w:instrText>
    </w:r>
    <w:r>
      <w:fldChar w:fldCharType="separate"/>
    </w:r>
    <w:r w:rsidR="00025493">
      <w:rPr>
        <w:noProof/>
      </w:rPr>
      <w:t>CIS107_ComputerLogic.docx</w:t>
    </w:r>
    <w:r>
      <w:rPr>
        <w:noProof/>
      </w:rPr>
      <w:fldChar w:fldCharType="end"/>
    </w:r>
    <w:r w:rsidR="00C6057C">
      <w:tab/>
    </w:r>
    <w:r w:rsidR="00C6057C">
      <w:tab/>
      <w:t>5/19/16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095" w:rsidRDefault="00C04095" w:rsidP="003226C0">
      <w:pPr>
        <w:spacing w:after="0" w:line="240" w:lineRule="auto"/>
      </w:pPr>
      <w:r>
        <w:separator/>
      </w:r>
    </w:p>
  </w:footnote>
  <w:footnote w:type="continuationSeparator" w:id="0">
    <w:p w:rsidR="00C04095" w:rsidRDefault="00C04095" w:rsidP="0032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6C0" w:rsidRPr="003226C0" w:rsidRDefault="003226C0" w:rsidP="003B28FB">
    <w:pPr>
      <w:pStyle w:val="Header"/>
      <w:tabs>
        <w:tab w:val="clear" w:pos="9360"/>
        <w:tab w:val="right" w:pos="12870"/>
      </w:tabs>
      <w:rPr>
        <w:sz w:val="28"/>
      </w:rPr>
    </w:pPr>
    <w:r w:rsidRPr="003226C0">
      <w:rPr>
        <w:sz w:val="28"/>
      </w:rPr>
      <w:t xml:space="preserve">CIS107 – Computer </w:t>
    </w:r>
    <w:r w:rsidR="00B31287">
      <w:rPr>
        <w:sz w:val="28"/>
      </w:rPr>
      <w:t>Logic (conditional statements)</w:t>
    </w:r>
    <w:r w:rsidR="00295FB7">
      <w:rPr>
        <w:sz w:val="28"/>
      </w:rPr>
      <w:tab/>
    </w:r>
    <w:r w:rsidR="003B28FB">
      <w:rPr>
        <w:sz w:val="28"/>
      </w:rPr>
      <w:t xml:space="preserve">Individual </w:t>
    </w:r>
    <w:r>
      <w:rPr>
        <w:sz w:val="28"/>
      </w:rP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C0"/>
    <w:rsid w:val="00016771"/>
    <w:rsid w:val="00025493"/>
    <w:rsid w:val="000647DB"/>
    <w:rsid w:val="000F3C5F"/>
    <w:rsid w:val="001D1846"/>
    <w:rsid w:val="001D2FA2"/>
    <w:rsid w:val="0021251C"/>
    <w:rsid w:val="00291C31"/>
    <w:rsid w:val="00295FB7"/>
    <w:rsid w:val="002C1D7E"/>
    <w:rsid w:val="002F2FB5"/>
    <w:rsid w:val="00307773"/>
    <w:rsid w:val="003226C0"/>
    <w:rsid w:val="003A6CB6"/>
    <w:rsid w:val="003B28FB"/>
    <w:rsid w:val="00463D1E"/>
    <w:rsid w:val="00472C0C"/>
    <w:rsid w:val="004C0D34"/>
    <w:rsid w:val="004F14B3"/>
    <w:rsid w:val="005A1ED2"/>
    <w:rsid w:val="005A222A"/>
    <w:rsid w:val="00616A38"/>
    <w:rsid w:val="00625F23"/>
    <w:rsid w:val="00667229"/>
    <w:rsid w:val="0069333E"/>
    <w:rsid w:val="006A5AB0"/>
    <w:rsid w:val="006D46DF"/>
    <w:rsid w:val="0079146B"/>
    <w:rsid w:val="007D236C"/>
    <w:rsid w:val="007D47CC"/>
    <w:rsid w:val="007E78F0"/>
    <w:rsid w:val="00821C39"/>
    <w:rsid w:val="008D6760"/>
    <w:rsid w:val="009409B0"/>
    <w:rsid w:val="00B20FB7"/>
    <w:rsid w:val="00B31287"/>
    <w:rsid w:val="00C04095"/>
    <w:rsid w:val="00C20B09"/>
    <w:rsid w:val="00C42449"/>
    <w:rsid w:val="00C6057C"/>
    <w:rsid w:val="00C820DF"/>
    <w:rsid w:val="00D0045E"/>
    <w:rsid w:val="00D018B3"/>
    <w:rsid w:val="00D22530"/>
    <w:rsid w:val="00D96CE4"/>
    <w:rsid w:val="00DA05F1"/>
    <w:rsid w:val="00DC7CE2"/>
    <w:rsid w:val="00DE04A4"/>
    <w:rsid w:val="00DE4F16"/>
    <w:rsid w:val="00E31F2C"/>
    <w:rsid w:val="00F038B4"/>
    <w:rsid w:val="00F426D3"/>
    <w:rsid w:val="00F54CE3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8F21"/>
  <w15:docId w15:val="{13568151-8550-4182-86D6-02FDA2B3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C0"/>
  </w:style>
  <w:style w:type="paragraph" w:styleId="Footer">
    <w:name w:val="footer"/>
    <w:basedOn w:val="Normal"/>
    <w:link w:val="Foot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C0"/>
  </w:style>
  <w:style w:type="table" w:styleId="TableGrid">
    <w:name w:val="Table Grid"/>
    <w:basedOn w:val="TableNormal"/>
    <w:uiPriority w:val="39"/>
    <w:rsid w:val="0032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Komarek, Lynn</dc:creator>
  <cp:lastModifiedBy>Tim Sirchuk</cp:lastModifiedBy>
  <cp:revision>2</cp:revision>
  <dcterms:created xsi:type="dcterms:W3CDTF">2016-10-16T18:57:00Z</dcterms:created>
  <dcterms:modified xsi:type="dcterms:W3CDTF">2016-10-16T18:57:00Z</dcterms:modified>
</cp:coreProperties>
</file>