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C007BB" w:rsidTr="00B30386">
        <w:tc>
          <w:tcPr>
            <w:tcW w:w="121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C007BB" w:rsidTr="00B30386">
        <w:tc>
          <w:tcPr>
            <w:tcW w:w="1216" w:type="dxa"/>
          </w:tcPr>
          <w:p w:rsidR="005C0327" w:rsidRPr="00C007BB" w:rsidRDefault="00511135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EA77EC">
              <w:rPr>
                <w:rFonts w:ascii="細明體" w:eastAsia="細明體" w:hAnsi="細明體" w:cs="Courier New" w:hint="eastAsia"/>
                <w:sz w:val="20"/>
                <w:szCs w:val="20"/>
              </w:rPr>
              <w:t>4/07/25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C007BB" w:rsidRDefault="00EA77E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140722000160</w:t>
            </w:r>
          </w:p>
        </w:tc>
      </w:tr>
      <w:tr w:rsidR="000D416C" w:rsidRPr="00C007BB" w:rsidTr="00B30386">
        <w:tc>
          <w:tcPr>
            <w:tcW w:w="1216" w:type="dxa"/>
          </w:tcPr>
          <w:p w:rsidR="000D416C" w:rsidRPr="00C007BB" w:rsidRDefault="000D416C" w:rsidP="007A7F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2014/08/20</w:t>
            </w:r>
          </w:p>
        </w:tc>
        <w:tc>
          <w:tcPr>
            <w:tcW w:w="1010" w:type="dxa"/>
          </w:tcPr>
          <w:p w:rsidR="000D416C" w:rsidRPr="00C007BB" w:rsidRDefault="000D416C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0D416C" w:rsidRPr="00C007BB" w:rsidRDefault="000D416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將動態SQL改為靜態SQL</w:t>
            </w:r>
          </w:p>
        </w:tc>
        <w:tc>
          <w:tcPr>
            <w:tcW w:w="1566" w:type="dxa"/>
          </w:tcPr>
          <w:p w:rsidR="000D416C" w:rsidRPr="00C007BB" w:rsidRDefault="000D416C" w:rsidP="0059625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0D416C" w:rsidRPr="00C007BB" w:rsidRDefault="000D416C" w:rsidP="0059625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140722000160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276"/>
        <w:gridCol w:w="6804"/>
      </w:tblGrid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5C0327" w:rsidRPr="00C007BB" w:rsidRDefault="00EA77EC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服務單位改派作業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5C0327" w:rsidRPr="00C007BB" w:rsidRDefault="00EA77EC" w:rsidP="00EA77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ABA_0700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5C0327" w:rsidRPr="00C007BB" w:rsidRDefault="00EA77EC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服務單位改派作業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77EC" w:rsidTr="00EA77EC">
        <w:tc>
          <w:tcPr>
            <w:tcW w:w="2268" w:type="dxa"/>
            <w:vMerge w:val="restart"/>
            <w:vAlign w:val="center"/>
          </w:tcPr>
          <w:p w:rsidR="00EA77EC" w:rsidRPr="00EA77EC" w:rsidRDefault="00EA77EC" w:rsidP="00B14B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804" w:type="dxa"/>
            <w:vAlign w:val="center"/>
          </w:tcPr>
          <w:p w:rsidR="00EA77EC" w:rsidRPr="00EA77EC" w:rsidRDefault="00EA77EC" w:rsidP="00B14B7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A77EC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A77EC" w:rsidTr="00EA77EC">
        <w:tc>
          <w:tcPr>
            <w:tcW w:w="2268" w:type="dxa"/>
            <w:vMerge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804" w:type="dxa"/>
            <w:vAlign w:val="center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A77EC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Tr="00EA77EC">
        <w:tc>
          <w:tcPr>
            <w:tcW w:w="2268" w:type="dxa"/>
            <w:vMerge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804" w:type="dxa"/>
            <w:vAlign w:val="center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A77EC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Tr="00EA77EC">
        <w:tc>
          <w:tcPr>
            <w:tcW w:w="2268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A77EC" w:rsidRPr="00EA77EC" w:rsidRDefault="00EA77EC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767F6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單位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代號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767F67" w:rsidP="005C0327">
                    <w:r w:rsidRPr="00EA77EC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單位改派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767F67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更新服務單位</w:t>
                    </w:r>
                  </w:p>
                </w:txbxContent>
              </v:textbox>
            </v:shape>
          </v:group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C007BB" w:rsidTr="007A7F36">
        <w:tc>
          <w:tcPr>
            <w:tcW w:w="8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C007BB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C007BB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C007BB" w:rsidRDefault="00767F67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不給付簽收檔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DBAA.DTAA</w:t>
            </w:r>
            <w:r w:rsidR="00767F67">
              <w:rPr>
                <w:rFonts w:ascii="細明體" w:eastAsia="細明體" w:hAnsi="細明體" w:hint="eastAsia"/>
                <w:sz w:val="20"/>
                <w:szCs w:val="20"/>
              </w:rPr>
              <w:t>BA01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C007BB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C007BB" w:rsidRDefault="009F0D8C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C007BB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C007BB" w:rsidTr="007A7F36">
        <w:tc>
          <w:tcPr>
            <w:tcW w:w="455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C007BB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C007BB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C007BB" w:rsidRDefault="00D146BD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>代碼管理使用模組</w:t>
            </w:r>
          </w:p>
        </w:tc>
        <w:tc>
          <w:tcPr>
            <w:tcW w:w="2159" w:type="pct"/>
          </w:tcPr>
          <w:p w:rsidR="005C0327" w:rsidRPr="00C007BB" w:rsidRDefault="00D146BD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Courier New" w:hAnsi="Courier New" w:cs="Courier New"/>
                <w:color w:val="000000"/>
                <w:highlight w:val="lightGray"/>
              </w:rPr>
              <w:t>FieldOptionList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Pr="00C007BB" w:rsidRDefault="005C0327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5C0327" w:rsidRPr="00C007BB" w:rsidRDefault="00D146BD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A835D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10.25pt;visibility:visible">
            <v:imagedata r:id="rId8" o:title=""/>
          </v:shape>
        </w:pict>
      </w:r>
    </w:p>
    <w:p w:rsidR="005C0327" w:rsidRPr="00C007BB" w:rsidRDefault="003B29B3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C0327" w:rsidRPr="00C007BB">
        <w:rPr>
          <w:rFonts w:ascii="細明體" w:eastAsia="細明體" w:hAnsi="細明體" w:hint="eastAsia"/>
          <w:b/>
          <w:sz w:val="20"/>
          <w:szCs w:val="20"/>
        </w:rPr>
        <w:lastRenderedPageBreak/>
        <w:t>六、程式內容</w:t>
      </w:r>
    </w:p>
    <w:p w:rsidR="00D146BD" w:rsidRDefault="00D146BD" w:rsidP="00D146BD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初始</w:t>
      </w:r>
    </w:p>
    <w:p w:rsidR="0039627C" w:rsidRDefault="0039627C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檢核登入者的單位是否有權限</w:t>
      </w:r>
    </w:p>
    <w:p w:rsidR="0039627C" w:rsidRDefault="0039627C" w:rsidP="0039627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若代碼管理設定中沒有資料，則代表沒有可以進行服務單位替換的項目</w:t>
      </w:r>
    </w:p>
    <w:p w:rsidR="0039627C" w:rsidRDefault="0039627C" w:rsidP="0039627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SET $錯誤內容=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單位代號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+登入者的單位代號+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 xml:space="preserve"> 目前沒有可以進行服務單位替換的項目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，並拋錯之</w:t>
      </w:r>
    </w:p>
    <w:p w:rsidR="00D146BD" w:rsidRPr="003B29B3" w:rsidRDefault="003B29B3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顯示如下表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3828"/>
      </w:tblGrid>
      <w:tr w:rsidR="00D146BD" w:rsidRPr="00C007BB" w:rsidTr="003B29B3">
        <w:tc>
          <w:tcPr>
            <w:tcW w:w="1951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268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828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D146BD" w:rsidRPr="00C007BB" w:rsidTr="003B29B3">
        <w:tc>
          <w:tcPr>
            <w:tcW w:w="1951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作業項目</w:t>
            </w:r>
          </w:p>
        </w:tc>
        <w:tc>
          <w:tcPr>
            <w:tcW w:w="2268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</w:t>
            </w:r>
            <w:r>
              <w:rPr>
                <w:rFonts w:ascii="細明體" w:eastAsia="細明體" w:hAnsi="細明體" w:hint="eastAsia"/>
                <w:lang w:eastAsia="zh-TW"/>
              </w:rPr>
              <w:t>ITEM</w:t>
            </w:r>
          </w:p>
        </w:tc>
        <w:tc>
          <w:tcPr>
            <w:tcW w:w="3828" w:type="dxa"/>
            <w:shd w:val="clear" w:color="auto" w:fill="auto"/>
          </w:tcPr>
          <w:p w:rsidR="00D146BD" w:rsidRDefault="00D146BD" w:rsidP="003B29B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>
              <w:rPr>
                <w:rFonts w:ascii="sөũ" w:hAnsi="sөũ"/>
              </w:rPr>
              <w:t xml:space="preserve"> AABA_0700_ITEM_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="003B29B3">
              <w:rPr>
                <w:rFonts w:ascii="細明體" w:eastAsia="細明體" w:hAnsi="細明體" w:hint="eastAsia"/>
                <w:lang w:eastAsia="zh-TW"/>
              </w:rPr>
              <w:t>+單位代號</w:t>
            </w:r>
          </w:p>
          <w:p w:rsidR="003B29B3" w:rsidRPr="00C007BB" w:rsidRDefault="003B29B3" w:rsidP="003962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不同單位有不同的權限，可以透過設定代碼管理來實作</w:t>
            </w:r>
            <w:r w:rsidR="0039627C">
              <w:rPr>
                <w:rFonts w:ascii="細明體" w:eastAsia="細明體" w:hAnsi="細明體" w:hint="eastAsia"/>
                <w:lang w:eastAsia="zh-TW"/>
              </w:rPr>
              <w:t>，</w:t>
            </w:r>
          </w:p>
        </w:tc>
      </w:tr>
      <w:tr w:rsidR="00D146BD" w:rsidRPr="00C007BB" w:rsidTr="003B29B3">
        <w:tc>
          <w:tcPr>
            <w:tcW w:w="1951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原處理單位</w:t>
            </w:r>
          </w:p>
        </w:tc>
        <w:tc>
          <w:tcPr>
            <w:tcW w:w="2268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</w:t>
            </w:r>
            <w:r w:rsidR="003B29B3">
              <w:rPr>
                <w:rFonts w:ascii="細明體" w:eastAsia="細明體" w:hAnsi="細明體" w:hint="eastAsia"/>
                <w:lang w:eastAsia="zh-TW"/>
              </w:rPr>
              <w:t>DIV_NO_OLD</w:t>
            </w:r>
          </w:p>
        </w:tc>
        <w:tc>
          <w:tcPr>
            <w:tcW w:w="3828" w:type="dxa"/>
            <w:shd w:val="clear" w:color="auto" w:fill="auto"/>
          </w:tcPr>
          <w:p w:rsidR="00D146BD" w:rsidRPr="00C007BB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預設為空</w:t>
            </w:r>
          </w:p>
        </w:tc>
      </w:tr>
      <w:tr w:rsidR="00D146BD" w:rsidRPr="00C007BB" w:rsidTr="003B29B3">
        <w:tc>
          <w:tcPr>
            <w:tcW w:w="1951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新處理單位</w:t>
            </w:r>
          </w:p>
        </w:tc>
        <w:tc>
          <w:tcPr>
            <w:tcW w:w="2268" w:type="dxa"/>
            <w:shd w:val="clear" w:color="auto" w:fill="auto"/>
          </w:tcPr>
          <w:p w:rsidR="00D146BD" w:rsidRPr="00C007BB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</w:t>
            </w:r>
            <w:r w:rsidR="003B29B3">
              <w:rPr>
                <w:rFonts w:ascii="細明體" w:eastAsia="細明體" w:hAnsi="細明體" w:hint="eastAsia"/>
                <w:lang w:eastAsia="zh-TW"/>
              </w:rPr>
              <w:t>DIV_NO_NEW</w:t>
            </w:r>
          </w:p>
        </w:tc>
        <w:tc>
          <w:tcPr>
            <w:tcW w:w="3828" w:type="dxa"/>
            <w:shd w:val="clear" w:color="auto" w:fill="auto"/>
          </w:tcPr>
          <w:p w:rsidR="00D146BD" w:rsidRPr="00C007BB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預設為空</w:t>
            </w:r>
          </w:p>
        </w:tc>
      </w:tr>
      <w:tr w:rsidR="003B29B3" w:rsidRPr="00C007BB" w:rsidTr="003B29B3">
        <w:tc>
          <w:tcPr>
            <w:tcW w:w="1951" w:type="dxa"/>
            <w:shd w:val="clear" w:color="auto" w:fill="auto"/>
          </w:tcPr>
          <w:p w:rsidR="003B29B3" w:rsidRPr="00C007BB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改派功能</w:t>
            </w:r>
          </w:p>
        </w:tc>
        <w:tc>
          <w:tcPr>
            <w:tcW w:w="2268" w:type="dxa"/>
            <w:shd w:val="clear" w:color="auto" w:fill="auto"/>
          </w:tcPr>
          <w:p w:rsidR="003B29B3" w:rsidRPr="00C007BB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828" w:type="dxa"/>
            <w:shd w:val="clear" w:color="auto" w:fill="auto"/>
          </w:tcPr>
          <w:p w:rsidR="003B29B3" w:rsidRPr="00C007BB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預設為disable</w:t>
            </w:r>
          </w:p>
        </w:tc>
      </w:tr>
      <w:tr w:rsidR="003B29B3" w:rsidRPr="00C007BB" w:rsidTr="003B29B3">
        <w:tc>
          <w:tcPr>
            <w:tcW w:w="1951" w:type="dxa"/>
            <w:shd w:val="clear" w:color="auto" w:fill="auto"/>
          </w:tcPr>
          <w:p w:rsidR="003B29B3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查詢件數</w:t>
            </w:r>
          </w:p>
        </w:tc>
        <w:tc>
          <w:tcPr>
            <w:tcW w:w="2268" w:type="dxa"/>
            <w:shd w:val="clear" w:color="auto" w:fill="auto"/>
          </w:tcPr>
          <w:p w:rsidR="003B29B3" w:rsidRPr="00C007BB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</w:t>
            </w:r>
            <w:r>
              <w:rPr>
                <w:rFonts w:ascii="細明體" w:eastAsia="細明體" w:hAnsi="細明體" w:hint="eastAsia"/>
                <w:lang w:eastAsia="zh-TW"/>
              </w:rPr>
              <w:t>CNT</w:t>
            </w:r>
          </w:p>
        </w:tc>
        <w:tc>
          <w:tcPr>
            <w:tcW w:w="3828" w:type="dxa"/>
            <w:shd w:val="clear" w:color="auto" w:fill="auto"/>
          </w:tcPr>
          <w:p w:rsidR="003B29B3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預設為0</w:t>
            </w:r>
            <w:r w:rsidR="0044157C" w:rsidRPr="0044157C">
              <w:rPr>
                <w:rFonts w:ascii="細明體" w:eastAsia="細明體" w:hAnsi="細明體"/>
                <w:lang w:eastAsia="zh-TW"/>
              </w:rPr>
              <w:sym w:font="Wingdings" w:char="F0E0"/>
            </w:r>
            <w:r w:rsidR="0044157C">
              <w:rPr>
                <w:rFonts w:ascii="細明體" w:eastAsia="細明體" w:hAnsi="細明體" w:hint="eastAsia"/>
                <w:lang w:eastAsia="zh-TW"/>
              </w:rPr>
              <w:t>畫面上步驟1的紅色數字部分</w:t>
            </w:r>
          </w:p>
        </w:tc>
      </w:tr>
    </w:tbl>
    <w:p w:rsidR="00D146BD" w:rsidRPr="00D146BD" w:rsidRDefault="00D146BD" w:rsidP="00D146BD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5C0327" w:rsidRPr="00C007BB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C007BB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5C0327" w:rsidRPr="00C007BB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檢核</w:t>
      </w:r>
    </w:p>
    <w:p w:rsidR="00FA724A" w:rsidRPr="00C007BB" w:rsidRDefault="00FA724A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</w:t>
      </w:r>
      <w:r w:rsidR="00034D4B" w:rsidRPr="00C007BB">
        <w:rPr>
          <w:rFonts w:ascii="細明體" w:eastAsia="細明體" w:hAnsi="細明體" w:hint="eastAsia"/>
          <w:lang w:eastAsia="zh-TW"/>
        </w:rPr>
        <w:t>$</w:t>
      </w:r>
      <w:r w:rsidR="003B29B3">
        <w:rPr>
          <w:rFonts w:ascii="細明體" w:eastAsia="細明體" w:hAnsi="細明體" w:hint="eastAsia"/>
          <w:lang w:eastAsia="zh-TW"/>
        </w:rPr>
        <w:t>原處理單位</w:t>
      </w:r>
      <w:r w:rsidRPr="00C007BB">
        <w:rPr>
          <w:rFonts w:ascii="細明體" w:eastAsia="細明體" w:hAnsi="細明體" w:hint="eastAsia"/>
          <w:lang w:eastAsia="zh-TW"/>
        </w:rPr>
        <w:t>為</w:t>
      </w:r>
      <w:r w:rsidR="003B29B3">
        <w:rPr>
          <w:rFonts w:ascii="細明體" w:eastAsia="細明體" w:hAnsi="細明體" w:hint="eastAsia"/>
          <w:lang w:eastAsia="zh-TW"/>
        </w:rPr>
        <w:t>空</w:t>
      </w:r>
      <w:r w:rsidRPr="00C007BB">
        <w:rPr>
          <w:rFonts w:ascii="細明體" w:eastAsia="細明體" w:hAnsi="細明體" w:hint="eastAsia"/>
          <w:lang w:eastAsia="zh-TW"/>
        </w:rPr>
        <w:t>，則拋錯，</w:t>
      </w:r>
    </w:p>
    <w:p w:rsidR="00FA724A" w:rsidRPr="00C007BB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 w:rsidR="003B29B3">
        <w:rPr>
          <w:rFonts w:ascii="細明體" w:eastAsia="細明體" w:hAnsi="細明體" w:hint="eastAsia"/>
          <w:lang w:eastAsia="zh-TW"/>
        </w:rPr>
        <w:t>請輸入原處理單位後再查詢件數</w:t>
      </w:r>
      <w:r w:rsidRPr="00C007BB">
        <w:rPr>
          <w:rFonts w:ascii="細明體" w:eastAsia="細明體" w:hAnsi="細明體"/>
          <w:lang w:eastAsia="zh-TW"/>
        </w:rPr>
        <w:t>”</w:t>
      </w:r>
    </w:p>
    <w:p w:rsidR="003B29B3" w:rsidRDefault="003B29B3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根據選擇的作業項目，進行符合此條件的總件數查詢</w:t>
      </w:r>
    </w:p>
    <w:p w:rsidR="002D7525" w:rsidRPr="004372D1" w:rsidRDefault="00FD3F5E" w:rsidP="004372D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4372D1">
        <w:rPr>
          <w:rFonts w:ascii="細明體" w:eastAsia="細明體" w:hAnsi="細明體" w:hint="eastAsia"/>
          <w:lang w:eastAsia="zh-TW"/>
        </w:rPr>
        <w:t xml:space="preserve"> 作業項目</w:t>
      </w:r>
      <w:r>
        <w:rPr>
          <w:rFonts w:ascii="細明體" w:eastAsia="細明體" w:hAnsi="細明體" w:hint="eastAsia"/>
          <w:b/>
          <w:lang w:eastAsia="zh-TW"/>
        </w:rPr>
        <w:t>=</w:t>
      </w:r>
      <w:r>
        <w:rPr>
          <w:rFonts w:ascii="細明體" w:eastAsia="細明體" w:hAnsi="細明體"/>
          <w:b/>
          <w:lang w:eastAsia="zh-TW"/>
        </w:rPr>
        <w:t>”</w:t>
      </w:r>
      <w:r>
        <w:rPr>
          <w:rFonts w:ascii="細明體" w:eastAsia="細明體" w:hAnsi="細明體" w:hint="eastAsia"/>
          <w:b/>
          <w:lang w:eastAsia="zh-TW"/>
        </w:rPr>
        <w:t>DTAABA01</w:t>
      </w:r>
      <w:r>
        <w:rPr>
          <w:rFonts w:ascii="細明體" w:eastAsia="細明體" w:hAnsi="細明體"/>
          <w:b/>
          <w:lang w:eastAsia="zh-TW"/>
        </w:rPr>
        <w:t>”</w:t>
      </w:r>
      <w:r>
        <w:rPr>
          <w:rFonts w:ascii="細明體" w:eastAsia="細明體" w:hAnsi="細明體" w:hint="eastAsia"/>
          <w:b/>
          <w:lang w:eastAsia="zh-TW"/>
        </w:rPr>
        <w:t>，則取得</w:t>
      </w:r>
      <w:r w:rsidR="004372D1">
        <w:rPr>
          <w:rFonts w:ascii="細明體" w:eastAsia="細明體" w:hAnsi="細明體" w:hint="eastAsia"/>
          <w:b/>
          <w:lang w:eastAsia="zh-TW"/>
        </w:rPr>
        <w:t>畫面上原單位尚未簽回</w:t>
      </w:r>
      <w:r>
        <w:rPr>
          <w:rFonts w:ascii="細明體" w:eastAsia="細明體" w:hAnsi="細明體" w:hint="eastAsia"/>
          <w:b/>
          <w:lang w:eastAsia="zh-TW"/>
        </w:rPr>
        <w:t>的</w:t>
      </w:r>
      <w:r w:rsidR="004372D1">
        <w:rPr>
          <w:rFonts w:ascii="細明體" w:eastAsia="細明體" w:hAnsi="細明體" w:hint="eastAsia"/>
          <w:b/>
          <w:lang w:eastAsia="zh-TW"/>
        </w:rPr>
        <w:t>不給付簽收檔資料筆數</w:t>
      </w:r>
    </w:p>
    <w:p w:rsidR="003B29B3" w:rsidRDefault="003B29B3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若件數大於0</w:t>
      </w:r>
    </w:p>
    <w:p w:rsidR="003B29B3" w:rsidRPr="003B29B3" w:rsidRDefault="003B29B3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enable</w:t>
      </w:r>
      <w:r w:rsidRPr="003B29B3">
        <w:rPr>
          <w:rFonts w:ascii="細明體" w:eastAsia="細明體" w:hAnsi="細明體" w:hint="eastAsia"/>
          <w:bdr w:val="single" w:sz="4" w:space="0" w:color="auto"/>
          <w:lang w:eastAsia="zh-TW"/>
        </w:rPr>
        <w:t>改派</w:t>
      </w:r>
    </w:p>
    <w:p w:rsidR="003B29B3" w:rsidRDefault="003B29B3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將畫面上的件數進行更新</w:t>
      </w:r>
      <w:r w:rsidR="0044157C" w:rsidRPr="0044157C">
        <w:rPr>
          <w:rFonts w:ascii="細明體" w:eastAsia="細明體" w:hAnsi="細明體"/>
          <w:lang w:eastAsia="zh-TW"/>
        </w:rPr>
        <w:sym w:font="Wingdings" w:char="F0E0"/>
      </w:r>
      <w:r w:rsidR="0044157C">
        <w:rPr>
          <w:rFonts w:ascii="細明體" w:eastAsia="細明體" w:hAnsi="細明體" w:hint="eastAsia"/>
          <w:lang w:eastAsia="zh-TW"/>
        </w:rPr>
        <w:t>畫面上步驟1的紅色數字部分</w:t>
      </w:r>
    </w:p>
    <w:p w:rsidR="002D7525" w:rsidRDefault="002D7525" w:rsidP="002D752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若件數為0，</w:t>
      </w:r>
    </w:p>
    <w:p w:rsidR="002D7525" w:rsidRDefault="002D7525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此條件並無可替換單位的資料，請再重新查詢之</w:t>
      </w:r>
      <w:r>
        <w:rPr>
          <w:rFonts w:ascii="細明體" w:eastAsia="細明體" w:hAnsi="細明體"/>
          <w:lang w:eastAsia="zh-TW"/>
        </w:rPr>
        <w:t>”</w:t>
      </w:r>
      <w:r w:rsidR="004372D1">
        <w:rPr>
          <w:rFonts w:ascii="細明體" w:eastAsia="細明體" w:hAnsi="細明體" w:hint="eastAsia"/>
          <w:lang w:eastAsia="zh-TW"/>
        </w:rPr>
        <w:t>，拋錯之</w:t>
      </w:r>
    </w:p>
    <w:p w:rsidR="004372D1" w:rsidRDefault="004372D1" w:rsidP="004372D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若發生錯誤</w:t>
      </w:r>
    </w:p>
    <w:p w:rsidR="004372D1" w:rsidRPr="004372D1" w:rsidRDefault="004372D1" w:rsidP="004372D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查詢資料筆數時有誤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+錯誤訊息內容，拋錯之</w:t>
      </w:r>
    </w:p>
    <w:p w:rsidR="003B29B3" w:rsidRPr="003B29B3" w:rsidRDefault="003B29B3" w:rsidP="003B29B3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改派</w:t>
      </w:r>
    </w:p>
    <w:p w:rsidR="003B29B3" w:rsidRPr="00C007BB" w:rsidRDefault="003B29B3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檢核</w:t>
      </w:r>
    </w:p>
    <w:p w:rsidR="003B29B3" w:rsidRDefault="003B29B3" w:rsidP="003B29B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若$</w:t>
      </w:r>
      <w:r>
        <w:rPr>
          <w:rFonts w:ascii="細明體" w:eastAsia="細明體" w:hAnsi="細明體" w:hint="eastAsia"/>
          <w:lang w:eastAsia="zh-TW"/>
        </w:rPr>
        <w:t>原處理單位有改，則拋錯</w:t>
      </w:r>
    </w:p>
    <w:p w:rsidR="003B29B3" w:rsidRDefault="003B29B3" w:rsidP="003B29B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請先查詢原處理單位後再進行改派</w:t>
      </w:r>
      <w:r w:rsidRPr="00C007BB">
        <w:rPr>
          <w:rFonts w:ascii="細明體" w:eastAsia="細明體" w:hAnsi="細明體"/>
          <w:lang w:eastAsia="zh-TW"/>
        </w:rPr>
        <w:t>”</w:t>
      </w:r>
    </w:p>
    <w:p w:rsidR="003B29B3" w:rsidRDefault="003B29B3" w:rsidP="003B29B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若$</w:t>
      </w:r>
      <w:r>
        <w:rPr>
          <w:rFonts w:ascii="細明體" w:eastAsia="細明體" w:hAnsi="細明體" w:hint="eastAsia"/>
          <w:lang w:eastAsia="zh-TW"/>
        </w:rPr>
        <w:t>作業項目有改，則拋錯</w:t>
      </w:r>
    </w:p>
    <w:p w:rsidR="003B29B3" w:rsidRPr="003B29B3" w:rsidRDefault="003B29B3" w:rsidP="003B29B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 w:rsidRPr="003B29B3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作業項目有改，請重新查詢後再進行改派</w:t>
      </w:r>
      <w:r w:rsidRPr="00C007BB">
        <w:rPr>
          <w:rFonts w:ascii="細明體" w:eastAsia="細明體" w:hAnsi="細明體"/>
          <w:lang w:eastAsia="zh-TW"/>
        </w:rPr>
        <w:t>”</w:t>
      </w:r>
    </w:p>
    <w:p w:rsidR="003B29B3" w:rsidRPr="00C007BB" w:rsidRDefault="003B29B3" w:rsidP="003B29B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若$</w:t>
      </w:r>
      <w:r>
        <w:rPr>
          <w:rFonts w:ascii="細明體" w:eastAsia="細明體" w:hAnsi="細明體" w:hint="eastAsia"/>
          <w:lang w:eastAsia="zh-TW"/>
        </w:rPr>
        <w:t>新處理單位</w:t>
      </w:r>
      <w:r w:rsidRPr="00C007BB">
        <w:rPr>
          <w:rFonts w:ascii="細明體" w:eastAsia="細明體" w:hAnsi="細明體" w:hint="eastAsia"/>
          <w:lang w:eastAsia="zh-TW"/>
        </w:rPr>
        <w:t>為</w:t>
      </w:r>
      <w:r>
        <w:rPr>
          <w:rFonts w:ascii="細明體" w:eastAsia="細明體" w:hAnsi="細明體" w:hint="eastAsia"/>
          <w:lang w:eastAsia="zh-TW"/>
        </w:rPr>
        <w:t>空</w:t>
      </w:r>
      <w:r w:rsidRPr="00C007BB">
        <w:rPr>
          <w:rFonts w:ascii="細明體" w:eastAsia="細明體" w:hAnsi="細明體" w:hint="eastAsia"/>
          <w:lang w:eastAsia="zh-TW"/>
        </w:rPr>
        <w:t>，則拋錯，</w:t>
      </w:r>
    </w:p>
    <w:p w:rsidR="003B29B3" w:rsidRPr="003B29B3" w:rsidRDefault="003B29B3" w:rsidP="003B29B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請輸入原處理單位後再查詢件數</w:t>
      </w:r>
      <w:r w:rsidRPr="00C007BB">
        <w:rPr>
          <w:rFonts w:ascii="細明體" w:eastAsia="細明體" w:hAnsi="細明體"/>
          <w:lang w:eastAsia="zh-TW"/>
        </w:rPr>
        <w:t>”</w:t>
      </w:r>
    </w:p>
    <w:p w:rsidR="003B29B3" w:rsidRDefault="003B29B3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根據選擇的作業項目</w:t>
      </w:r>
      <w:r w:rsidR="002D7525">
        <w:rPr>
          <w:rFonts w:ascii="細明體" w:eastAsia="細明體" w:hAnsi="細明體" w:hint="eastAsia"/>
          <w:lang w:eastAsia="zh-TW"/>
        </w:rPr>
        <w:t>、新舊處理單位</w:t>
      </w:r>
      <w:r>
        <w:rPr>
          <w:rFonts w:ascii="細明體" w:eastAsia="細明體" w:hAnsi="細明體" w:hint="eastAsia"/>
          <w:lang w:eastAsia="zh-TW"/>
        </w:rPr>
        <w:t>，進行符合此條件的</w:t>
      </w:r>
      <w:r w:rsidR="002D7525">
        <w:rPr>
          <w:rFonts w:ascii="細明體" w:eastAsia="細明體" w:hAnsi="細明體" w:hint="eastAsia"/>
          <w:lang w:eastAsia="zh-TW"/>
        </w:rPr>
        <w:t>單位替換</w:t>
      </w:r>
    </w:p>
    <w:p w:rsidR="002D7525" w:rsidRDefault="004372D1" w:rsidP="004372D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 作業項目</w:t>
      </w:r>
      <w:r>
        <w:rPr>
          <w:rFonts w:ascii="細明體" w:eastAsia="細明體" w:hAnsi="細明體" w:hint="eastAsia"/>
          <w:b/>
          <w:lang w:eastAsia="zh-TW"/>
        </w:rPr>
        <w:t>=</w:t>
      </w:r>
      <w:r>
        <w:rPr>
          <w:rFonts w:ascii="細明體" w:eastAsia="細明體" w:hAnsi="細明體"/>
          <w:b/>
          <w:lang w:eastAsia="zh-TW"/>
        </w:rPr>
        <w:t>”</w:t>
      </w:r>
      <w:r>
        <w:rPr>
          <w:rFonts w:ascii="細明體" w:eastAsia="細明體" w:hAnsi="細明體" w:hint="eastAsia"/>
          <w:b/>
          <w:lang w:eastAsia="zh-TW"/>
        </w:rPr>
        <w:t>DTAABA01</w:t>
      </w:r>
      <w:r>
        <w:rPr>
          <w:rFonts w:ascii="細明體" w:eastAsia="細明體" w:hAnsi="細明體"/>
          <w:b/>
          <w:lang w:eastAsia="zh-TW"/>
        </w:rPr>
        <w:t>”</w:t>
      </w:r>
      <w:r>
        <w:rPr>
          <w:rFonts w:ascii="細明體" w:eastAsia="細明體" w:hAnsi="細明體" w:hint="eastAsia"/>
          <w:b/>
          <w:lang w:eastAsia="zh-TW"/>
        </w:rPr>
        <w:t>，則更新不給付簽收檔中原單位尚未簽收的</w:t>
      </w:r>
      <w:r w:rsidRPr="004372D1">
        <w:rPr>
          <w:rFonts w:ascii="細明體" w:eastAsia="細明體" w:hAnsi="細明體" w:hint="eastAsia"/>
          <w:b/>
          <w:lang w:eastAsia="zh-TW"/>
        </w:rPr>
        <w:t>受理單位</w:t>
      </w:r>
      <w:r>
        <w:rPr>
          <w:rFonts w:ascii="細明體" w:eastAsia="細明體" w:hAnsi="細明體" w:hint="eastAsia"/>
          <w:b/>
          <w:lang w:eastAsia="zh-TW"/>
        </w:rPr>
        <w:t>為畫面上的新單位</w:t>
      </w:r>
    </w:p>
    <w:p w:rsidR="00EE7B0F" w:rsidRPr="00EE7B0F" w:rsidRDefault="00EE7B0F" w:rsidP="00EE7B0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若有錯，SET 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單位替換時發生錯誤</w:t>
      </w:r>
      <w:r>
        <w:rPr>
          <w:rFonts w:ascii="細明體" w:eastAsia="細明體" w:hAnsi="細明體"/>
          <w:lang w:eastAsia="zh-TW"/>
        </w:rPr>
        <w:t>”</w:t>
      </w:r>
      <w:r w:rsidR="00B902AB">
        <w:rPr>
          <w:rFonts w:ascii="細明體" w:eastAsia="細明體" w:hAnsi="細明體" w:hint="eastAsia"/>
          <w:lang w:eastAsia="zh-TW"/>
        </w:rPr>
        <w:t>+錯誤訊息內容</w:t>
      </w:r>
    </w:p>
    <w:p w:rsidR="003B29B3" w:rsidRPr="003B29B3" w:rsidRDefault="003B29B3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disable</w:t>
      </w:r>
      <w:r w:rsidRPr="003B29B3">
        <w:rPr>
          <w:rFonts w:ascii="細明體" w:eastAsia="細明體" w:hAnsi="細明體" w:hint="eastAsia"/>
          <w:bdr w:val="single" w:sz="4" w:space="0" w:color="auto"/>
          <w:lang w:eastAsia="zh-TW"/>
        </w:rPr>
        <w:t>改派</w:t>
      </w:r>
    </w:p>
    <w:sectPr w:rsidR="003B29B3" w:rsidRPr="003B29B3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56" w:rsidRDefault="00596256">
      <w:r>
        <w:separator/>
      </w:r>
    </w:p>
  </w:endnote>
  <w:endnote w:type="continuationSeparator" w:id="0">
    <w:p w:rsidR="00596256" w:rsidRDefault="0059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48B6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56" w:rsidRDefault="00596256">
      <w:r>
        <w:separator/>
      </w:r>
    </w:p>
  </w:footnote>
  <w:footnote w:type="continuationSeparator" w:id="0">
    <w:p w:rsidR="00596256" w:rsidRDefault="00596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4D4B"/>
    <w:rsid w:val="00056C6D"/>
    <w:rsid w:val="00057785"/>
    <w:rsid w:val="00062328"/>
    <w:rsid w:val="00073519"/>
    <w:rsid w:val="00076FBA"/>
    <w:rsid w:val="000800FF"/>
    <w:rsid w:val="00086E90"/>
    <w:rsid w:val="000A3AD0"/>
    <w:rsid w:val="000A7C4F"/>
    <w:rsid w:val="000D1099"/>
    <w:rsid w:val="000D2D7F"/>
    <w:rsid w:val="000D3892"/>
    <w:rsid w:val="000D416C"/>
    <w:rsid w:val="000E5F19"/>
    <w:rsid w:val="000F3BDB"/>
    <w:rsid w:val="00105AEE"/>
    <w:rsid w:val="00121F60"/>
    <w:rsid w:val="001249B7"/>
    <w:rsid w:val="00127011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2005"/>
    <w:rsid w:val="00194232"/>
    <w:rsid w:val="001B2A98"/>
    <w:rsid w:val="001D4B28"/>
    <w:rsid w:val="00205B36"/>
    <w:rsid w:val="002225FA"/>
    <w:rsid w:val="00232ED1"/>
    <w:rsid w:val="00252551"/>
    <w:rsid w:val="0025560D"/>
    <w:rsid w:val="002748FD"/>
    <w:rsid w:val="00287ABA"/>
    <w:rsid w:val="002A3F8C"/>
    <w:rsid w:val="002B0AB6"/>
    <w:rsid w:val="002B381A"/>
    <w:rsid w:val="002C6295"/>
    <w:rsid w:val="002D752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9627C"/>
    <w:rsid w:val="003A4765"/>
    <w:rsid w:val="003B29B3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372D1"/>
    <w:rsid w:val="0044157C"/>
    <w:rsid w:val="0044335B"/>
    <w:rsid w:val="00443676"/>
    <w:rsid w:val="00444296"/>
    <w:rsid w:val="00450F8B"/>
    <w:rsid w:val="0045427C"/>
    <w:rsid w:val="004548B6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96256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856F7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4CAE"/>
    <w:rsid w:val="0075297D"/>
    <w:rsid w:val="00756572"/>
    <w:rsid w:val="00765834"/>
    <w:rsid w:val="00766299"/>
    <w:rsid w:val="00767F67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E435B"/>
    <w:rsid w:val="007F1037"/>
    <w:rsid w:val="007F4BA8"/>
    <w:rsid w:val="007F7D33"/>
    <w:rsid w:val="0082038E"/>
    <w:rsid w:val="008266BB"/>
    <w:rsid w:val="00835FC8"/>
    <w:rsid w:val="008473CA"/>
    <w:rsid w:val="008503E7"/>
    <w:rsid w:val="0085685F"/>
    <w:rsid w:val="008747CD"/>
    <w:rsid w:val="008749B9"/>
    <w:rsid w:val="00875CDA"/>
    <w:rsid w:val="00892512"/>
    <w:rsid w:val="00893CF0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02B6"/>
    <w:rsid w:val="008E119A"/>
    <w:rsid w:val="008E484E"/>
    <w:rsid w:val="008F0A6C"/>
    <w:rsid w:val="008F6D0F"/>
    <w:rsid w:val="008F7E02"/>
    <w:rsid w:val="00901E53"/>
    <w:rsid w:val="00914A39"/>
    <w:rsid w:val="00915FC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7D6F"/>
    <w:rsid w:val="00A22607"/>
    <w:rsid w:val="00A24376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E58EC"/>
    <w:rsid w:val="00AE6528"/>
    <w:rsid w:val="00AE77E3"/>
    <w:rsid w:val="00AF5EEE"/>
    <w:rsid w:val="00B07D87"/>
    <w:rsid w:val="00B10952"/>
    <w:rsid w:val="00B14B75"/>
    <w:rsid w:val="00B20050"/>
    <w:rsid w:val="00B24429"/>
    <w:rsid w:val="00B26C61"/>
    <w:rsid w:val="00B30386"/>
    <w:rsid w:val="00B524BA"/>
    <w:rsid w:val="00B53ACB"/>
    <w:rsid w:val="00B624AF"/>
    <w:rsid w:val="00B66886"/>
    <w:rsid w:val="00B902AB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5708"/>
    <w:rsid w:val="00BF76B1"/>
    <w:rsid w:val="00C007BB"/>
    <w:rsid w:val="00C0495D"/>
    <w:rsid w:val="00C14835"/>
    <w:rsid w:val="00C22893"/>
    <w:rsid w:val="00C24F6D"/>
    <w:rsid w:val="00C2535A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6BD"/>
    <w:rsid w:val="00D14AED"/>
    <w:rsid w:val="00D14C11"/>
    <w:rsid w:val="00D2607D"/>
    <w:rsid w:val="00D26EF1"/>
    <w:rsid w:val="00D27BBF"/>
    <w:rsid w:val="00D318B2"/>
    <w:rsid w:val="00D368EA"/>
    <w:rsid w:val="00D4275B"/>
    <w:rsid w:val="00D4697A"/>
    <w:rsid w:val="00D76291"/>
    <w:rsid w:val="00D8139A"/>
    <w:rsid w:val="00D96054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A77EC"/>
    <w:rsid w:val="00EC5BAC"/>
    <w:rsid w:val="00ED1C2A"/>
    <w:rsid w:val="00ED4F53"/>
    <w:rsid w:val="00EE4829"/>
    <w:rsid w:val="00EE7B0F"/>
    <w:rsid w:val="00EF21B1"/>
    <w:rsid w:val="00EF28DB"/>
    <w:rsid w:val="00EF4338"/>
    <w:rsid w:val="00F01135"/>
    <w:rsid w:val="00F104CC"/>
    <w:rsid w:val="00F30E6A"/>
    <w:rsid w:val="00F411B7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D3F5E"/>
    <w:rsid w:val="00FE0322"/>
    <w:rsid w:val="00FE0F2D"/>
    <w:rsid w:val="00FE0F74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69A91E67-B667-4458-B37B-65E34310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5378C-4BBE-47D9-A38C-9A017766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1129</Characters>
  <Application>Microsoft Office Word</Application>
  <DocSecurity>0</DocSecurity>
  <Lines>9</Lines>
  <Paragraphs>2</Paragraphs>
  <ScaleCrop>false</ScaleCrop>
  <Company>CMT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