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A555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/06/26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A5551C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A5551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170612000755</w:t>
            </w:r>
          </w:p>
        </w:tc>
      </w:tr>
      <w:tr w:rsidR="00B445CE" w:rsidRPr="00E8700A" w:rsidTr="00BD5672">
        <w:tc>
          <w:tcPr>
            <w:tcW w:w="1416" w:type="dxa"/>
          </w:tcPr>
          <w:p w:rsidR="00B445CE" w:rsidRPr="00BD5672" w:rsidRDefault="00B445CE" w:rsidP="00A5551C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2018/01/09</w:t>
            </w:r>
          </w:p>
        </w:tc>
        <w:tc>
          <w:tcPr>
            <w:tcW w:w="1010" w:type="dxa"/>
          </w:tcPr>
          <w:p w:rsidR="00B445CE" w:rsidRPr="00BD5672" w:rsidRDefault="00B445CE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B445CE" w:rsidRPr="00BD5672" w:rsidRDefault="00B445CE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445CE">
              <w:rPr>
                <w:rFonts w:ascii="細明體" w:eastAsia="細明體" w:hAnsi="細明體" w:cs="Courier New" w:hint="eastAsia"/>
                <w:sz w:val="20"/>
                <w:szCs w:val="20"/>
              </w:rPr>
              <w:t>行動理賠問題修正</w:t>
            </w:r>
          </w:p>
        </w:tc>
        <w:tc>
          <w:tcPr>
            <w:tcW w:w="1566" w:type="dxa"/>
          </w:tcPr>
          <w:p w:rsidR="00B445CE" w:rsidRDefault="00B445CE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445CE" w:rsidRDefault="00B445CE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445CE">
              <w:rPr>
                <w:rFonts w:ascii="細明體" w:eastAsia="細明體" w:hAnsi="細明體" w:cs="Courier New"/>
                <w:sz w:val="20"/>
                <w:szCs w:val="20"/>
              </w:rPr>
              <w:t>171130000230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961F9B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1362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計算投資後交易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A5551C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5551C">
              <w:rPr>
                <w:rFonts w:ascii="細明體" w:eastAsia="細明體" w:hAnsi="細明體"/>
                <w:sz w:val="20"/>
                <w:szCs w:val="20"/>
              </w:rPr>
              <w:t>AAM2_B100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A555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產險行動理賠受理後轉送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A5551C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產險個人保險理賠部理賠規劃科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B5AE5">
                  <w:r>
                    <w:rPr>
                      <w:rFonts w:hint="eastAsia"/>
                    </w:rPr>
                    <w:t>轉送產險</w:t>
                  </w:r>
                </w:p>
              </w:txbxContent>
            </v:textbox>
          </v:rect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73.5pt;z-index:251656704">
            <v:textbox>
              <w:txbxContent>
                <w:p w:rsidR="00A5551C" w:rsidRDefault="00A5551C" w:rsidP="00A5551C">
                  <w:r>
                    <w:rPr>
                      <w:rFonts w:hint="eastAsia"/>
                    </w:rPr>
                    <w:t>DTAAM001</w:t>
                  </w:r>
                  <w:r>
                    <w:rPr>
                      <w:rFonts w:hint="eastAsia"/>
                    </w:rPr>
                    <w:t>轉送產險狀態</w:t>
                  </w:r>
                  <w:r w:rsidR="008B5AE5">
                    <w:rPr>
                      <w:rFonts w:hint="eastAsia"/>
                    </w:rPr>
                    <w:t>回壓</w:t>
                  </w:r>
                </w:p>
              </w:txbxContent>
            </v:textbox>
          </v:shape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73.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DTAAM001</w:t>
                  </w:r>
                  <w:r>
                    <w:rPr>
                      <w:rFonts w:hint="eastAsia"/>
                    </w:rPr>
                    <w:t>需轉送產險件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B5AE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MI申請書檔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B5AE5">
              <w:rPr>
                <w:rFonts w:ascii="細明體" w:eastAsia="細明體" w:hAnsi="細明體" w:hint="eastAsia"/>
                <w:sz w:val="20"/>
                <w:szCs w:val="20"/>
              </w:rPr>
              <w:t>AM001</w:t>
            </w:r>
          </w:p>
        </w:tc>
        <w:tc>
          <w:tcPr>
            <w:tcW w:w="799" w:type="dxa"/>
          </w:tcPr>
          <w:p w:rsidR="00752001" w:rsidRDefault="008B5AE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8B5AE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B5AE5">
              <w:rPr>
                <w:rFonts w:ascii="細明體" w:eastAsia="細明體" w:hAnsi="細明體" w:hint="eastAsia"/>
                <w:sz w:val="20"/>
                <w:szCs w:val="20"/>
              </w:rPr>
              <w:t>產險理賠進度模組</w:t>
            </w:r>
          </w:p>
        </w:tc>
        <w:tc>
          <w:tcPr>
            <w:tcW w:w="4770" w:type="dxa"/>
          </w:tcPr>
          <w:p w:rsidR="00961F9B" w:rsidRPr="0090048C" w:rsidRDefault="008B5AE5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B5AE5">
              <w:rPr>
                <w:rFonts w:ascii="細明體" w:eastAsia="細明體" w:hAnsi="細明體"/>
                <w:sz w:val="20"/>
                <w:szCs w:val="20"/>
              </w:rPr>
              <w:t>AA_M2Z104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JAAKDA000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10分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MI_NO</w:t>
            </w:r>
          </w:p>
        </w:tc>
        <w:tc>
          <w:tcPr>
            <w:tcW w:w="3465" w:type="dxa"/>
          </w:tcPr>
          <w:p w:rsidR="00FF6176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VARCHAR(25)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轉送成功件數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轉送失敗件數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轉送後更新狀態成功件數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轉送後更新狀態失敗件數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註:合理數字統計</w:t>
      </w:r>
    </w:p>
    <w:p w:rsidR="008B5AE5" w:rsidRDefault="008B5AE5" w:rsidP="008B5A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查詢件數 </w:t>
      </w:r>
      <w:r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轉送件數</w:t>
      </w:r>
    </w:p>
    <w:p w:rsidR="008B5AE5" w:rsidRDefault="008B5AE5" w:rsidP="008B5A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轉送件數 = 轉送成功件數 +轉送失敗件數</w:t>
      </w:r>
    </w:p>
    <w:p w:rsidR="008B5AE5" w:rsidRDefault="008B5AE5" w:rsidP="008B5A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轉送件數 = 轉送後更新狀態成功件數 +轉送後更新狀態失敗件數</w:t>
      </w:r>
    </w:p>
    <w:p w:rsidR="00E841C1" w:rsidRPr="008B5AE5" w:rsidRDefault="00E841C1" w:rsidP="00E841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ERROE寄送信件L</w:t>
      </w:r>
      <w:r>
        <w:rPr>
          <w:rFonts w:ascii="細明體" w:eastAsia="細明體" w:hAnsi="細明體"/>
          <w:kern w:val="2"/>
          <w:lang w:eastAsia="zh-TW"/>
        </w:rPr>
        <w:t>ist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可無傳入參數：</w:t>
      </w:r>
      <w:r w:rsidR="008B5AE5">
        <w:rPr>
          <w:rFonts w:ascii="細明體" w:eastAsia="細明體" w:hAnsi="細明體" w:hint="eastAsia"/>
          <w:kern w:val="2"/>
          <w:lang w:eastAsia="zh-TW"/>
        </w:rPr>
        <w:t>OK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8B5AE5" w:rsidRPr="00DF2E41" w:rsidRDefault="008B5AE5" w:rsidP="008B5AE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檢合規則</w:t>
      </w:r>
    </w:p>
    <w:p w:rsidR="00961F9B" w:rsidRDefault="008B5AE5" w:rsidP="008B5A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長度為25碼</w:t>
      </w:r>
    </w:p>
    <w:p w:rsidR="008B5AE5" w:rsidRDefault="008B5AE5" w:rsidP="008B5A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第11碼為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S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有錯則拋錯</w:t>
      </w:r>
    </w:p>
    <w:p w:rsidR="008B5AE5" w:rsidRDefault="008B5AE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檢核通過則保留傳入參數</w:t>
      </w:r>
    </w:p>
    <w:p w:rsidR="00961F9B" w:rsidRPr="008B5AE5" w:rsidRDefault="008B5AE5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撈取資料</w:t>
      </w:r>
    </w:p>
    <w:p w:rsidR="008B5AE5" w:rsidRPr="003A7CAF" w:rsidRDefault="003A7CAF" w:rsidP="008B5A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A7CAF">
        <w:rPr>
          <w:rFonts w:ascii="細明體" w:eastAsia="細明體" w:hAnsi="細明體" w:cs="新細明體"/>
          <w:lang w:eastAsia="zh-TW"/>
        </w:rPr>
        <w:t xml:space="preserve">Select </w:t>
      </w:r>
      <w:r w:rsidR="008B5AE5" w:rsidRPr="003A7CAF">
        <w:rPr>
          <w:rFonts w:ascii="細明體" w:eastAsia="細明體" w:hAnsi="細明體" w:cs="新細明體" w:hint="eastAsia"/>
          <w:lang w:eastAsia="zh-TW"/>
        </w:rPr>
        <w:t>DTAAM001</w:t>
      </w:r>
      <w:r w:rsidR="008B5AE5" w:rsidRPr="003A7CAF">
        <w:rPr>
          <w:rFonts w:ascii="細明體" w:eastAsia="細明體" w:hAnsi="細明體" w:cs="新細明體"/>
          <w:lang w:eastAsia="zh-TW"/>
        </w:rPr>
        <w:t>.MI_NO</w:t>
      </w:r>
    </w:p>
    <w:p w:rsidR="003A7CAF" w:rsidRPr="003A7CAF" w:rsidRDefault="003A7CAF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A7CAF">
        <w:rPr>
          <w:rFonts w:ascii="細明體" w:eastAsia="細明體" w:hAnsi="細明體" w:cs="新細明體"/>
          <w:lang w:eastAsia="zh-TW"/>
        </w:rPr>
        <w:t xml:space="preserve">Where </w:t>
      </w:r>
      <w:r w:rsidRPr="003A7CAF">
        <w:rPr>
          <w:rFonts w:ascii="細明體" w:eastAsia="細明體" w:hAnsi="細明體" w:cs="新細明體" w:hint="eastAsia"/>
          <w:lang w:eastAsia="zh-TW"/>
        </w:rPr>
        <w:t>DTAAM001</w:t>
      </w:r>
      <w:r w:rsidRPr="003A7CAF">
        <w:rPr>
          <w:rFonts w:ascii="細明體" w:eastAsia="細明體" w:hAnsi="細明體" w:cs="新細明體"/>
          <w:lang w:eastAsia="zh-TW"/>
        </w:rPr>
        <w:t>.COMPANY = “I”</w:t>
      </w:r>
      <w:r>
        <w:rPr>
          <w:rFonts w:ascii="細明體" w:eastAsia="細明體" w:hAnsi="細明體" w:cs="新細明體"/>
          <w:lang w:eastAsia="zh-TW"/>
        </w:rPr>
        <w:t xml:space="preserve"> and </w:t>
      </w:r>
      <w:r w:rsidRPr="003A7CAF">
        <w:rPr>
          <w:rFonts w:ascii="細明體" w:eastAsia="細明體" w:hAnsi="細明體" w:cs="新細明體" w:hint="eastAsia"/>
          <w:lang w:eastAsia="zh-TW"/>
        </w:rPr>
        <w:t>DTAAM001</w:t>
      </w:r>
      <w:r w:rsidRPr="003A7CAF">
        <w:rPr>
          <w:rFonts w:ascii="細明體" w:eastAsia="細明體" w:hAnsi="細明體" w:cs="新細明體"/>
          <w:lang w:eastAsia="zh-TW"/>
        </w:rPr>
        <w:t>.TRANS_STS</w:t>
      </w:r>
      <w:r>
        <w:rPr>
          <w:rFonts w:ascii="細明體" w:eastAsia="細明體" w:hAnsi="細明體" w:cs="新細明體"/>
          <w:lang w:eastAsia="zh-TW"/>
        </w:rPr>
        <w:t xml:space="preserve"> in (null , “NG”)</w:t>
      </w:r>
    </w:p>
    <w:p w:rsidR="003A7CAF" w:rsidRPr="003A7CAF" w:rsidRDefault="003A7CAF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 xml:space="preserve">若傳入參數有值，增加條件 </w:t>
      </w:r>
      <w:r w:rsidRPr="003A7CAF">
        <w:rPr>
          <w:rFonts w:ascii="細明體" w:eastAsia="細明體" w:hAnsi="細明體" w:cs="新細明體" w:hint="eastAsia"/>
          <w:lang w:eastAsia="zh-TW"/>
        </w:rPr>
        <w:t>DTAAM001</w:t>
      </w:r>
      <w:r w:rsidRPr="003A7CAF">
        <w:rPr>
          <w:rFonts w:ascii="細明體" w:eastAsia="細明體" w:hAnsi="細明體" w:cs="新細明體"/>
          <w:lang w:eastAsia="zh-TW"/>
        </w:rPr>
        <w:t>.</w:t>
      </w:r>
      <w:r>
        <w:rPr>
          <w:rFonts w:ascii="細明體" w:eastAsia="細明體" w:hAnsi="細明體" w:cs="新細明體" w:hint="eastAsia"/>
          <w:lang w:eastAsia="zh-TW"/>
        </w:rPr>
        <w:t>MI_NO = 傳入參數</w:t>
      </w:r>
    </w:p>
    <w:p w:rsidR="003A7CAF" w:rsidRPr="003A7CAF" w:rsidRDefault="003A7CAF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查詢件數 = 讀取到的件數</w:t>
      </w:r>
    </w:p>
    <w:p w:rsidR="003A7CAF" w:rsidRPr="00DF2E41" w:rsidRDefault="003A7CAF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3A7CAF" w:rsidRPr="00DF2E41" w:rsidRDefault="003A7CAF" w:rsidP="003A7C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3A7CAF" w:rsidRPr="00DF2E41" w:rsidRDefault="003A7CAF" w:rsidP="003A7C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3A7CAF" w:rsidRPr="003A7CAF" w:rsidRDefault="003A7CAF" w:rsidP="003A7C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>
        <w:rPr>
          <w:rFonts w:ascii="細明體" w:eastAsia="細明體" w:hAnsi="細明體" w:hint="eastAsia"/>
          <w:bCs/>
          <w:kern w:val="2"/>
          <w:lang w:eastAsia="zh-TW"/>
        </w:rPr>
        <w:t>，記錄錯誤訊息)</w:t>
      </w:r>
    </w:p>
    <w:p w:rsidR="003A7CAF" w:rsidRDefault="003A7CAF" w:rsidP="003A7CA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逐筆執行</w:t>
      </w:r>
    </w:p>
    <w:p w:rsidR="003A7CAF" w:rsidRDefault="003A7CAF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3A7CAF">
        <w:rPr>
          <w:rFonts w:ascii="細明體" w:eastAsia="細明體" w:hAnsi="細明體"/>
          <w:kern w:val="2"/>
          <w:lang w:eastAsia="zh-TW"/>
        </w:rPr>
        <w:t>AA_M2Z104</w:t>
      </w:r>
      <w:r>
        <w:rPr>
          <w:rFonts w:ascii="細明體" w:eastAsia="細明體" w:hAnsi="細明體"/>
          <w:kern w:val="2"/>
          <w:lang w:eastAsia="zh-TW"/>
        </w:rPr>
        <w:t>.</w:t>
      </w:r>
      <w:r w:rsidRPr="003A7CAF">
        <w:rPr>
          <w:rFonts w:ascii="細明體" w:eastAsia="細明體" w:hAnsi="細明體"/>
          <w:kern w:val="2"/>
          <w:lang w:eastAsia="zh-TW"/>
        </w:rPr>
        <w:t>doSend</w:t>
      </w:r>
      <w:r>
        <w:rPr>
          <w:rFonts w:ascii="細明體" w:eastAsia="細明體" w:hAnsi="細明體"/>
          <w:kern w:val="2"/>
          <w:lang w:eastAsia="zh-TW"/>
        </w:rPr>
        <w:t>(MI_NO)</w:t>
      </w:r>
      <w:r w:rsidR="00E841C1">
        <w:rPr>
          <w:rFonts w:ascii="細明體" w:eastAsia="細明體" w:hAnsi="細明體" w:hint="eastAsia"/>
          <w:kern w:val="2"/>
          <w:lang w:eastAsia="zh-TW"/>
        </w:rPr>
        <w:t>，轉送件數++</w:t>
      </w:r>
    </w:p>
    <w:p w:rsidR="00E841C1" w:rsidRDefault="00E841C1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回傳結果M</w:t>
      </w:r>
      <w:r>
        <w:rPr>
          <w:rFonts w:ascii="細明體" w:eastAsia="細明體" w:hAnsi="細明體"/>
          <w:kern w:val="2"/>
          <w:lang w:eastAsia="zh-TW"/>
        </w:rPr>
        <w:t>ap</w:t>
      </w:r>
    </w:p>
    <w:p w:rsidR="00E841C1" w:rsidRDefault="00E841C1" w:rsidP="00E841C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</w:t>
      </w:r>
      <w:r>
        <w:rPr>
          <w:rFonts w:ascii="細明體" w:eastAsia="細明體" w:hAnsi="細明體"/>
          <w:kern w:val="2"/>
          <w:lang w:eastAsia="zh-TW"/>
        </w:rPr>
        <w:t>ap.</w:t>
      </w:r>
      <w:r w:rsidRPr="00E841C1">
        <w:rPr>
          <w:rFonts w:ascii="細明體" w:eastAsia="細明體" w:hAnsi="細明體"/>
          <w:kern w:val="2"/>
          <w:lang w:eastAsia="zh-TW"/>
        </w:rPr>
        <w:t>RTN_CODE</w:t>
      </w:r>
      <w:r>
        <w:rPr>
          <w:rFonts w:ascii="細明體" w:eastAsia="細明體" w:hAnsi="細明體"/>
          <w:kern w:val="2"/>
          <w:lang w:eastAsia="zh-TW"/>
        </w:rPr>
        <w:t xml:space="preserve"> = 0 </w:t>
      </w:r>
      <w:r>
        <w:rPr>
          <w:rFonts w:ascii="細明體" w:eastAsia="細明體" w:hAnsi="細明體" w:hint="eastAsia"/>
          <w:kern w:val="2"/>
          <w:lang w:eastAsia="zh-TW"/>
        </w:rPr>
        <w:t>，轉送成功件數++</w:t>
      </w:r>
    </w:p>
    <w:p w:rsidR="00E841C1" w:rsidRDefault="00E841C1" w:rsidP="00E841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修改DTAAM001</w:t>
      </w:r>
      <w:r>
        <w:rPr>
          <w:rFonts w:ascii="細明體" w:eastAsia="細明體" w:hAnsi="細明體"/>
          <w:kern w:val="2"/>
          <w:lang w:eastAsia="zh-TW"/>
        </w:rPr>
        <w:t>.</w:t>
      </w:r>
      <w:r w:rsidRPr="00E841C1">
        <w:t xml:space="preserve"> </w:t>
      </w:r>
      <w:r w:rsidRPr="00E841C1">
        <w:rPr>
          <w:rFonts w:ascii="細明體" w:eastAsia="細明體" w:hAnsi="細明體"/>
          <w:kern w:val="2"/>
          <w:lang w:eastAsia="zh-TW"/>
        </w:rPr>
        <w:t>TRANS_STS</w:t>
      </w:r>
      <w:r>
        <w:rPr>
          <w:rFonts w:ascii="細明體" w:eastAsia="細明體" w:hAnsi="細明體"/>
          <w:kern w:val="2"/>
          <w:lang w:eastAsia="zh-TW"/>
        </w:rPr>
        <w:t xml:space="preserve"> = “OK”</w:t>
      </w:r>
    </w:p>
    <w:p w:rsidR="00E841C1" w:rsidRDefault="00E841C1" w:rsidP="00E841C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</w:t>
      </w:r>
      <w:r>
        <w:rPr>
          <w:rFonts w:ascii="細明體" w:eastAsia="細明體" w:hAnsi="細明體"/>
          <w:kern w:val="2"/>
          <w:lang w:eastAsia="zh-TW"/>
        </w:rPr>
        <w:t>ap.</w:t>
      </w:r>
      <w:r w:rsidRPr="00E841C1">
        <w:rPr>
          <w:rFonts w:ascii="細明體" w:eastAsia="細明體" w:hAnsi="細明體"/>
          <w:kern w:val="2"/>
          <w:lang w:eastAsia="zh-TW"/>
        </w:rPr>
        <w:t>RTN_CODE</w:t>
      </w:r>
      <w:r>
        <w:rPr>
          <w:rFonts w:ascii="細明體" w:eastAsia="細明體" w:hAnsi="細明體"/>
          <w:kern w:val="2"/>
          <w:lang w:eastAsia="zh-TW"/>
        </w:rPr>
        <w:t xml:space="preserve"> != 0 </w:t>
      </w:r>
      <w:r>
        <w:rPr>
          <w:rFonts w:ascii="細明體" w:eastAsia="細明體" w:hAnsi="細明體" w:hint="eastAsia"/>
          <w:kern w:val="2"/>
          <w:lang w:eastAsia="zh-TW"/>
        </w:rPr>
        <w:t>，轉送失敗件數++</w:t>
      </w:r>
    </w:p>
    <w:p w:rsidR="00E841C1" w:rsidRDefault="00E841C1" w:rsidP="00E841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841C1">
        <w:rPr>
          <w:rFonts w:ascii="細明體" w:eastAsia="細明體" w:hAnsi="細明體" w:hint="eastAsia"/>
          <w:kern w:val="2"/>
          <w:lang w:eastAsia="zh-TW"/>
        </w:rPr>
        <w:t>修改DTAAM001</w:t>
      </w:r>
      <w:r w:rsidRPr="00E841C1">
        <w:rPr>
          <w:rFonts w:ascii="細明體" w:eastAsia="細明體" w:hAnsi="細明體"/>
          <w:kern w:val="2"/>
          <w:lang w:eastAsia="zh-TW"/>
        </w:rPr>
        <w:t>.</w:t>
      </w:r>
      <w:r w:rsidRPr="00E841C1">
        <w:t xml:space="preserve"> </w:t>
      </w:r>
      <w:r w:rsidRPr="00E841C1">
        <w:rPr>
          <w:rFonts w:ascii="細明體" w:eastAsia="細明體" w:hAnsi="細明體"/>
          <w:kern w:val="2"/>
          <w:lang w:eastAsia="zh-TW"/>
        </w:rPr>
        <w:t>TRANS_STS = “</w:t>
      </w:r>
      <w:r w:rsidRPr="00E841C1">
        <w:rPr>
          <w:rFonts w:ascii="細明體" w:eastAsia="細明體" w:hAnsi="細明體" w:hint="eastAsia"/>
          <w:kern w:val="2"/>
          <w:lang w:eastAsia="zh-TW"/>
        </w:rPr>
        <w:t>NG</w:t>
      </w:r>
      <w:r w:rsidRPr="00E841C1">
        <w:rPr>
          <w:rFonts w:ascii="細明體" w:eastAsia="細明體" w:hAnsi="細明體"/>
          <w:kern w:val="2"/>
          <w:lang w:eastAsia="zh-TW"/>
        </w:rPr>
        <w:t>”</w:t>
      </w:r>
      <w:r w:rsidRPr="00E841C1">
        <w:rPr>
          <w:rFonts w:ascii="細明體" w:eastAsia="細明體" w:hAnsi="細明體" w:hint="eastAsia"/>
          <w:kern w:val="2"/>
          <w:lang w:eastAsia="zh-TW"/>
        </w:rPr>
        <w:t>、</w:t>
      </w:r>
      <w:r w:rsidRPr="00E841C1">
        <w:t xml:space="preserve"> </w:t>
      </w:r>
      <w:r w:rsidRPr="00E841C1">
        <w:rPr>
          <w:rFonts w:ascii="細明體" w:eastAsia="細明體" w:hAnsi="細明體"/>
          <w:kern w:val="2"/>
          <w:lang w:eastAsia="zh-TW"/>
        </w:rPr>
        <w:t>DTAAM001.MESSAGE</w:t>
      </w:r>
      <w:r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E841C1">
        <w:rPr>
          <w:rFonts w:ascii="細明體" w:eastAsia="細明體" w:hAnsi="細明體"/>
          <w:kern w:val="2"/>
          <w:lang w:eastAsia="zh-TW"/>
        </w:rPr>
        <w:t>=</w:t>
      </w:r>
      <w:r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M</w:t>
      </w:r>
      <w:r>
        <w:rPr>
          <w:rFonts w:ascii="細明體" w:eastAsia="細明體" w:hAnsi="細明體"/>
          <w:kern w:val="2"/>
          <w:lang w:eastAsia="zh-TW"/>
        </w:rPr>
        <w:t>ap.</w:t>
      </w:r>
      <w:r w:rsidRPr="00E841C1">
        <w:rPr>
          <w:rFonts w:ascii="細明體" w:eastAsia="細明體" w:hAnsi="細明體"/>
          <w:kern w:val="2"/>
          <w:lang w:eastAsia="zh-TW"/>
        </w:rPr>
        <w:t>RTN_MSG</w:t>
      </w:r>
    </w:p>
    <w:p w:rsidR="00E841C1" w:rsidRPr="00874F70" w:rsidRDefault="00E841C1" w:rsidP="00874F7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ERROE寄送信件L</w:t>
      </w:r>
      <w:r>
        <w:rPr>
          <w:rFonts w:ascii="細明體" w:eastAsia="細明體" w:hAnsi="細明體"/>
          <w:kern w:val="2"/>
          <w:lang w:eastAsia="zh-TW"/>
        </w:rPr>
        <w:t>ist ADD Map={</w:t>
      </w:r>
      <w:r w:rsidR="00874F70">
        <w:rPr>
          <w:rFonts w:ascii="細明體" w:eastAsia="細明體" w:hAnsi="細明體"/>
          <w:kern w:val="2"/>
          <w:lang w:eastAsia="zh-TW"/>
        </w:rPr>
        <w:t>“TYPE”=</w:t>
      </w:r>
      <w:r w:rsidR="00874F70" w:rsidRPr="00E841C1">
        <w:rPr>
          <w:rFonts w:ascii="細明體" w:eastAsia="細明體" w:hAnsi="細明體"/>
          <w:kern w:val="2"/>
          <w:lang w:eastAsia="zh-TW"/>
        </w:rPr>
        <w:t>“</w:t>
      </w:r>
      <w:r w:rsidR="00874F70" w:rsidRPr="00E841C1">
        <w:rPr>
          <w:rFonts w:ascii="細明體" w:eastAsia="細明體" w:hAnsi="細明體" w:hint="eastAsia"/>
          <w:kern w:val="2"/>
          <w:lang w:eastAsia="zh-TW"/>
        </w:rPr>
        <w:t>NG</w:t>
      </w:r>
      <w:r w:rsidR="00874F70" w:rsidRPr="00E841C1">
        <w:rPr>
          <w:rFonts w:ascii="細明體" w:eastAsia="細明體" w:hAnsi="細明體"/>
          <w:kern w:val="2"/>
          <w:lang w:eastAsia="zh-TW"/>
        </w:rPr>
        <w:t>”</w:t>
      </w:r>
      <w:r w:rsidR="00874F70">
        <w:rPr>
          <w:rFonts w:ascii="細明體" w:eastAsia="細明體" w:hAnsi="細明體"/>
          <w:kern w:val="2"/>
          <w:lang w:eastAsia="zh-TW"/>
        </w:rPr>
        <w:t>, “</w:t>
      </w:r>
      <w:r w:rsidR="00874F70" w:rsidRPr="00E841C1">
        <w:rPr>
          <w:rFonts w:ascii="細明體" w:eastAsia="細明體" w:hAnsi="細明體"/>
          <w:kern w:val="2"/>
          <w:lang w:eastAsia="zh-TW"/>
        </w:rPr>
        <w:t>MESSAGE</w:t>
      </w:r>
      <w:r w:rsidR="00874F70">
        <w:rPr>
          <w:rFonts w:ascii="細明體" w:eastAsia="細明體" w:hAnsi="細明體"/>
          <w:kern w:val="2"/>
          <w:lang w:eastAsia="zh-TW"/>
        </w:rPr>
        <w:t>”</w:t>
      </w:r>
      <w:r w:rsidR="00874F70"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74F70" w:rsidRPr="00E841C1">
        <w:rPr>
          <w:rFonts w:ascii="細明體" w:eastAsia="細明體" w:hAnsi="細明體"/>
          <w:kern w:val="2"/>
          <w:lang w:eastAsia="zh-TW"/>
        </w:rPr>
        <w:t>=</w:t>
      </w:r>
      <w:r w:rsidR="00874F70"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74F70">
        <w:rPr>
          <w:rFonts w:ascii="細明體" w:eastAsia="細明體" w:hAnsi="細明體" w:hint="eastAsia"/>
          <w:kern w:val="2"/>
          <w:lang w:eastAsia="zh-TW"/>
        </w:rPr>
        <w:t>M</w:t>
      </w:r>
      <w:r w:rsidR="00874F70">
        <w:rPr>
          <w:rFonts w:ascii="細明體" w:eastAsia="細明體" w:hAnsi="細明體"/>
          <w:kern w:val="2"/>
          <w:lang w:eastAsia="zh-TW"/>
        </w:rPr>
        <w:t>ap.</w:t>
      </w:r>
      <w:r w:rsidR="00874F70" w:rsidRPr="00E841C1">
        <w:rPr>
          <w:rFonts w:ascii="細明體" w:eastAsia="細明體" w:hAnsi="細明體"/>
          <w:kern w:val="2"/>
          <w:lang w:eastAsia="zh-TW"/>
        </w:rPr>
        <w:t>RTN_MSG</w:t>
      </w:r>
      <w:r w:rsidR="00874F70">
        <w:rPr>
          <w:rFonts w:ascii="細明體" w:eastAsia="細明體" w:hAnsi="細明體"/>
          <w:kern w:val="2"/>
          <w:lang w:eastAsia="zh-TW"/>
        </w:rPr>
        <w:t xml:space="preserve">  </w:t>
      </w:r>
      <w:r>
        <w:rPr>
          <w:rFonts w:ascii="細明體" w:eastAsia="細明體" w:hAnsi="細明體"/>
          <w:kern w:val="2"/>
          <w:lang w:eastAsia="zh-TW"/>
        </w:rPr>
        <w:t>}</w:t>
      </w:r>
    </w:p>
    <w:p w:rsidR="003A7CAF" w:rsidRDefault="00B445CE" w:rsidP="003A7C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</w:t>
      </w:r>
      <w:r w:rsidR="00874F70">
        <w:rPr>
          <w:rFonts w:ascii="細明體" w:eastAsia="細明體" w:hAnsi="細明體" w:hint="eastAsia"/>
          <w:kern w:val="2"/>
          <w:lang w:eastAsia="zh-TW"/>
        </w:rPr>
        <w:t>執行，寫入檔案</w:t>
      </w:r>
    </w:p>
    <w:p w:rsidR="00874F70" w:rsidRDefault="00874F70" w:rsidP="00874F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 : 轉送後更新狀態成功件數、轉送後更新狀態失敗件數</w:t>
      </w:r>
    </w:p>
    <w:p w:rsidR="00874F70" w:rsidRPr="00874F70" w:rsidRDefault="00874F70" w:rsidP="00874F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若有失敗件數，逐筆記錄ERROE寄送信件L</w:t>
      </w:r>
      <w:r>
        <w:rPr>
          <w:rFonts w:ascii="細明體" w:eastAsia="細明體" w:hAnsi="細明體"/>
          <w:kern w:val="2"/>
          <w:lang w:eastAsia="zh-TW"/>
        </w:rPr>
        <w:t>ist ADD Map={“TYPE”=</w:t>
      </w:r>
      <w:r w:rsidRPr="00E841C1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UPDATE</w:t>
      </w:r>
      <w:r w:rsidRPr="00E841C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/>
          <w:kern w:val="2"/>
          <w:lang w:eastAsia="zh-TW"/>
        </w:rPr>
        <w:t>, “</w:t>
      </w:r>
      <w:r w:rsidRPr="00E841C1">
        <w:rPr>
          <w:rFonts w:ascii="細明體" w:eastAsia="細明體" w:hAnsi="細明體"/>
          <w:kern w:val="2"/>
          <w:lang w:eastAsia="zh-TW"/>
        </w:rPr>
        <w:t>MESSAGE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E841C1">
        <w:rPr>
          <w:rFonts w:ascii="細明體" w:eastAsia="細明體" w:hAnsi="細明體"/>
          <w:kern w:val="2"/>
          <w:lang w:eastAsia="zh-TW"/>
        </w:rPr>
        <w:t>=</w:t>
      </w:r>
      <w:r w:rsidRPr="00E841C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74F70">
        <w:rPr>
          <w:rFonts w:ascii="細明體" w:eastAsia="細明體" w:hAnsi="細明體"/>
          <w:kern w:val="2"/>
          <w:lang w:eastAsia="zh-TW"/>
        </w:rPr>
        <w:t>e.getMessage</w:t>
      </w:r>
      <w:r>
        <w:rPr>
          <w:rFonts w:ascii="細明體" w:eastAsia="細明體" w:hAnsi="細明體"/>
          <w:kern w:val="2"/>
          <w:lang w:eastAsia="zh-TW"/>
        </w:rPr>
        <w:t>}</w:t>
      </w:r>
    </w:p>
    <w:p w:rsidR="00874F70" w:rsidRDefault="00874F70" w:rsidP="00874F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874F70" w:rsidRDefault="00874F70" w:rsidP="00874F7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逐筆執行結束，若有錯誤(ERROE寄送信件L</w:t>
      </w:r>
      <w:r>
        <w:rPr>
          <w:rFonts w:ascii="細明體" w:eastAsia="細明體" w:hAnsi="細明體"/>
          <w:kern w:val="2"/>
          <w:lang w:eastAsia="zh-TW"/>
        </w:rPr>
        <w:t>ist.size != 0 )</w:t>
      </w:r>
      <w:r>
        <w:rPr>
          <w:rFonts w:ascii="細明體" w:eastAsia="細明體" w:hAnsi="細明體" w:hint="eastAsia"/>
          <w:kern w:val="2"/>
          <w:lang w:eastAsia="zh-TW"/>
        </w:rPr>
        <w:t>，寄送信件</w:t>
      </w:r>
    </w:p>
    <w:p w:rsidR="003D6C7A" w:rsidRPr="003D6C7A" w:rsidRDefault="003D6C7A" w:rsidP="003D6C7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收件者:撈取對照維護AA</w:t>
      </w:r>
      <w:r>
        <w:rPr>
          <w:rFonts w:ascii="細明體" w:eastAsia="細明體" w:hAnsi="細明體"/>
          <w:kern w:val="2"/>
          <w:lang w:eastAsia="zh-TW"/>
        </w:rPr>
        <w:t>,</w:t>
      </w:r>
      <w:r w:rsidRPr="003D6C7A">
        <w:t xml:space="preserve"> MI20_TRANS_EMAIL</w:t>
      </w:r>
      <w:r>
        <w:rPr>
          <w:rFonts w:hint="eastAsia"/>
          <w:lang w:eastAsia="zh-TW"/>
        </w:rPr>
        <w:t>，</w:t>
      </w:r>
      <w:r>
        <w:rPr>
          <w:lang w:eastAsia="zh-TW"/>
        </w:rPr>
        <w:t>Map</w:t>
      </w:r>
      <w:r>
        <w:rPr>
          <w:rFonts w:hint="eastAsia"/>
          <w:lang w:eastAsia="zh-TW"/>
        </w:rPr>
        <w:t>中的所有</w:t>
      </w:r>
      <w:r>
        <w:rPr>
          <w:rFonts w:hint="eastAsia"/>
          <w:lang w:eastAsia="zh-TW"/>
        </w:rPr>
        <w:t>value</w:t>
      </w:r>
      <w:r>
        <w:rPr>
          <w:rFonts w:hint="eastAsia"/>
          <w:lang w:eastAsia="zh-TW"/>
        </w:rPr>
        <w:t>值為</w:t>
      </w:r>
      <w:r>
        <w:rPr>
          <w:rFonts w:hint="eastAsia"/>
          <w:lang w:eastAsia="zh-TW"/>
        </w:rPr>
        <w:t>email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測試時可將自己的</w:t>
      </w:r>
      <w:r>
        <w:rPr>
          <w:rFonts w:hint="eastAsia"/>
          <w:lang w:eastAsia="zh-TW"/>
        </w:rPr>
        <w:t>email</w:t>
      </w: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 xml:space="preserve"> )</w:t>
      </w:r>
    </w:p>
    <w:p w:rsidR="003D6C7A" w:rsidRDefault="003D6C7A" w:rsidP="003D6C7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標題:產險行動理賠受理後轉送異常</w:t>
      </w:r>
    </w:p>
    <w:p w:rsidR="003D6C7A" w:rsidRDefault="003D6C7A" w:rsidP="003D6C7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內容:</w:t>
      </w:r>
    </w:p>
    <w:p w:rsidR="003D6C7A" w:rsidRDefault="003D6C7A" w:rsidP="003D6C7A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產險行動理賠受理後轉送異常訊息如下:</w:t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3"/>
      </w:tblGrid>
      <w:tr w:rsidR="003D6C7A" w:rsidRPr="0002113F" w:rsidTr="0002113F">
        <w:tc>
          <w:tcPr>
            <w:tcW w:w="4814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異常種類</w:t>
            </w:r>
          </w:p>
        </w:tc>
        <w:tc>
          <w:tcPr>
            <w:tcW w:w="4813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訊息</w:t>
            </w:r>
          </w:p>
        </w:tc>
      </w:tr>
      <w:tr w:rsidR="003D6C7A" w:rsidRPr="0002113F" w:rsidTr="0002113F">
        <w:tc>
          <w:tcPr>
            <w:tcW w:w="4814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ist.get(0). TYPE</w:t>
            </w:r>
          </w:p>
        </w:tc>
        <w:tc>
          <w:tcPr>
            <w:tcW w:w="4813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ist.get(0). MESSAGE</w:t>
            </w:r>
          </w:p>
        </w:tc>
      </w:tr>
      <w:tr w:rsidR="003D6C7A" w:rsidRPr="0002113F" w:rsidTr="0002113F">
        <w:tc>
          <w:tcPr>
            <w:tcW w:w="4814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ist.get(1). TYPE</w:t>
            </w:r>
          </w:p>
        </w:tc>
        <w:tc>
          <w:tcPr>
            <w:tcW w:w="4813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ist.get(1). MESSAGE</w:t>
            </w:r>
          </w:p>
        </w:tc>
      </w:tr>
      <w:tr w:rsidR="003D6C7A" w:rsidRPr="0002113F" w:rsidTr="0002113F">
        <w:tc>
          <w:tcPr>
            <w:tcW w:w="4814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ist.get(2). TYPE</w:t>
            </w:r>
          </w:p>
        </w:tc>
        <w:tc>
          <w:tcPr>
            <w:tcW w:w="4813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02113F">
              <w:rPr>
                <w:rFonts w:ascii="細明體" w:eastAsia="細明體" w:hAnsi="細明體" w:hint="eastAsia"/>
                <w:kern w:val="2"/>
                <w:lang w:eastAsia="zh-TW"/>
              </w:rPr>
              <w:t>ERROE寄送信件L</w:t>
            </w:r>
            <w:r w:rsidRPr="0002113F">
              <w:rPr>
                <w:rFonts w:ascii="細明體" w:eastAsia="細明體" w:hAnsi="細明體"/>
                <w:kern w:val="2"/>
                <w:lang w:eastAsia="zh-TW"/>
              </w:rPr>
              <w:t>ist.get(2). MESSAGE</w:t>
            </w:r>
          </w:p>
        </w:tc>
      </w:tr>
      <w:tr w:rsidR="003D6C7A" w:rsidRPr="0002113F" w:rsidTr="0002113F">
        <w:tc>
          <w:tcPr>
            <w:tcW w:w="4814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2113F">
              <w:rPr>
                <w:rFonts w:ascii="細明體" w:eastAsia="細明體" w:hAnsi="細明體"/>
                <w:kern w:val="2"/>
                <w:lang w:eastAsia="zh-TW"/>
              </w:rPr>
              <w:t>…</w:t>
            </w:r>
          </w:p>
        </w:tc>
        <w:tc>
          <w:tcPr>
            <w:tcW w:w="4813" w:type="dxa"/>
            <w:shd w:val="clear" w:color="auto" w:fill="auto"/>
          </w:tcPr>
          <w:p w:rsidR="003D6C7A" w:rsidRPr="0002113F" w:rsidRDefault="003D6C7A" w:rsidP="000211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02113F">
              <w:rPr>
                <w:rFonts w:ascii="細明體" w:eastAsia="細明體" w:hAnsi="細明體"/>
                <w:kern w:val="2"/>
                <w:lang w:eastAsia="zh-TW"/>
              </w:rPr>
              <w:t>…</w:t>
            </w:r>
          </w:p>
        </w:tc>
      </w:tr>
    </w:tbl>
    <w:p w:rsidR="003D6C7A" w:rsidRDefault="003D6C7A" w:rsidP="003D6C7A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/>
          <w:kern w:val="2"/>
          <w:lang w:eastAsia="zh-TW"/>
        </w:rPr>
      </w:pPr>
    </w:p>
    <w:p w:rsidR="003D6C7A" w:rsidRPr="003D6C7A" w:rsidRDefault="003D6C7A" w:rsidP="003D6C7A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/>
          <w:kern w:val="2"/>
          <w:lang w:eastAsia="zh-TW"/>
        </w:rPr>
      </w:pPr>
    </w:p>
    <w:p w:rsidR="00874F70" w:rsidRDefault="00874F70" w:rsidP="00874F7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61F9B" w:rsidRPr="002748AD" w:rsidRDefault="00961F9B" w:rsidP="00874F7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961F9B" w:rsidRPr="002748AD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123" w:rsidRDefault="007B3123">
      <w:r>
        <w:separator/>
      </w:r>
    </w:p>
  </w:endnote>
  <w:endnote w:type="continuationSeparator" w:id="0">
    <w:p w:rsidR="007B3123" w:rsidRDefault="007B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7C95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123" w:rsidRDefault="007B3123">
      <w:r>
        <w:separator/>
      </w:r>
    </w:p>
  </w:footnote>
  <w:footnote w:type="continuationSeparator" w:id="0">
    <w:p w:rsidR="007B3123" w:rsidRDefault="007B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3123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4F70"/>
    <w:rsid w:val="00875CDA"/>
    <w:rsid w:val="00892512"/>
    <w:rsid w:val="008A5D36"/>
    <w:rsid w:val="008A7E85"/>
    <w:rsid w:val="008B1784"/>
    <w:rsid w:val="008B5188"/>
    <w:rsid w:val="008B5AE5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445CE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67C95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696EE596-CCD6-49CE-BA45-BE192266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C2B47-2220-4895-B363-60385A65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>CMT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