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2177"/>
        <w:gridCol w:w="2351"/>
        <w:gridCol w:w="2184"/>
        <w:gridCol w:w="1648"/>
        <w:tblGridChange w:id="0">
          <w:tblGrid>
            <w:gridCol w:w="2350"/>
            <w:gridCol w:w="2177"/>
            <w:gridCol w:w="2351"/>
            <w:gridCol w:w="2184"/>
            <w:gridCol w:w="1648"/>
          </w:tblGrid>
        </w:tblGridChange>
      </w:tblGrid>
      <w:tr w:rsidR="00252551" w:rsidRPr="00E8700A" w:rsidTr="002B4CA7">
        <w:tc>
          <w:tcPr>
            <w:tcW w:w="2597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2597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324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B4CA7">
        <w:tc>
          <w:tcPr>
            <w:tcW w:w="2597" w:type="dxa"/>
          </w:tcPr>
          <w:p w:rsidR="00252551" w:rsidRPr="00E8700A" w:rsidRDefault="00C3254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2014/9/</w:t>
            </w:r>
            <w:r w:rsidR="00CC711E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2597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324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  <w:tr w:rsidR="002B4CA7" w:rsidRPr="00E8700A" w:rsidTr="002B4CA7">
        <w:trPr>
          <w:ins w:id="2" w:author="陳德仁" w:date="2018-10-17T18:50:00Z"/>
        </w:trPr>
        <w:tc>
          <w:tcPr>
            <w:tcW w:w="2597" w:type="dxa"/>
          </w:tcPr>
          <w:p w:rsidR="002B4CA7" w:rsidRDefault="002B4CA7" w:rsidP="002B4CA7">
            <w:pPr>
              <w:spacing w:line="240" w:lineRule="atLeast"/>
              <w:jc w:val="center"/>
              <w:rPr>
                <w:ins w:id="3" w:author="陳德仁" w:date="2018-10-17T18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陳德仁" w:date="2018-10-17T18:51:00Z">
              <w:r w:rsidRPr="00E43895">
                <w:rPr>
                  <w:rFonts w:hint="eastAsia"/>
                </w:rPr>
                <w:t>2018/06/29</w:t>
              </w:r>
            </w:ins>
          </w:p>
        </w:tc>
        <w:tc>
          <w:tcPr>
            <w:tcW w:w="2597" w:type="dxa"/>
          </w:tcPr>
          <w:p w:rsidR="002B4CA7" w:rsidRDefault="002B4CA7" w:rsidP="002B4CA7">
            <w:pPr>
              <w:spacing w:line="240" w:lineRule="atLeast"/>
              <w:jc w:val="center"/>
              <w:rPr>
                <w:ins w:id="5" w:author="陳德仁" w:date="2018-10-17T18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8-10-17T18:51:00Z">
              <w:r w:rsidRPr="00E43895">
                <w:rPr>
                  <w:rFonts w:hint="eastAsia"/>
                </w:rPr>
                <w:t xml:space="preserve">  </w:t>
              </w:r>
              <w:r>
                <w:t>2</w:t>
              </w:r>
            </w:ins>
          </w:p>
        </w:tc>
        <w:tc>
          <w:tcPr>
            <w:tcW w:w="2596" w:type="dxa"/>
          </w:tcPr>
          <w:p w:rsidR="002B4CA7" w:rsidRPr="00E8700A" w:rsidRDefault="002B4CA7" w:rsidP="002B4CA7">
            <w:pPr>
              <w:spacing w:line="240" w:lineRule="atLeast"/>
              <w:rPr>
                <w:ins w:id="7" w:author="陳德仁" w:date="2018-10-17T18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8-10-17T18:51:00Z">
              <w:r w:rsidRPr="00E43895">
                <w:rPr>
                  <w:rFonts w:hint="eastAsia"/>
                </w:rPr>
                <w:t xml:space="preserve">logSecurity </w:t>
              </w:r>
              <w:r w:rsidRPr="00E43895">
                <w:rPr>
                  <w:rFonts w:hint="eastAsia"/>
                </w:rPr>
                <w:t>清查</w:t>
              </w:r>
            </w:ins>
          </w:p>
        </w:tc>
        <w:tc>
          <w:tcPr>
            <w:tcW w:w="2596" w:type="dxa"/>
          </w:tcPr>
          <w:p w:rsidR="002B4CA7" w:rsidRPr="00E8700A" w:rsidRDefault="002B4CA7" w:rsidP="002B4CA7">
            <w:pPr>
              <w:spacing w:line="240" w:lineRule="atLeast"/>
              <w:jc w:val="center"/>
              <w:rPr>
                <w:ins w:id="9" w:author="陳德仁" w:date="2018-10-17T18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8-10-17T18:51:00Z">
              <w:r w:rsidRPr="00E43895">
                <w:rPr>
                  <w:rFonts w:hint="eastAsia"/>
                </w:rPr>
                <w:t>德仁</w:t>
              </w:r>
            </w:ins>
          </w:p>
        </w:tc>
        <w:tc>
          <w:tcPr>
            <w:tcW w:w="324" w:type="dxa"/>
          </w:tcPr>
          <w:p w:rsidR="002B4CA7" w:rsidRDefault="002B4CA7" w:rsidP="002B4CA7">
            <w:pPr>
              <w:spacing w:line="240" w:lineRule="atLeast"/>
              <w:rPr>
                <w:ins w:id="11" w:author="陳德仁" w:date="2018-10-17T18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陳德仁" w:date="2018-10-17T18:51:00Z">
              <w:r w:rsidRPr="00E43895">
                <w:rPr>
                  <w:rFonts w:hint="eastAsia"/>
                </w:rPr>
                <w:t>180511000919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65282B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F0844">
              <w:rPr>
                <w:rFonts w:ascii="細明體" w:eastAsia="細明體" w:hAnsi="細明體" w:hint="eastAsia"/>
                <w:sz w:val="20"/>
                <w:szCs w:val="20"/>
              </w:rPr>
              <w:t>解除契約_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備註輸入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="00C32541">
              <w:rPr>
                <w:rFonts w:ascii="細明體" w:eastAsia="細明體" w:hAnsi="細明體" w:hint="eastAsia"/>
                <w:sz w:val="20"/>
                <w:szCs w:val="20"/>
              </w:rPr>
              <w:t>人工修正紀錄查詢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C3254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AAZ5_12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65282B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備註輸入檔</w:t>
            </w:r>
            <w:r w:rsidR="00254C1E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C32541">
              <w:rPr>
                <w:rFonts w:ascii="細明體" w:eastAsia="細明體" w:hAnsi="細明體" w:hint="eastAsia"/>
                <w:sz w:val="20"/>
                <w:szCs w:val="20"/>
              </w:rPr>
              <w:t>人工修正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C32541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D15DE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07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9.25pt" o:ole="">
            <v:imagedata r:id="rId7" o:title=""/>
          </v:shape>
          <o:OLEObject Type="Embed" ProgID="Visio.Drawing.11" ShapeID="_x0000_i1025" DrawAspect="Content" ObjectID="_1657346520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5030C5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5030C5">
              <w:rPr>
                <w:rFonts w:ascii="細明體" w:eastAsia="細明體" w:hAnsi="細明體" w:hint="eastAsia"/>
                <w:lang w:eastAsia="zh-TW"/>
              </w:rPr>
              <w:t>理賠</w:t>
            </w:r>
            <w:r w:rsidR="006F0844">
              <w:rPr>
                <w:rFonts w:ascii="細明體" w:eastAsia="細明體" w:hAnsi="細明體" w:hint="eastAsia"/>
                <w:lang w:eastAsia="zh-TW"/>
              </w:rPr>
              <w:t>備註輸入</w:t>
            </w:r>
            <w:r w:rsidRPr="005030C5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4911D8" w:rsidRPr="00E01490" w:rsidRDefault="005030C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6F0844">
              <w:rPr>
                <w:rFonts w:ascii="細明體" w:eastAsia="細明體" w:hAnsi="細明體" w:hint="eastAsia"/>
                <w:sz w:val="20"/>
                <w:szCs w:val="20"/>
              </w:rPr>
              <w:t>TAAK004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D15DE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D15DE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</w:t>
      </w:r>
      <w:r w:rsidR="00D15DE1">
        <w:rPr>
          <w:rFonts w:ascii="細明體" w:eastAsia="細明體" w:hAnsi="細明體" w:hint="eastAsia"/>
          <w:sz w:val="20"/>
          <w:szCs w:val="20"/>
        </w:rPr>
        <w:t>11</w:t>
      </w:r>
      <w:r w:rsidR="004411B9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176FDF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E7180">
        <w:rPr>
          <w:noProof/>
        </w:rPr>
        <w:pict>
          <v:shape id="圖片 1" o:spid="_x0000_i1026" type="#_x0000_t75" style="width:431.25pt;height:60.75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5030C5">
        <w:rPr>
          <w:rFonts w:ascii="細明體" w:eastAsia="細明體" w:hAnsi="細明體" w:hint="eastAsia"/>
        </w:rPr>
        <w:t>5</w:t>
      </w:r>
      <w:r w:rsidR="005030C5">
        <w:rPr>
          <w:rFonts w:ascii="細明體" w:eastAsia="細明體" w:hAnsi="細明體" w:hint="eastAsia"/>
          <w:lang w:eastAsia="zh-TW"/>
        </w:rPr>
        <w:t>1</w:t>
      </w:r>
      <w:r w:rsidR="00176FDF">
        <w:rPr>
          <w:rFonts w:ascii="細明體" w:eastAsia="細明體" w:hAnsi="細明體" w:hint="eastAsia"/>
          <w:lang w:eastAsia="zh-TW"/>
        </w:rPr>
        <w:t>2</w:t>
      </w:r>
      <w:r w:rsidR="004411B9">
        <w:rPr>
          <w:rFonts w:ascii="細明體" w:eastAsia="細明體" w:hAnsi="細明體" w:hint="eastAsia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圖1a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D15DE1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受理編號:</w:t>
      </w:r>
      <w:r w:rsidRPr="00D15DE1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空值</w:t>
      </w:r>
    </w:p>
    <w:p w:rsidR="005030C5" w:rsidRPr="00E01490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處理後</w:t>
      </w:r>
      <w:r w:rsidR="005030C5">
        <w:rPr>
          <w:rFonts w:ascii="細明體" w:eastAsia="細明體" w:hAnsi="細明體" w:hint="eastAsia"/>
          <w:bCs/>
          <w:lang w:eastAsia="zh-TW"/>
        </w:rPr>
        <w:t>受理編號:空值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受理編號、</w:t>
      </w:r>
      <w:r w:rsidR="00D15DE1">
        <w:rPr>
          <w:rFonts w:ascii="細明體" w:eastAsia="細明體" w:hAnsi="細明體" w:hint="eastAsia"/>
          <w:bCs/>
          <w:lang w:eastAsia="zh-TW"/>
        </w:rPr>
        <w:t>處理後受理編號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</w:t>
      </w:r>
      <w:r>
        <w:rPr>
          <w:rFonts w:ascii="細明體" w:eastAsia="細明體" w:hAnsi="細明體" w:hint="eastAsia"/>
          <w:bCs/>
          <w:lang w:eastAsia="zh-TW"/>
        </w:rPr>
        <w:t>同時</w:t>
      </w:r>
      <w:r w:rsidR="009C012E" w:rsidRPr="00E01490">
        <w:rPr>
          <w:rFonts w:ascii="細明體" w:eastAsia="細明體" w:hAnsi="細明體" w:hint="eastAsia"/>
          <w:bCs/>
          <w:lang w:eastAsia="zh-TW"/>
        </w:rPr>
        <w:t>為空值。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5030C5" w:rsidRPr="005030C5">
        <w:rPr>
          <w:rFonts w:ascii="細明體" w:eastAsia="細明體" w:hAnsi="細明體" w:hint="eastAsia"/>
          <w:lang w:eastAsia="zh-TW"/>
        </w:rPr>
        <w:t>理賠解除契約</w:t>
      </w:r>
      <w:r w:rsidR="00D15DE1">
        <w:rPr>
          <w:rFonts w:ascii="細明體" w:eastAsia="細明體" w:hAnsi="細明體" w:hint="eastAsia"/>
          <w:lang w:eastAsia="zh-TW"/>
        </w:rPr>
        <w:t>備註輸入</w:t>
      </w:r>
      <w:r w:rsidR="00176FDF">
        <w:rPr>
          <w:rFonts w:ascii="細明體" w:eastAsia="細明體" w:hAnsi="細明體" w:hint="eastAsia"/>
          <w:lang w:eastAsia="zh-TW"/>
        </w:rPr>
        <w:t>LOG</w:t>
      </w:r>
      <w:r w:rsidR="00D15DE1">
        <w:rPr>
          <w:rFonts w:ascii="細明體" w:eastAsia="細明體" w:hAnsi="細明體" w:hint="eastAsia"/>
          <w:lang w:eastAsia="zh-TW"/>
        </w:rPr>
        <w:t>檔</w:t>
      </w:r>
      <w:r w:rsidR="005030C5">
        <w:rPr>
          <w:rFonts w:ascii="細明體" w:eastAsia="細明體" w:hAnsi="細明體" w:hint="eastAsia"/>
          <w:lang w:eastAsia="zh-TW"/>
        </w:rPr>
        <w:t>(DTAAK00</w:t>
      </w:r>
      <w:r w:rsidR="00D15DE1">
        <w:rPr>
          <w:rFonts w:ascii="細明體" w:eastAsia="細明體" w:hAnsi="細明體" w:hint="eastAsia"/>
          <w:lang w:eastAsia="zh-TW"/>
        </w:rPr>
        <w:t>4</w:t>
      </w:r>
      <w:r w:rsidR="00176FDF">
        <w:rPr>
          <w:rFonts w:ascii="細明體" w:eastAsia="細明體" w:hAnsi="細明體" w:hint="eastAsia"/>
          <w:lang w:eastAsia="zh-TW"/>
        </w:rPr>
        <w:t>_LOG</w:t>
      </w:r>
      <w:r w:rsidR="005030C5"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5030C5" w:rsidRPr="005030C5" w:rsidRDefault="005030C5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D15DE1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bCs/>
          <w:lang w:eastAsia="zh-TW"/>
        </w:rPr>
        <w:t>有值，則設定</w:t>
      </w:r>
      <w:r w:rsidR="00D15DE1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bCs/>
          <w:lang w:eastAsia="zh-TW"/>
        </w:rPr>
        <w:t>為查詢條件</w:t>
      </w:r>
    </w:p>
    <w:p w:rsidR="005030C5" w:rsidRDefault="00D15DE1" w:rsidP="005030C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5030C5">
        <w:rPr>
          <w:rFonts w:ascii="細明體" w:eastAsia="細明體" w:hAnsi="細明體" w:hint="eastAsia"/>
          <w:bCs/>
          <w:lang w:eastAsia="zh-TW"/>
        </w:rPr>
        <w:t>:</w:t>
      </w:r>
      <w:r w:rsidR="005030C5" w:rsidRPr="005030C5">
        <w:rPr>
          <w:rFonts w:ascii="細明體" w:eastAsia="細明體" w:hAnsi="細明體" w:hint="eastAsia"/>
          <w:lang w:eastAsia="zh-TW"/>
        </w:rPr>
        <w:t xml:space="preserve"> </w:t>
      </w:r>
      <w:r w:rsidR="005030C5" w:rsidRPr="00E01490">
        <w:rPr>
          <w:rFonts w:ascii="細明體" w:eastAsia="細明體" w:hAnsi="細明體" w:hint="eastAsia"/>
          <w:lang w:eastAsia="zh-TW"/>
        </w:rPr>
        <w:t>同畫面輸入</w:t>
      </w:r>
    </w:p>
    <w:p w:rsidR="005030C5" w:rsidRPr="00E01490" w:rsidRDefault="005030C5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D15DE1">
        <w:rPr>
          <w:rFonts w:ascii="細明體" w:eastAsia="細明體" w:hAnsi="細明體" w:hint="eastAsia"/>
          <w:bCs/>
          <w:lang w:eastAsia="zh-TW"/>
        </w:rPr>
        <w:t>處理後受理編號</w:t>
      </w:r>
      <w:r>
        <w:rPr>
          <w:rFonts w:ascii="細明體" w:eastAsia="細明體" w:hAnsi="細明體" w:hint="eastAsia"/>
          <w:bCs/>
          <w:lang w:eastAsia="zh-TW"/>
        </w:rPr>
        <w:t>有值，則設定</w:t>
      </w:r>
      <w:r w:rsidR="00D15DE1">
        <w:rPr>
          <w:rFonts w:ascii="細明體" w:eastAsia="細明體" w:hAnsi="細明體" w:hint="eastAsia"/>
          <w:bCs/>
          <w:lang w:eastAsia="zh-TW"/>
        </w:rPr>
        <w:t>處理後受理編號</w:t>
      </w:r>
    </w:p>
    <w:p w:rsidR="009C012E" w:rsidRDefault="00D15DE1" w:rsidP="005030C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處理後受理編號</w:t>
      </w:r>
      <w:r w:rsidR="009C012E" w:rsidRPr="00E01490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176FDF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FDF">
        <w:rPr>
          <w:rFonts w:ascii="細明體" w:eastAsia="細明體" w:hAnsi="細明體" w:hint="eastAsia"/>
          <w:lang w:eastAsia="zh-TW"/>
        </w:rPr>
        <w:t>LOG異動種類</w:t>
      </w:r>
      <w:r>
        <w:rPr>
          <w:rFonts w:ascii="細明體" w:eastAsia="細明體" w:hAnsi="細明體" w:hint="eastAsia"/>
          <w:lang w:eastAsia="zh-TW"/>
        </w:rPr>
        <w:t xml:space="preserve">: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</w:t>
      </w:r>
      <w:r w:rsidR="0071791F">
        <w:rPr>
          <w:rFonts w:ascii="細明體" w:eastAsia="細明體" w:hAnsi="細明體" w:hint="eastAsia"/>
          <w:lang w:eastAsia="zh-TW"/>
        </w:rPr>
        <w:t>變更後</w:t>
      </w:r>
      <w:r>
        <w:rPr>
          <w:rFonts w:ascii="細明體" w:eastAsia="細明體" w:hAnsi="細明體" w:hint="eastAsia"/>
          <w:lang w:eastAsia="zh-TW"/>
        </w:rPr>
        <w:t xml:space="preserve">) or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(刪除)</w:t>
      </w:r>
    </w:p>
    <w:p w:rsidR="00176FDF" w:rsidRPr="00E01490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以受理編號，保單號碼，序號，LOG異動日期排序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13" w:name="A_BACK"/>
      <w:bookmarkEnd w:id="13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9C012E" w:rsidRPr="00E01490" w:rsidTr="00962167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D15DE1" w:rsidRPr="00E01490" w:rsidRDefault="00D15DE1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DTAAK004</w:t>
            </w:r>
            <w:r w:rsidR="0071791F">
              <w:rPr>
                <w:rFonts w:ascii="細明體" w:eastAsia="細明體" w:hAnsi="細明體" w:hint="eastAsia"/>
                <w:sz w:val="20"/>
              </w:rPr>
              <w:t>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6352" w:type="dxa"/>
          </w:tcPr>
          <w:p w:rsidR="0071791F" w:rsidRPr="00E01490" w:rsidRDefault="0071791F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DTAAK004_LOG (保單號碼有連結可點選顯示</w:t>
            </w:r>
            <w:bookmarkStart w:id="14" w:name="DETAIL_BACK"/>
            <w:bookmarkEnd w:id="14"/>
            <w:r>
              <w:rPr>
                <w:rFonts w:ascii="細明體" w:eastAsia="細明體" w:hAnsi="細明體"/>
                <w:sz w:val="20"/>
              </w:rPr>
              <w:fldChar w:fldCharType="begin"/>
            </w:r>
            <w:r>
              <w:rPr>
                <w:rFonts w:ascii="細明體" w:eastAsia="細明體" w:hAnsi="細明體"/>
                <w:sz w:val="20"/>
              </w:rPr>
              <w:instrText xml:space="preserve"> HYPERLINK  \l "DETAIL" </w:instrText>
            </w:r>
            <w:r>
              <w:rPr>
                <w:rFonts w:ascii="細明體" w:eastAsia="細明體" w:hAnsi="細明體"/>
                <w:sz w:val="20"/>
              </w:rPr>
            </w:r>
            <w:r>
              <w:rPr>
                <w:rFonts w:ascii="細明體" w:eastAsia="細明體" w:hAnsi="細明體"/>
                <w:sz w:val="20"/>
              </w:rPr>
              <w:fldChar w:fldCharType="separate"/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異</w:t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動</w:t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明細</w:t>
            </w:r>
            <w:r>
              <w:rPr>
                <w:rFonts w:ascii="細明體" w:eastAsia="細明體" w:hAnsi="細明體"/>
                <w:sz w:val="20"/>
              </w:rPr>
              <w:fldChar w:fldCharType="end"/>
            </w:r>
            <w:r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備註狀態</w:t>
            </w:r>
          </w:p>
        </w:tc>
        <w:tc>
          <w:tcPr>
            <w:tcW w:w="6352" w:type="dxa"/>
          </w:tcPr>
          <w:p w:rsidR="00D15DE1" w:rsidRPr="00E01490" w:rsidRDefault="00962167" w:rsidP="009621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  <w:r w:rsidR="0071791F">
              <w:rPr>
                <w:rFonts w:ascii="細明體" w:eastAsia="細明體" w:hAnsi="細明體" w:hint="eastAsia"/>
                <w:sz w:val="20"/>
                <w:szCs w:val="20"/>
              </w:rPr>
              <w:t>_LOG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(代碼中文對照轉中文 系統別AA 欄位</w:t>
            </w:r>
            <w:r w:rsidRPr="00962167">
              <w:rPr>
                <w:rFonts w:ascii="細明體" w:eastAsia="細明體" w:hAnsi="細明體"/>
                <w:bCs/>
                <w:color w:val="000000"/>
                <w:sz w:val="20"/>
              </w:rPr>
              <w:t>RMK_KIND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)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處理後受理編號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DTAAK004_LOG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簽擬日期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處理日期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核賠日期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覆核日期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異動種類</w:t>
            </w:r>
          </w:p>
        </w:tc>
        <w:tc>
          <w:tcPr>
            <w:tcW w:w="6352" w:type="dxa"/>
          </w:tcPr>
          <w:p w:rsidR="0071791F" w:rsidRDefault="0071791F" w:rsidP="000924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DTAAK004_LOG.LOG異動種類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DTAAK004_LOG.LOG異動種類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Pr="00E01490" w:rsidRDefault="0071791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異動人員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姓名</w:t>
            </w:r>
          </w:p>
        </w:tc>
        <w:tc>
          <w:tcPr>
            <w:tcW w:w="6352" w:type="dxa"/>
          </w:tcPr>
          <w:p w:rsidR="0071791F" w:rsidRPr="00E01490" w:rsidRDefault="0071791F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DTAAK004_LOG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異動日期時間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DTAAK004_LOG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B92CBB" w:rsidRPr="00E01490" w:rsidRDefault="0071791F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bookmarkStart w:id="15" w:name="DETAIL"/>
      <w:bookmarkEnd w:id="15"/>
      <w:r>
        <w:rPr>
          <w:rFonts w:ascii="細明體" w:eastAsia="細明體" w:hAnsi="細明體" w:hint="eastAsia"/>
          <w:b/>
          <w:bCs/>
          <w:color w:val="008000"/>
          <w:lang w:eastAsia="zh-TW"/>
        </w:rPr>
        <w:t>異動明細</w:t>
      </w:r>
      <w:r w:rsidR="00B92CBB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  <w:r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[</w:t>
      </w:r>
      <w:hyperlink w:anchor="DETAIL_BACK" w:history="1"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BACK</w:t>
        </w:r>
      </w:hyperlink>
      <w:r>
        <w:rPr>
          <w:rFonts w:ascii="細明體" w:eastAsia="細明體" w:hAnsi="細明體" w:hint="eastAsia"/>
          <w:b/>
          <w:bCs/>
          <w:color w:val="008000"/>
          <w:lang w:eastAsia="zh-TW"/>
        </w:rPr>
        <w:t>]</w:t>
      </w:r>
    </w:p>
    <w:p w:rsidR="00B92CBB" w:rsidRDefault="009820B4" w:rsidP="009820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820B4">
        <w:rPr>
          <w:rFonts w:ascii="細明體" w:eastAsia="細明體" w:hAnsi="細明體" w:hint="eastAsia"/>
          <w:lang w:eastAsia="zh-TW"/>
        </w:rPr>
        <w:t>點選</w:t>
      </w:r>
      <w:r w:rsidR="0071791F" w:rsidRPr="009820B4">
        <w:rPr>
          <w:rFonts w:ascii="細明體" w:eastAsia="細明體" w:hAnsi="細明體" w:hint="eastAsia"/>
          <w:lang w:eastAsia="zh-TW"/>
        </w:rPr>
        <w:t>保單號碼連結</w:t>
      </w:r>
      <w:r w:rsidRPr="009820B4">
        <w:rPr>
          <w:rFonts w:ascii="細明體" w:eastAsia="細明體" w:hAnsi="細明體" w:hint="eastAsia"/>
          <w:lang w:eastAsia="zh-TW"/>
        </w:rPr>
        <w:t>:傳遞參數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 (bo)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 xml:space="preserve">DTAAK004_LOG.LOG異動種類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(刪除)</w:t>
      </w:r>
    </w:p>
    <w:p w:rsidR="009820B4" w:rsidRDefault="009820B4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Pr="005030C5">
        <w:rPr>
          <w:rFonts w:ascii="細明體" w:eastAsia="細明體" w:hAnsi="細明體" w:hint="eastAsia"/>
          <w:lang w:eastAsia="zh-TW"/>
        </w:rPr>
        <w:t>理賠解除契約</w:t>
      </w:r>
      <w:r>
        <w:rPr>
          <w:rFonts w:ascii="細明體" w:eastAsia="細明體" w:hAnsi="細明體" w:hint="eastAsia"/>
          <w:lang w:eastAsia="zh-TW"/>
        </w:rPr>
        <w:t>備註輸入LOG檔(DTAAK004_LOG)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D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$變更後DTAAK004_LOG</w:t>
      </w:r>
    </w:p>
    <w:p w:rsidR="000F204C" w:rsidRDefault="000F204C" w:rsidP="000F204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ELSE 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 xml:space="preserve">DTAAK004_LOG.LOG異動種類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(修正)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Pr="005030C5">
        <w:rPr>
          <w:rFonts w:ascii="細明體" w:eastAsia="細明體" w:hAnsi="細明體" w:hint="eastAsia"/>
          <w:lang w:eastAsia="zh-TW"/>
        </w:rPr>
        <w:t>理賠解除契約</w:t>
      </w:r>
      <w:r>
        <w:rPr>
          <w:rFonts w:ascii="細明體" w:eastAsia="細明體" w:hAnsi="細明體" w:hint="eastAsia"/>
          <w:lang w:eastAsia="zh-TW"/>
        </w:rPr>
        <w:t>備註輸入LOG檔(DTAAK004_LOG)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B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$變更前DTAAK004_LOG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Pr="005030C5">
        <w:rPr>
          <w:rFonts w:ascii="細明體" w:eastAsia="細明體" w:hAnsi="細明體" w:hint="eastAsia"/>
          <w:lang w:eastAsia="zh-TW"/>
        </w:rPr>
        <w:t>理賠解除契約</w:t>
      </w:r>
      <w:r>
        <w:rPr>
          <w:rFonts w:ascii="細明體" w:eastAsia="細明體" w:hAnsi="細明體" w:hint="eastAsia"/>
          <w:lang w:eastAsia="zh-TW"/>
        </w:rPr>
        <w:t>備註輸入LOG檔(DTAAK004_LOG)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A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>
        <w:rPr>
          <w:rFonts w:ascii="細明體" w:eastAsia="細明體" w:hAnsi="細明體" w:hint="eastAsia"/>
          <w:lang w:eastAsia="zh-TW"/>
        </w:rPr>
        <w:t>DTAAK004_LOG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$變更後DTAAK004_LOG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3D20F0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畫面顯示</w:t>
      </w:r>
    </w:p>
    <w:p w:rsidR="00C9522E" w:rsidRDefault="003D20F0" w:rsidP="003D20F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E7180">
        <w:rPr>
          <w:noProof/>
          <w:lang w:eastAsia="zh-TW"/>
        </w:rPr>
        <w:pict>
          <v:shape id="_x0000_i1027" type="#_x0000_t75" style="width:6in;height:110.25pt;visibility:visible">
            <v:imagedata r:id="rId10" o:title=""/>
          </v:shape>
        </w:pict>
      </w:r>
    </w:p>
    <w:p w:rsidR="00E40A7C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查詢結果，畫面欄位資料顯示</w:t>
      </w:r>
      <w:r w:rsidR="00C9522E">
        <w:rPr>
          <w:rFonts w:ascii="細明體" w:eastAsia="細明體" w:hAnsi="細明體" w:hint="eastAsia"/>
          <w:lang w:eastAsia="zh-TW"/>
        </w:rPr>
        <w:t>。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96"/>
        <w:gridCol w:w="4855"/>
        <w:gridCol w:w="3119"/>
      </w:tblGrid>
      <w:tr w:rsidR="009820B4" w:rsidRPr="00E01490" w:rsidTr="000924FE">
        <w:trPr>
          <w:trHeight w:val="75"/>
        </w:trPr>
        <w:tc>
          <w:tcPr>
            <w:tcW w:w="720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796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7974" w:type="dxa"/>
            <w:gridSpan w:val="2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820B4" w:rsidRPr="00E01490" w:rsidTr="009820B4">
        <w:trPr>
          <w:trHeight w:val="75"/>
        </w:trPr>
        <w:tc>
          <w:tcPr>
            <w:tcW w:w="720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FFFF00"/>
          </w:tcPr>
          <w:p w:rsidR="009820B4" w:rsidRPr="00E01490" w:rsidRDefault="009820B4" w:rsidP="00E2462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>(每個欄位資料顯示方式，上方: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$變更前DTAAK004_LOG</w:t>
            </w:r>
            <w:r w:rsidR="00E24625">
              <w:rPr>
                <w:rFonts w:ascii="細明體" w:eastAsia="細明體" w:hAnsi="細明體" w:hint="eastAsia"/>
                <w:sz w:val="20"/>
              </w:rPr>
              <w:t>，下方紅色字體: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$變更後DTAAK004_LOG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3119" w:type="dxa"/>
            <w:shd w:val="clear" w:color="auto" w:fill="FFFF00"/>
          </w:tcPr>
          <w:p w:rsidR="009820B4" w:rsidRPr="00E01490" w:rsidRDefault="009820B4" w:rsidP="00264273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D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 xml:space="preserve"> (每個欄位資料顯示方式，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$變更前DTAAK004_LOG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E24625" w:rsidRPr="00E01490" w:rsidRDefault="00E24625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4855" w:type="dxa"/>
          </w:tcPr>
          <w:p w:rsidR="00E24625" w:rsidRDefault="00E24625" w:rsidP="00E2462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</w:t>
            </w:r>
            <w:r w:rsidRPr="00E24625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  <w:p w:rsidR="00E24625" w:rsidRPr="00E24625" w:rsidRDefault="00E24625" w:rsidP="00E2462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FF0000"/>
                <w:sz w:val="20"/>
              </w:rPr>
            </w:pPr>
            <w:r w:rsidRPr="00E24625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E24625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Pr="00E01490" w:rsidRDefault="00E24625" w:rsidP="000924FE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Pr="00D4419F">
              <w:rPr>
                <w:rFonts w:ascii="細明體" w:eastAsia="細明體" w:hAnsi="細明體" w:hint="eastAsia"/>
                <w:bCs/>
                <w:color w:val="000000"/>
                <w:sz w:val="20"/>
              </w:rPr>
              <w:t>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E24625" w:rsidRPr="00E01490" w:rsidRDefault="00E24625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序號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Pr="00E01490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備註狀態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事故者姓名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時效起日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輸入人員</w:t>
            </w:r>
            <w:r>
              <w:rPr>
                <w:rFonts w:ascii="sөũ" w:hAnsi="sөũ"/>
                <w:sz w:val="20"/>
                <w:szCs w:val="20"/>
              </w:rPr>
              <w:t>ID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輸入人員</w:t>
            </w:r>
            <w:r>
              <w:rPr>
                <w:rFonts w:ascii="sөũ" w:hAnsi="sөũ" w:hint="eastAsia"/>
                <w:sz w:val="20"/>
                <w:szCs w:val="20"/>
              </w:rPr>
              <w:t>姓名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</w:t>
            </w:r>
            <w:r>
              <w:rPr>
                <w:rFonts w:ascii="sөũ" w:hAnsi="sөũ" w:hint="eastAsia"/>
                <w:sz w:val="20"/>
                <w:szCs w:val="20"/>
              </w:rPr>
              <w:t>日期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簽擬</w:t>
            </w:r>
            <w:r>
              <w:rPr>
                <w:rFonts w:ascii="sөũ" w:hAnsi="sөũ"/>
                <w:sz w:val="20"/>
                <w:szCs w:val="20"/>
              </w:rPr>
              <w:t>人員</w:t>
            </w:r>
            <w:r>
              <w:rPr>
                <w:rFonts w:ascii="sөũ" w:hAnsi="sөũ"/>
                <w:sz w:val="20"/>
                <w:szCs w:val="20"/>
              </w:rPr>
              <w:t>ID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簽擬</w:t>
            </w:r>
            <w:r>
              <w:rPr>
                <w:rFonts w:ascii="sөũ" w:hAnsi="sөũ"/>
                <w:sz w:val="20"/>
                <w:szCs w:val="20"/>
              </w:rPr>
              <w:t>人員</w:t>
            </w:r>
            <w:r>
              <w:rPr>
                <w:rFonts w:ascii="sөũ" w:hAnsi="sөũ" w:hint="eastAsia"/>
                <w:sz w:val="20"/>
                <w:szCs w:val="20"/>
              </w:rPr>
              <w:t>姓名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簽擬日期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處理</w:t>
            </w:r>
            <w:r>
              <w:rPr>
                <w:rFonts w:ascii="sөũ" w:hAnsi="sөũ"/>
                <w:sz w:val="20"/>
                <w:szCs w:val="20"/>
              </w:rPr>
              <w:t>人員</w:t>
            </w:r>
            <w:r>
              <w:rPr>
                <w:rFonts w:ascii="sөũ" w:hAnsi="sөũ"/>
                <w:sz w:val="20"/>
                <w:szCs w:val="20"/>
              </w:rPr>
              <w:t>ID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處理</w:t>
            </w:r>
            <w:r>
              <w:rPr>
                <w:rFonts w:ascii="sөũ" w:hAnsi="sөũ"/>
                <w:sz w:val="20"/>
                <w:szCs w:val="20"/>
              </w:rPr>
              <w:t>人員</w:t>
            </w:r>
            <w:r>
              <w:rPr>
                <w:rFonts w:ascii="sөũ" w:hAnsi="sөũ" w:hint="eastAsia"/>
                <w:sz w:val="20"/>
                <w:szCs w:val="20"/>
              </w:rPr>
              <w:t>姓名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處理日期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處理後受理編號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核賠人員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Pr="00E01490" w:rsidRDefault="00E24625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核賠人員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姓名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核賠日期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覆核人員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Pr="00E01490" w:rsidRDefault="00E24625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覆核人員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姓名</w:t>
            </w:r>
          </w:p>
        </w:tc>
        <w:tc>
          <w:tcPr>
            <w:tcW w:w="4855" w:type="dxa"/>
          </w:tcPr>
          <w:p w:rsidR="00E24625" w:rsidRPr="00307949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24625" w:rsidRDefault="00E24625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覆核日期</w:t>
            </w:r>
          </w:p>
        </w:tc>
        <w:tc>
          <w:tcPr>
            <w:tcW w:w="4855" w:type="dxa"/>
          </w:tcPr>
          <w:p w:rsidR="00E24625" w:rsidRDefault="00E24625" w:rsidP="000924FE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$變更後DTAAK004_LOG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同$變更後DTAAK004_LOG</w:t>
            </w:r>
          </w:p>
        </w:tc>
      </w:tr>
    </w:tbl>
    <w:p w:rsidR="00E24625" w:rsidRPr="00E01490" w:rsidRDefault="00E24625" w:rsidP="00E246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回上一頁</w:t>
      </w:r>
      <w:r>
        <w:rPr>
          <w:rFonts w:ascii="細明體" w:eastAsia="細明體" w:hAnsi="細明體" w:hint="eastAsia"/>
          <w:lang w:eastAsia="zh-TW"/>
        </w:rPr>
        <w:t>:畫面回上一頁</w:t>
      </w:r>
    </w:p>
    <w:p w:rsidR="002225FA" w:rsidRPr="00E24625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 w:hint="eastAsia"/>
          <w:sz w:val="20"/>
          <w:szCs w:val="20"/>
        </w:rPr>
      </w:pPr>
    </w:p>
    <w:p w:rsidR="00E24625" w:rsidRPr="00B92CBB" w:rsidRDefault="00E24625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E24625" w:rsidRPr="00B92CBB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61B" w:rsidRDefault="0063261B">
      <w:r>
        <w:separator/>
      </w:r>
    </w:p>
  </w:endnote>
  <w:endnote w:type="continuationSeparator" w:id="0">
    <w:p w:rsidR="0063261B" w:rsidRDefault="0063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47EEE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61B" w:rsidRDefault="0063261B">
      <w:r>
        <w:separator/>
      </w:r>
    </w:p>
  </w:footnote>
  <w:footnote w:type="continuationSeparator" w:id="0">
    <w:p w:rsidR="0063261B" w:rsidRDefault="00632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DC228C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9767A6"/>
    <w:multiLevelType w:val="hybridMultilevel"/>
    <w:tmpl w:val="10CA8A34"/>
    <w:lvl w:ilvl="0" w:tplc="57280B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7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924FE"/>
    <w:rsid w:val="000A7C4F"/>
    <w:rsid w:val="000D1099"/>
    <w:rsid w:val="000D2D7F"/>
    <w:rsid w:val="000D3892"/>
    <w:rsid w:val="000E5F19"/>
    <w:rsid w:val="000F204C"/>
    <w:rsid w:val="001249B7"/>
    <w:rsid w:val="00127011"/>
    <w:rsid w:val="00145DDA"/>
    <w:rsid w:val="00156A28"/>
    <w:rsid w:val="0015744E"/>
    <w:rsid w:val="001606A7"/>
    <w:rsid w:val="001724C1"/>
    <w:rsid w:val="00176FDF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54C1E"/>
    <w:rsid w:val="00264273"/>
    <w:rsid w:val="00287ABA"/>
    <w:rsid w:val="002A3F8C"/>
    <w:rsid w:val="002B0AB6"/>
    <w:rsid w:val="002B381A"/>
    <w:rsid w:val="002B4CA7"/>
    <w:rsid w:val="002C6295"/>
    <w:rsid w:val="002F61B6"/>
    <w:rsid w:val="002F7FCC"/>
    <w:rsid w:val="0031642E"/>
    <w:rsid w:val="00323FB8"/>
    <w:rsid w:val="0032607E"/>
    <w:rsid w:val="003354D9"/>
    <w:rsid w:val="00335DF5"/>
    <w:rsid w:val="00347EEE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0F0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313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261B"/>
    <w:rsid w:val="006370B1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91F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5644A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26ECC"/>
    <w:rsid w:val="009337AD"/>
    <w:rsid w:val="0095275D"/>
    <w:rsid w:val="009617E5"/>
    <w:rsid w:val="00962167"/>
    <w:rsid w:val="00963BA2"/>
    <w:rsid w:val="00964E9E"/>
    <w:rsid w:val="0096519E"/>
    <w:rsid w:val="009820B4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234"/>
    <w:rsid w:val="00B524BA"/>
    <w:rsid w:val="00B53ACB"/>
    <w:rsid w:val="00B66886"/>
    <w:rsid w:val="00B92CBB"/>
    <w:rsid w:val="00B930E5"/>
    <w:rsid w:val="00B96556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32541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5DE1"/>
    <w:rsid w:val="00D2607D"/>
    <w:rsid w:val="00D318B2"/>
    <w:rsid w:val="00D368EA"/>
    <w:rsid w:val="00D4419F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4625"/>
    <w:rsid w:val="00E27349"/>
    <w:rsid w:val="00E40A7C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81F8C1F-1D88-45D7-99E7-CBDF0528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71791F"/>
    <w:rPr>
      <w:color w:val="0000FF"/>
      <w:u w:val="single"/>
    </w:rPr>
  </w:style>
  <w:style w:type="character" w:styleId="ac">
    <w:name w:val="FollowedHyperlink"/>
    <w:rsid w:val="007179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2742</Characters>
  <Application>Microsoft Office Word</Application>
  <DocSecurity>0</DocSecurity>
  <Lines>22</Lines>
  <Paragraphs>6</Paragraphs>
  <ScaleCrop>false</ScaleCrop>
  <Company>CMT</Company>
  <LinksUpToDate>false</LinksUpToDate>
  <CharactersWithSpaces>3216</CharactersWithSpaces>
  <SharedDoc>false</SharedDoc>
  <HLinks>
    <vt:vector size="12" baseType="variant">
      <vt:variant>
        <vt:i4>6881351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DETAIL_BACK</vt:lpwstr>
      </vt:variant>
      <vt:variant>
        <vt:i4>6815865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DETAIL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