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0"/>
      </w:pPr>
      <w:r>
        <w:t xml:space="preserve"/>
      </w:r>
    </w:p>
    <w:p>
      <w:pPr>
        <w:spacing w:after="600"/>
      </w:pPr>
      <w:r>
        <w:t xml:space="preserve"/>
      </w:r>
    </w:p>
    <w:p>
      <w:pPr>
        <w:spacing w:after="200"/>
        <w:jc w:val="center"/>
      </w:pPr>
      <w:r>
        <w:rPr>
          <w:rFonts w:ascii="Calibri" w:cs="Calibri" w:eastAsia="Calibri" w:hAnsi="Calibri"/>
          <w:b/>
          <w:bCs/>
          <w:color w:val="15803D"/>
          <w:sz w:val="96"/>
          <w:szCs w:val="96"/>
        </w:rPr>
        <w:t xml:space="preserve">AgroPulse</w:t>
      </w:r>
    </w:p>
    <w:p>
      <w:pPr>
        <w:spacing w:after="600"/>
        <w:jc w:val="center"/>
      </w:pPr>
      <w:r>
        <w:rPr>
          <w:rFonts w:ascii="Calibri" w:cs="Calibri" w:eastAsia="Calibri" w:hAnsi="Calibri"/>
          <w:i/>
          <w:iCs/>
          <w:color w:val="14532D"/>
          <w:sz w:val="32"/>
          <w:szCs w:val="32"/>
        </w:rPr>
        <w:t xml:space="preserve">El pulso inteligente de tu cosecha.</w:t>
      </w:r>
    </w:p>
    <w:p>
      <w:pPr>
        <w:spacing w:after="400"/>
      </w:pPr>
      <w:r>
        <w:t xml:space="preserve"/>
      </w:r>
    </w:p>
    <w:p>
      <w:pPr>
        <w:spacing w:after="200"/>
        <w:jc w:val="center"/>
      </w:pPr>
      <w:r>
        <w:rPr>
          <w:rFonts w:ascii="Calibri" w:cs="Calibri" w:eastAsia="Calibri" w:hAnsi="Calibri"/>
          <w:b/>
          <w:bCs/>
          <w:color w:val="0F172A"/>
          <w:sz w:val="36"/>
          <w:szCs w:val="36"/>
        </w:rPr>
        <w:t xml:space="preserve">Plataforma E-business para la Reducción</w:t>
      </w:r>
    </w:p>
    <w:p>
      <w:pPr>
        <w:spacing w:after="200"/>
        <w:jc w:val="center"/>
      </w:pPr>
      <w:r>
        <w:rPr>
          <w:rFonts w:ascii="Calibri" w:cs="Calibri" w:eastAsia="Calibri" w:hAnsi="Calibri"/>
          <w:b/>
          <w:bCs/>
          <w:color w:val="0F172A"/>
          <w:sz w:val="36"/>
          <w:szCs w:val="36"/>
        </w:rPr>
        <w:t xml:space="preserve">de Pérdidas Post-cosecha mediante IoT</w:t>
      </w:r>
    </w:p>
    <w:p>
      <w:pPr>
        <w:spacing w:after="600"/>
        <w:jc w:val="center"/>
      </w:pPr>
      <w:r>
        <w:rPr>
          <w:rFonts w:ascii="Calibri" w:cs="Calibri" w:eastAsia="Calibri" w:hAnsi="Calibri"/>
          <w:b/>
          <w:bCs/>
          <w:color w:val="0F172A"/>
          <w:sz w:val="36"/>
          <w:szCs w:val="36"/>
        </w:rPr>
        <w:t xml:space="preserve">y Analítica Predictiva</w:t>
      </w:r>
    </w:p>
    <w:p>
      <w:pPr>
        <w:spacing w:after="600"/>
      </w:pPr>
      <w:r>
        <w:t xml:space="preserve"/>
      </w:r>
    </w:p>
    <w:p>
      <w:pPr>
        <w:spacing w:after="160"/>
        <w:jc w:val="center"/>
      </w:pPr>
      <w:r>
        <w:rPr>
          <w:rFonts w:ascii="Calibri" w:cs="Calibri" w:eastAsia="Calibri" w:hAnsi="Calibri"/>
          <w:color w:val="64748B"/>
          <w:sz w:val="26"/>
          <w:szCs w:val="26"/>
        </w:rPr>
        <w:t xml:space="preserve">Materia:</w:t>
      </w:r>
    </w:p>
    <w:p>
      <w:pPr>
        <w:spacing w:after="360"/>
        <w:jc w:val="center"/>
      </w:pPr>
      <w:r>
        <w:rPr>
          <w:rFonts w:ascii="Calibri" w:cs="Calibri" w:eastAsia="Calibri" w:hAnsi="Calibri"/>
          <w:b/>
          <w:bCs/>
          <w:color w:val="14532D"/>
          <w:sz w:val="30"/>
          <w:szCs w:val="30"/>
        </w:rPr>
        <w:t xml:space="preserve">Comercio y Negocios Digitales</w:t>
      </w:r>
    </w:p>
    <w:p>
      <w:pPr>
        <w:spacing w:after="160"/>
        <w:jc w:val="center"/>
      </w:pPr>
      <w:r>
        <w:rPr>
          <w:rFonts w:ascii="Calibri" w:cs="Calibri" w:eastAsia="Calibri" w:hAnsi="Calibri"/>
          <w:color w:val="64748B"/>
          <w:sz w:val="26"/>
          <w:szCs w:val="26"/>
        </w:rPr>
        <w:t xml:space="preserve">Autor:</w:t>
      </w:r>
    </w:p>
    <w:p>
      <w:pPr>
        <w:spacing w:after="360"/>
        <w:jc w:val="center"/>
      </w:pPr>
      <w:r>
        <w:rPr>
          <w:rFonts w:ascii="Calibri" w:cs="Calibri" w:eastAsia="Calibri" w:hAnsi="Calibri"/>
          <w:b/>
          <w:bCs/>
          <w:color w:val="0F172A"/>
          <w:sz w:val="28"/>
          <w:szCs w:val="28"/>
        </w:rPr>
        <w:t xml:space="preserve">Sebastián Torres</w:t>
      </w:r>
    </w:p>
    <w:p>
      <w:pPr>
        <w:spacing w:after="160"/>
        <w:jc w:val="center"/>
      </w:pPr>
      <w:r>
        <w:rPr>
          <w:rFonts w:ascii="Calibri" w:cs="Calibri" w:eastAsia="Calibri" w:hAnsi="Calibri"/>
          <w:color w:val="64748B"/>
          <w:sz w:val="26"/>
          <w:szCs w:val="26"/>
        </w:rPr>
        <w:t xml:space="preserve">Institución:</w:t>
      </w:r>
    </w:p>
    <w:p>
      <w:pPr>
        <w:spacing w:after="360"/>
        <w:jc w:val="center"/>
      </w:pPr>
      <w:r>
        <w:rPr>
          <w:rFonts w:ascii="Calibri" w:cs="Calibri" w:eastAsia="Calibri" w:hAnsi="Calibri"/>
          <w:b/>
          <w:bCs/>
          <w:color w:val="0F172A"/>
          <w:sz w:val="28"/>
          <w:szCs w:val="28"/>
        </w:rPr>
        <w:t xml:space="preserve">SATM</w:t>
      </w:r>
    </w:p>
    <w:p>
      <w:pPr>
        <w:spacing w:after="200"/>
        <w:jc w:val="center"/>
      </w:pPr>
      <w:r>
        <w:rPr>
          <w:rFonts w:ascii="Calibri" w:cs="Calibri" w:eastAsia="Calibri" w:hAnsi="Calibri"/>
          <w:b/>
          <w:bCs/>
          <w:color w:val="15803D"/>
          <w:sz w:val="26"/>
          <w:szCs w:val="26"/>
        </w:rPr>
        <w:t xml:space="preserve">Mayo 2026</w:t>
      </w:r>
    </w:p>
    <w:p>
      <w:r>
        <w:br w:type="page"/>
      </w:r>
    </w:p>
    <w:p>
      <w:pPr>
        <w:sectPr>
          <w:pgSz w:w="12240" w:h="15840" w:orient="portrait"/>
          <w:pgMar w:top="1440" w:right="1440" w:bottom="1440" w:left="1440" w:header="708" w:footer="708" w:gutter="0"/>
          <w:pgNumType/>
          <w:docGrid w:linePitch="360"/>
        </w:sectPr>
      </w:pPr>
    </w:p>
    <w:p>
      <w:pPr>
        <w:spacing w:after="240" w:before="0"/>
        <w:jc w:val="left"/>
      </w:pPr>
      <w:r>
        <w:rPr>
          <w:rFonts w:ascii="Calibri" w:cs="Calibri" w:eastAsia="Calibri" w:hAnsi="Calibri"/>
          <w:b/>
          <w:bCs/>
          <w:color w:val="15803D"/>
          <w:sz w:val="36"/>
          <w:szCs w:val="36"/>
        </w:rPr>
        <w:t xml:space="preserve">Tabla de contenido</w:t>
      </w:r>
    </w:p>
    <w:p>
      <w:pPr>
        <w:tabs>
          <w:tab w:val="right" w:pos="9026"/>
        </w:tabs>
        <w:spacing w:after="100" w:line="276"/>
      </w:pPr>
      <w:r>
        <w:rPr>
          <w:rFonts w:ascii="Calibri" w:cs="Calibri" w:eastAsia="Calibri" w:hAnsi="Calibri"/>
          <w:b/>
          <w:bCs/>
          <w:color w:val="0F172A"/>
          <w:sz w:val="22"/>
          <w:szCs w:val="22"/>
        </w:rPr>
        <w:t xml:space="preserve">Resumen ejecutivo</w:t>
      </w:r>
      <w:r>
        <w:rPr>
          <w:rFonts w:ascii="Calibri" w:cs="Calibri" w:eastAsia="Calibri" w:hAnsi="Calibri"/>
          <w:color w:val="0F172A"/>
          <w:sz w:val="22"/>
          <w:szCs w:val="22"/>
        </w:rPr>
        <w:ptab w:alignment="right" w:relativeTo="margin" w:leader="dot"/>
        <w:t xml:space="preserve">3</w:t>
      </w:r>
    </w:p>
    <w:p>
      <w:pPr>
        <w:tabs>
          <w:tab w:val="right" w:pos="9026"/>
        </w:tabs>
        <w:spacing w:after="100" w:line="276"/>
      </w:pPr>
      <w:r>
        <w:rPr>
          <w:rFonts w:ascii="Calibri" w:cs="Calibri" w:eastAsia="Calibri" w:hAnsi="Calibri"/>
          <w:b/>
          <w:bCs/>
          <w:color w:val="0F172A"/>
          <w:sz w:val="22"/>
          <w:szCs w:val="22"/>
        </w:rPr>
        <w:t xml:space="preserve">Introducción</w:t>
      </w:r>
      <w:r>
        <w:rPr>
          <w:rFonts w:ascii="Calibri" w:cs="Calibri" w:eastAsia="Calibri" w:hAnsi="Calibri"/>
          <w:color w:val="0F172A"/>
          <w:sz w:val="22"/>
          <w:szCs w:val="22"/>
        </w:rPr>
        <w:ptab w:alignment="right" w:relativeTo="margin" w:leader="dot"/>
        <w:t xml:space="preserve">4</w:t>
      </w:r>
    </w:p>
    <w:p>
      <w:pPr>
        <w:tabs>
          <w:tab w:val="right" w:pos="9026"/>
        </w:tabs>
        <w:spacing w:after="100" w:line="276"/>
      </w:pPr>
      <w:r>
        <w:rPr>
          <w:rFonts w:ascii="Calibri" w:cs="Calibri" w:eastAsia="Calibri" w:hAnsi="Calibri"/>
          <w:b/>
          <w:bCs/>
          <w:color w:val="0F172A"/>
          <w:sz w:val="22"/>
          <w:szCs w:val="22"/>
        </w:rPr>
        <w:t xml:space="preserve">Capítulo 1. Descripción de la empresa</w:t>
      </w:r>
      <w:r>
        <w:rPr>
          <w:rFonts w:ascii="Calibri" w:cs="Calibri" w:eastAsia="Calibri" w:hAnsi="Calibri"/>
          <w:color w:val="0F172A"/>
          <w:sz w:val="22"/>
          <w:szCs w:val="22"/>
        </w:rPr>
        <w:ptab w:alignment="right" w:relativeTo="margin" w:leader="dot"/>
        <w:t xml:space="preserve">6</w:t>
      </w:r>
    </w:p>
    <w:p>
      <w:pPr>
        <w:tabs>
          <w:tab w:val="right" w:pos="9026"/>
        </w:tabs>
        <w:spacing w:after="100" w:line="276"/>
        <w:ind w:left="360"/>
      </w:pPr>
      <w:r>
        <w:rPr>
          <w:rFonts w:ascii="Calibri" w:cs="Calibri" w:eastAsia="Calibri" w:hAnsi="Calibri"/>
          <w:b w:val="false"/>
          <w:bCs w:val="false"/>
          <w:color w:val="0F172A"/>
          <w:sz w:val="22"/>
          <w:szCs w:val="22"/>
        </w:rPr>
        <w:t xml:space="preserve">1.1 Identidad corporativa</w:t>
      </w:r>
      <w:r>
        <w:rPr>
          <w:rFonts w:ascii="Calibri" w:cs="Calibri" w:eastAsia="Calibri" w:hAnsi="Calibri"/>
          <w:color w:val="0F172A"/>
          <w:sz w:val="22"/>
          <w:szCs w:val="22"/>
        </w:rPr>
        <w:ptab w:alignment="right" w:relativeTo="margin" w:leader="dot"/>
        <w:t xml:space="preserve">6</w:t>
      </w:r>
    </w:p>
    <w:p>
      <w:pPr>
        <w:tabs>
          <w:tab w:val="right" w:pos="9026"/>
        </w:tabs>
        <w:spacing w:after="100" w:line="276"/>
        <w:ind w:left="360"/>
      </w:pPr>
      <w:r>
        <w:rPr>
          <w:rFonts w:ascii="Calibri" w:cs="Calibri" w:eastAsia="Calibri" w:hAnsi="Calibri"/>
          <w:b w:val="false"/>
          <w:bCs w:val="false"/>
          <w:color w:val="0F172A"/>
          <w:sz w:val="22"/>
          <w:szCs w:val="22"/>
        </w:rPr>
        <w:t xml:space="preserve">1.2 Misión, visión y valores</w:t>
      </w:r>
      <w:r>
        <w:rPr>
          <w:rFonts w:ascii="Calibri" w:cs="Calibri" w:eastAsia="Calibri" w:hAnsi="Calibri"/>
          <w:color w:val="0F172A"/>
          <w:sz w:val="22"/>
          <w:szCs w:val="22"/>
        </w:rPr>
        <w:ptab w:alignment="right" w:relativeTo="margin" w:leader="dot"/>
        <w:t xml:space="preserve">6</w:t>
      </w:r>
    </w:p>
    <w:p>
      <w:pPr>
        <w:tabs>
          <w:tab w:val="right" w:pos="9026"/>
        </w:tabs>
        <w:spacing w:after="100" w:line="276"/>
        <w:ind w:left="360"/>
      </w:pPr>
      <w:r>
        <w:rPr>
          <w:rFonts w:ascii="Calibri" w:cs="Calibri" w:eastAsia="Calibri" w:hAnsi="Calibri"/>
          <w:b w:val="false"/>
          <w:bCs w:val="false"/>
          <w:color w:val="0F172A"/>
          <w:sz w:val="22"/>
          <w:szCs w:val="22"/>
        </w:rPr>
        <w:t xml:space="preserve">1.3 Equipo fundador</w:t>
      </w:r>
      <w:r>
        <w:rPr>
          <w:rFonts w:ascii="Calibri" w:cs="Calibri" w:eastAsia="Calibri" w:hAnsi="Calibri"/>
          <w:color w:val="0F172A"/>
          <w:sz w:val="22"/>
          <w:szCs w:val="22"/>
        </w:rPr>
        <w:ptab w:alignment="right" w:relativeTo="margin" w:leader="dot"/>
        <w:t xml:space="preserve">7</w:t>
      </w:r>
    </w:p>
    <w:p>
      <w:pPr>
        <w:tabs>
          <w:tab w:val="right" w:pos="9026"/>
        </w:tabs>
        <w:spacing w:after="100" w:line="276"/>
        <w:ind w:left="360"/>
      </w:pPr>
      <w:r>
        <w:rPr>
          <w:rFonts w:ascii="Calibri" w:cs="Calibri" w:eastAsia="Calibri" w:hAnsi="Calibri"/>
          <w:b w:val="false"/>
          <w:bCs w:val="false"/>
          <w:color w:val="0F172A"/>
          <w:sz w:val="22"/>
          <w:szCs w:val="22"/>
        </w:rPr>
        <w:t xml:space="preserve">1.4 Mercado objetivo y propuesta de valor</w:t>
      </w:r>
      <w:r>
        <w:rPr>
          <w:rFonts w:ascii="Calibri" w:cs="Calibri" w:eastAsia="Calibri" w:hAnsi="Calibri"/>
          <w:color w:val="0F172A"/>
          <w:sz w:val="22"/>
          <w:szCs w:val="22"/>
        </w:rPr>
        <w:ptab w:alignment="right" w:relativeTo="margin" w:leader="dot"/>
        <w:t xml:space="preserve">8</w:t>
      </w:r>
    </w:p>
    <w:p>
      <w:pPr>
        <w:tabs>
          <w:tab w:val="right" w:pos="9026"/>
        </w:tabs>
        <w:spacing w:after="100" w:line="276"/>
      </w:pPr>
      <w:r>
        <w:rPr>
          <w:rFonts w:ascii="Calibri" w:cs="Calibri" w:eastAsia="Calibri" w:hAnsi="Calibri"/>
          <w:b/>
          <w:bCs/>
          <w:color w:val="0F172A"/>
          <w:sz w:val="22"/>
          <w:szCs w:val="22"/>
        </w:rPr>
        <w:t xml:space="preserve">Capítulo 2. Problemática</w:t>
      </w:r>
      <w:r>
        <w:rPr>
          <w:rFonts w:ascii="Calibri" w:cs="Calibri" w:eastAsia="Calibri" w:hAnsi="Calibri"/>
          <w:color w:val="0F172A"/>
          <w:sz w:val="22"/>
          <w:szCs w:val="22"/>
        </w:rPr>
        <w:ptab w:alignment="right" w:relativeTo="margin" w:leader="dot"/>
        <w:t xml:space="preserve">9</w:t>
      </w:r>
    </w:p>
    <w:p>
      <w:pPr>
        <w:tabs>
          <w:tab w:val="right" w:pos="9026"/>
        </w:tabs>
        <w:spacing w:after="100" w:line="276"/>
        <w:ind w:left="360"/>
      </w:pPr>
      <w:r>
        <w:rPr>
          <w:rFonts w:ascii="Calibri" w:cs="Calibri" w:eastAsia="Calibri" w:hAnsi="Calibri"/>
          <w:b w:val="false"/>
          <w:bCs w:val="false"/>
          <w:color w:val="0F172A"/>
          <w:sz w:val="22"/>
          <w:szCs w:val="22"/>
        </w:rPr>
        <w:t xml:space="preserve">2.1 Contexto de las pérdidas post-cosecha</w:t>
      </w:r>
      <w:r>
        <w:rPr>
          <w:rFonts w:ascii="Calibri" w:cs="Calibri" w:eastAsia="Calibri" w:hAnsi="Calibri"/>
          <w:color w:val="0F172A"/>
          <w:sz w:val="22"/>
          <w:szCs w:val="22"/>
        </w:rPr>
        <w:ptab w:alignment="right" w:relativeTo="margin" w:leader="dot"/>
        <w:t xml:space="preserve">9</w:t>
      </w:r>
    </w:p>
    <w:p>
      <w:pPr>
        <w:tabs>
          <w:tab w:val="right" w:pos="9026"/>
        </w:tabs>
        <w:spacing w:after="100" w:line="276"/>
        <w:ind w:left="360"/>
      </w:pPr>
      <w:r>
        <w:rPr>
          <w:rFonts w:ascii="Calibri" w:cs="Calibri" w:eastAsia="Calibri" w:hAnsi="Calibri"/>
          <w:b w:val="false"/>
          <w:bCs w:val="false"/>
          <w:color w:val="0F172A"/>
          <w:sz w:val="22"/>
          <w:szCs w:val="22"/>
        </w:rPr>
        <w:t xml:space="preserve">2.2 Problemas tecnológicos identificados</w:t>
      </w:r>
      <w:r>
        <w:rPr>
          <w:rFonts w:ascii="Calibri" w:cs="Calibri" w:eastAsia="Calibri" w:hAnsi="Calibri"/>
          <w:color w:val="0F172A"/>
          <w:sz w:val="22"/>
          <w:szCs w:val="22"/>
        </w:rPr>
        <w:ptab w:alignment="right" w:relativeTo="margin" w:leader="dot"/>
        <w:t xml:space="preserve">10</w:t>
      </w:r>
    </w:p>
    <w:p>
      <w:pPr>
        <w:tabs>
          <w:tab w:val="right" w:pos="9026"/>
        </w:tabs>
        <w:spacing w:after="100" w:line="276"/>
        <w:ind w:left="360"/>
      </w:pPr>
      <w:r>
        <w:rPr>
          <w:rFonts w:ascii="Calibri" w:cs="Calibri" w:eastAsia="Calibri" w:hAnsi="Calibri"/>
          <w:b w:val="false"/>
          <w:bCs w:val="false"/>
          <w:color w:val="0F172A"/>
          <w:sz w:val="22"/>
          <w:szCs w:val="22"/>
        </w:rPr>
        <w:t xml:space="preserve">2.3 Causas raíz</w:t>
      </w:r>
      <w:r>
        <w:rPr>
          <w:rFonts w:ascii="Calibri" w:cs="Calibri" w:eastAsia="Calibri" w:hAnsi="Calibri"/>
          <w:color w:val="0F172A"/>
          <w:sz w:val="22"/>
          <w:szCs w:val="22"/>
        </w:rPr>
        <w:ptab w:alignment="right" w:relativeTo="margin" w:leader="dot"/>
        <w:t xml:space="preserve">11</w:t>
      </w:r>
    </w:p>
    <w:p>
      <w:pPr>
        <w:tabs>
          <w:tab w:val="right" w:pos="9026"/>
        </w:tabs>
        <w:spacing w:after="100" w:line="276"/>
        <w:ind w:left="360"/>
      </w:pPr>
      <w:r>
        <w:rPr>
          <w:rFonts w:ascii="Calibri" w:cs="Calibri" w:eastAsia="Calibri" w:hAnsi="Calibri"/>
          <w:b w:val="false"/>
          <w:bCs w:val="false"/>
          <w:color w:val="0F172A"/>
          <w:sz w:val="22"/>
          <w:szCs w:val="22"/>
        </w:rPr>
        <w:t xml:space="preserve">2.4 Impacto económico, social y ambiental</w:t>
      </w:r>
      <w:r>
        <w:rPr>
          <w:rFonts w:ascii="Calibri" w:cs="Calibri" w:eastAsia="Calibri" w:hAnsi="Calibri"/>
          <w:color w:val="0F172A"/>
          <w:sz w:val="22"/>
          <w:szCs w:val="22"/>
        </w:rPr>
        <w:ptab w:alignment="right" w:relativeTo="margin" w:leader="dot"/>
        <w:t xml:space="preserve">12</w:t>
      </w:r>
    </w:p>
    <w:p>
      <w:pPr>
        <w:tabs>
          <w:tab w:val="right" w:pos="9026"/>
        </w:tabs>
        <w:spacing w:after="100" w:line="276"/>
        <w:ind w:left="360"/>
      </w:pPr>
      <w:r>
        <w:rPr>
          <w:rFonts w:ascii="Calibri" w:cs="Calibri" w:eastAsia="Calibri" w:hAnsi="Calibri"/>
          <w:b w:val="false"/>
          <w:bCs w:val="false"/>
          <w:color w:val="0F172A"/>
          <w:sz w:val="22"/>
          <w:szCs w:val="22"/>
        </w:rPr>
        <w:t xml:space="preserve">2.5 Situación actual vs. situación deseada</w:t>
      </w:r>
      <w:r>
        <w:rPr>
          <w:rFonts w:ascii="Calibri" w:cs="Calibri" w:eastAsia="Calibri" w:hAnsi="Calibri"/>
          <w:color w:val="0F172A"/>
          <w:sz w:val="22"/>
          <w:szCs w:val="22"/>
        </w:rPr>
        <w:ptab w:alignment="right" w:relativeTo="margin" w:leader="dot"/>
        <w:t xml:space="preserve">12</w:t>
      </w:r>
    </w:p>
    <w:p>
      <w:pPr>
        <w:tabs>
          <w:tab w:val="right" w:pos="9026"/>
        </w:tabs>
        <w:spacing w:after="100" w:line="276"/>
      </w:pPr>
      <w:r>
        <w:rPr>
          <w:rFonts w:ascii="Calibri" w:cs="Calibri" w:eastAsia="Calibri" w:hAnsi="Calibri"/>
          <w:b/>
          <w:bCs/>
          <w:color w:val="0F172A"/>
          <w:sz w:val="22"/>
          <w:szCs w:val="22"/>
        </w:rPr>
        <w:t xml:space="preserve">Capítulo 3. Objetivos</w:t>
      </w:r>
      <w:r>
        <w:rPr>
          <w:rFonts w:ascii="Calibri" w:cs="Calibri" w:eastAsia="Calibri" w:hAnsi="Calibri"/>
          <w:color w:val="0F172A"/>
          <w:sz w:val="22"/>
          <w:szCs w:val="22"/>
        </w:rPr>
        <w:ptab w:alignment="right" w:relativeTo="margin" w:leader="dot"/>
        <w:t xml:space="preserve">13</w:t>
      </w:r>
    </w:p>
    <w:p>
      <w:pPr>
        <w:tabs>
          <w:tab w:val="right" w:pos="9026"/>
        </w:tabs>
        <w:spacing w:after="100" w:line="276"/>
        <w:ind w:left="360"/>
      </w:pPr>
      <w:r>
        <w:rPr>
          <w:rFonts w:ascii="Calibri" w:cs="Calibri" w:eastAsia="Calibri" w:hAnsi="Calibri"/>
          <w:b w:val="false"/>
          <w:bCs w:val="false"/>
          <w:color w:val="0F172A"/>
          <w:sz w:val="22"/>
          <w:szCs w:val="22"/>
        </w:rPr>
        <w:t xml:space="preserve">3.1 Objetivo general</w:t>
      </w:r>
      <w:r>
        <w:rPr>
          <w:rFonts w:ascii="Calibri" w:cs="Calibri" w:eastAsia="Calibri" w:hAnsi="Calibri"/>
          <w:color w:val="0F172A"/>
          <w:sz w:val="22"/>
          <w:szCs w:val="22"/>
        </w:rPr>
        <w:ptab w:alignment="right" w:relativeTo="margin" w:leader="dot"/>
        <w:t xml:space="preserve">13</w:t>
      </w:r>
    </w:p>
    <w:p>
      <w:pPr>
        <w:tabs>
          <w:tab w:val="right" w:pos="9026"/>
        </w:tabs>
        <w:spacing w:after="100" w:line="276"/>
        <w:ind w:left="360"/>
      </w:pPr>
      <w:r>
        <w:rPr>
          <w:rFonts w:ascii="Calibri" w:cs="Calibri" w:eastAsia="Calibri" w:hAnsi="Calibri"/>
          <w:b w:val="false"/>
          <w:bCs w:val="false"/>
          <w:color w:val="0F172A"/>
          <w:sz w:val="22"/>
          <w:szCs w:val="22"/>
        </w:rPr>
        <w:t xml:space="preserve">3.2 Objetivos específicos</w:t>
      </w:r>
      <w:r>
        <w:rPr>
          <w:rFonts w:ascii="Calibri" w:cs="Calibri" w:eastAsia="Calibri" w:hAnsi="Calibri"/>
          <w:color w:val="0F172A"/>
          <w:sz w:val="22"/>
          <w:szCs w:val="22"/>
        </w:rPr>
        <w:ptab w:alignment="right" w:relativeTo="margin" w:leader="dot"/>
        <w:t xml:space="preserve">13</w:t>
      </w:r>
    </w:p>
    <w:p>
      <w:pPr>
        <w:tabs>
          <w:tab w:val="right" w:pos="9026"/>
        </w:tabs>
        <w:spacing w:after="100" w:line="276"/>
        <w:ind w:left="360"/>
      </w:pPr>
      <w:r>
        <w:rPr>
          <w:rFonts w:ascii="Calibri" w:cs="Calibri" w:eastAsia="Calibri" w:hAnsi="Calibri"/>
          <w:b w:val="false"/>
          <w:bCs w:val="false"/>
          <w:color w:val="0F172A"/>
          <w:sz w:val="22"/>
          <w:szCs w:val="22"/>
        </w:rPr>
        <w:t xml:space="preserve">3.3 Alcance y limitaciones</w:t>
      </w:r>
      <w:r>
        <w:rPr>
          <w:rFonts w:ascii="Calibri" w:cs="Calibri" w:eastAsia="Calibri" w:hAnsi="Calibri"/>
          <w:color w:val="0F172A"/>
          <w:sz w:val="22"/>
          <w:szCs w:val="22"/>
        </w:rPr>
        <w:ptab w:alignment="right" w:relativeTo="margin" w:leader="dot"/>
        <w:t xml:space="preserve">14</w:t>
      </w:r>
    </w:p>
    <w:p>
      <w:pPr>
        <w:tabs>
          <w:tab w:val="right" w:pos="9026"/>
        </w:tabs>
        <w:spacing w:after="100" w:line="276"/>
      </w:pPr>
      <w:r>
        <w:rPr>
          <w:rFonts w:ascii="Calibri" w:cs="Calibri" w:eastAsia="Calibri" w:hAnsi="Calibri"/>
          <w:b/>
          <w:bCs/>
          <w:color w:val="0F172A"/>
          <w:sz w:val="22"/>
          <w:szCs w:val="22"/>
        </w:rPr>
        <w:t xml:space="preserve">Capítulo 4. Marco teórico</w:t>
      </w:r>
      <w:r>
        <w:rPr>
          <w:rFonts w:ascii="Calibri" w:cs="Calibri" w:eastAsia="Calibri" w:hAnsi="Calibri"/>
          <w:color w:val="0F172A"/>
          <w:sz w:val="22"/>
          <w:szCs w:val="22"/>
        </w:rPr>
        <w:ptab w:alignment="right" w:relativeTo="margin" w:leader="dot"/>
        <w:t xml:space="preserve">15</w:t>
      </w:r>
    </w:p>
    <w:p>
      <w:pPr>
        <w:tabs>
          <w:tab w:val="right" w:pos="9026"/>
        </w:tabs>
        <w:spacing w:after="100" w:line="276"/>
        <w:ind w:left="360"/>
      </w:pPr>
      <w:r>
        <w:rPr>
          <w:rFonts w:ascii="Calibri" w:cs="Calibri" w:eastAsia="Calibri" w:hAnsi="Calibri"/>
          <w:b w:val="false"/>
          <w:bCs w:val="false"/>
          <w:color w:val="0F172A"/>
          <w:sz w:val="22"/>
          <w:szCs w:val="22"/>
        </w:rPr>
        <w:t xml:space="preserve">4.1 Comercio electrónico vs. E-business</w:t>
      </w:r>
      <w:r>
        <w:rPr>
          <w:rFonts w:ascii="Calibri" w:cs="Calibri" w:eastAsia="Calibri" w:hAnsi="Calibri"/>
          <w:color w:val="0F172A"/>
          <w:sz w:val="22"/>
          <w:szCs w:val="22"/>
        </w:rPr>
        <w:ptab w:alignment="right" w:relativeTo="margin" w:leader="dot"/>
        <w:t xml:space="preserve">15</w:t>
      </w:r>
    </w:p>
    <w:p>
      <w:pPr>
        <w:tabs>
          <w:tab w:val="right" w:pos="9026"/>
        </w:tabs>
        <w:spacing w:after="100" w:line="276"/>
        <w:ind w:left="360"/>
      </w:pPr>
      <w:r>
        <w:rPr>
          <w:rFonts w:ascii="Calibri" w:cs="Calibri" w:eastAsia="Calibri" w:hAnsi="Calibri"/>
          <w:b w:val="false"/>
          <w:bCs w:val="false"/>
          <w:color w:val="0F172A"/>
          <w:sz w:val="22"/>
          <w:szCs w:val="22"/>
        </w:rPr>
        <w:t xml:space="preserve">4.2 Modelos de negocio digital</w:t>
      </w:r>
      <w:r>
        <w:rPr>
          <w:rFonts w:ascii="Calibri" w:cs="Calibri" w:eastAsia="Calibri" w:hAnsi="Calibri"/>
          <w:color w:val="0F172A"/>
          <w:sz w:val="22"/>
          <w:szCs w:val="22"/>
        </w:rPr>
        <w:ptab w:alignment="right" w:relativeTo="margin" w:leader="dot"/>
        <w:t xml:space="preserve">16</w:t>
      </w:r>
    </w:p>
    <w:p>
      <w:pPr>
        <w:tabs>
          <w:tab w:val="right" w:pos="9026"/>
        </w:tabs>
        <w:spacing w:after="100" w:line="276"/>
        <w:ind w:left="360"/>
      </w:pPr>
      <w:r>
        <w:rPr>
          <w:rFonts w:ascii="Calibri" w:cs="Calibri" w:eastAsia="Calibri" w:hAnsi="Calibri"/>
          <w:b w:val="false"/>
          <w:bCs w:val="false"/>
          <w:color w:val="0F172A"/>
          <w:sz w:val="22"/>
          <w:szCs w:val="22"/>
        </w:rPr>
        <w:t xml:space="preserve">4.3 Internet de las Cosas aplicado al agro</w:t>
      </w:r>
      <w:r>
        <w:rPr>
          <w:rFonts w:ascii="Calibri" w:cs="Calibri" w:eastAsia="Calibri" w:hAnsi="Calibri"/>
          <w:color w:val="0F172A"/>
          <w:sz w:val="22"/>
          <w:szCs w:val="22"/>
        </w:rPr>
        <w:ptab w:alignment="right" w:relativeTo="margin" w:leader="dot"/>
        <w:t xml:space="preserve">17</w:t>
      </w:r>
    </w:p>
    <w:p>
      <w:pPr>
        <w:tabs>
          <w:tab w:val="right" w:pos="9026"/>
        </w:tabs>
        <w:spacing w:after="100" w:line="276"/>
        <w:ind w:left="360"/>
      </w:pPr>
      <w:r>
        <w:rPr>
          <w:rFonts w:ascii="Calibri" w:cs="Calibri" w:eastAsia="Calibri" w:hAnsi="Calibri"/>
          <w:b w:val="false"/>
          <w:bCs w:val="false"/>
          <w:color w:val="0F172A"/>
          <w:sz w:val="22"/>
          <w:szCs w:val="22"/>
        </w:rPr>
        <w:t xml:space="preserve">4.4 Machine Learning para pronóstico de demanda</w:t>
      </w:r>
      <w:r>
        <w:rPr>
          <w:rFonts w:ascii="Calibri" w:cs="Calibri" w:eastAsia="Calibri" w:hAnsi="Calibri"/>
          <w:color w:val="0F172A"/>
          <w:sz w:val="22"/>
          <w:szCs w:val="22"/>
        </w:rPr>
        <w:ptab w:alignment="right" w:relativeTo="margin" w:leader="dot"/>
        <w:t xml:space="preserve">18</w:t>
      </w:r>
    </w:p>
    <w:p>
      <w:pPr>
        <w:tabs>
          <w:tab w:val="right" w:pos="9026"/>
        </w:tabs>
        <w:spacing w:after="100" w:line="276"/>
        <w:ind w:left="360"/>
      </w:pPr>
      <w:r>
        <w:rPr>
          <w:rFonts w:ascii="Calibri" w:cs="Calibri" w:eastAsia="Calibri" w:hAnsi="Calibri"/>
          <w:b w:val="false"/>
          <w:bCs w:val="false"/>
          <w:color w:val="0F172A"/>
          <w:sz w:val="22"/>
          <w:szCs w:val="22"/>
        </w:rPr>
        <w:t xml:space="preserve">4.5 Cadena de frío y trazabilidad digital</w:t>
      </w:r>
      <w:r>
        <w:rPr>
          <w:rFonts w:ascii="Calibri" w:cs="Calibri" w:eastAsia="Calibri" w:hAnsi="Calibri"/>
          <w:color w:val="0F172A"/>
          <w:sz w:val="22"/>
          <w:szCs w:val="22"/>
        </w:rPr>
        <w:ptab w:alignment="right" w:relativeTo="margin" w:leader="dot"/>
        <w:t xml:space="preserve">18</w:t>
      </w:r>
    </w:p>
    <w:p>
      <w:pPr>
        <w:tabs>
          <w:tab w:val="right" w:pos="9026"/>
        </w:tabs>
        <w:spacing w:after="100" w:line="276"/>
      </w:pPr>
      <w:r>
        <w:rPr>
          <w:rFonts w:ascii="Calibri" w:cs="Calibri" w:eastAsia="Calibri" w:hAnsi="Calibri"/>
          <w:b/>
          <w:bCs/>
          <w:color w:val="0F172A"/>
          <w:sz w:val="22"/>
          <w:szCs w:val="22"/>
        </w:rPr>
        <w:t xml:space="preserve">Capítulo 5. Modelo de negocio</w:t>
      </w:r>
      <w:r>
        <w:rPr>
          <w:rFonts w:ascii="Calibri" w:cs="Calibri" w:eastAsia="Calibri" w:hAnsi="Calibri"/>
          <w:color w:val="0F172A"/>
          <w:sz w:val="22"/>
          <w:szCs w:val="22"/>
        </w:rPr>
        <w:ptab w:alignment="right" w:relativeTo="margin" w:leader="dot"/>
        <w:t xml:space="preserve">19</w:t>
      </w:r>
    </w:p>
    <w:p>
      <w:pPr>
        <w:tabs>
          <w:tab w:val="right" w:pos="9026"/>
        </w:tabs>
        <w:spacing w:after="100" w:line="276"/>
      </w:pPr>
      <w:r>
        <w:rPr>
          <w:rFonts w:ascii="Calibri" w:cs="Calibri" w:eastAsia="Calibri" w:hAnsi="Calibri"/>
          <w:b/>
          <w:bCs/>
          <w:color w:val="0F172A"/>
          <w:sz w:val="22"/>
          <w:szCs w:val="22"/>
        </w:rPr>
        <w:t xml:space="preserve">Capítulo 6. Propuesta tecnológica</w:t>
      </w:r>
      <w:r>
        <w:rPr>
          <w:rFonts w:ascii="Calibri" w:cs="Calibri" w:eastAsia="Calibri" w:hAnsi="Calibri"/>
          <w:color w:val="0F172A"/>
          <w:sz w:val="22"/>
          <w:szCs w:val="22"/>
        </w:rPr>
        <w:ptab w:alignment="right" w:relativeTo="margin" w:leader="dot"/>
        <w:t xml:space="preserve">22</w:t>
      </w:r>
    </w:p>
    <w:p>
      <w:pPr>
        <w:tabs>
          <w:tab w:val="right" w:pos="9026"/>
        </w:tabs>
        <w:spacing w:after="100" w:line="276"/>
      </w:pPr>
      <w:r>
        <w:rPr>
          <w:rFonts w:ascii="Calibri" w:cs="Calibri" w:eastAsia="Calibri" w:hAnsi="Calibri"/>
          <w:b/>
          <w:bCs/>
          <w:color w:val="0F172A"/>
          <w:sz w:val="22"/>
          <w:szCs w:val="22"/>
        </w:rPr>
        <w:t xml:space="preserve">Capítulo 7. Diseño del sitio web</w:t>
      </w:r>
      <w:r>
        <w:rPr>
          <w:rFonts w:ascii="Calibri" w:cs="Calibri" w:eastAsia="Calibri" w:hAnsi="Calibri"/>
          <w:color w:val="0F172A"/>
          <w:sz w:val="22"/>
          <w:szCs w:val="22"/>
        </w:rPr>
        <w:ptab w:alignment="right" w:relativeTo="margin" w:leader="dot"/>
        <w:t xml:space="preserve">27</w:t>
      </w:r>
    </w:p>
    <w:p>
      <w:pPr>
        <w:tabs>
          <w:tab w:val="right" w:pos="9026"/>
        </w:tabs>
        <w:spacing w:after="100" w:line="276"/>
      </w:pPr>
      <w:r>
        <w:rPr>
          <w:rFonts w:ascii="Calibri" w:cs="Calibri" w:eastAsia="Calibri" w:hAnsi="Calibri"/>
          <w:b/>
          <w:bCs/>
          <w:color w:val="0F172A"/>
          <w:sz w:val="22"/>
          <w:szCs w:val="22"/>
        </w:rPr>
        <w:t xml:space="preserve">Capítulo 8. Funcionalidades del E-business</w:t>
      </w:r>
      <w:r>
        <w:rPr>
          <w:rFonts w:ascii="Calibri" w:cs="Calibri" w:eastAsia="Calibri" w:hAnsi="Calibri"/>
          <w:color w:val="0F172A"/>
          <w:sz w:val="22"/>
          <w:szCs w:val="22"/>
        </w:rPr>
        <w:ptab w:alignment="right" w:relativeTo="margin" w:leader="dot"/>
        <w:t xml:space="preserve">30</w:t>
      </w:r>
    </w:p>
    <w:p>
      <w:pPr>
        <w:tabs>
          <w:tab w:val="right" w:pos="9026"/>
        </w:tabs>
        <w:spacing w:after="100" w:line="276"/>
      </w:pPr>
      <w:r>
        <w:rPr>
          <w:rFonts w:ascii="Calibri" w:cs="Calibri" w:eastAsia="Calibri" w:hAnsi="Calibri"/>
          <w:b/>
          <w:bCs/>
          <w:color w:val="0F172A"/>
          <w:sz w:val="22"/>
          <w:szCs w:val="22"/>
        </w:rPr>
        <w:t xml:space="preserve">Capítulo 9. Resultados e impacto esperado</w:t>
      </w:r>
      <w:r>
        <w:rPr>
          <w:rFonts w:ascii="Calibri" w:cs="Calibri" w:eastAsia="Calibri" w:hAnsi="Calibri"/>
          <w:color w:val="0F172A"/>
          <w:sz w:val="22"/>
          <w:szCs w:val="22"/>
        </w:rPr>
        <w:ptab w:alignment="right" w:relativeTo="margin" w:leader="dot"/>
        <w:t xml:space="preserve">31</w:t>
      </w:r>
    </w:p>
    <w:p>
      <w:pPr>
        <w:tabs>
          <w:tab w:val="right" w:pos="9026"/>
        </w:tabs>
        <w:spacing w:after="100" w:line="276"/>
      </w:pPr>
      <w:r>
        <w:rPr>
          <w:rFonts w:ascii="Calibri" w:cs="Calibri" w:eastAsia="Calibri" w:hAnsi="Calibri"/>
          <w:b/>
          <w:bCs/>
          <w:color w:val="0F172A"/>
          <w:sz w:val="22"/>
          <w:szCs w:val="22"/>
        </w:rPr>
        <w:t xml:space="preserve">Conclusiones</w:t>
      </w:r>
      <w:r>
        <w:rPr>
          <w:rFonts w:ascii="Calibri" w:cs="Calibri" w:eastAsia="Calibri" w:hAnsi="Calibri"/>
          <w:color w:val="0F172A"/>
          <w:sz w:val="22"/>
          <w:szCs w:val="22"/>
        </w:rPr>
        <w:ptab w:alignment="right" w:relativeTo="margin" w:leader="dot"/>
        <w:t xml:space="preserve">32</w:t>
      </w:r>
    </w:p>
    <w:p>
      <w:pPr>
        <w:tabs>
          <w:tab w:val="right" w:pos="9026"/>
        </w:tabs>
        <w:spacing w:after="100" w:line="276"/>
      </w:pPr>
      <w:r>
        <w:rPr>
          <w:rFonts w:ascii="Calibri" w:cs="Calibri" w:eastAsia="Calibri" w:hAnsi="Calibri"/>
          <w:b/>
          <w:bCs/>
          <w:color w:val="0F172A"/>
          <w:sz w:val="22"/>
          <w:szCs w:val="22"/>
        </w:rPr>
        <w:t xml:space="preserve">Recomendaciones para trabajo futuro</w:t>
      </w:r>
      <w:r>
        <w:rPr>
          <w:rFonts w:ascii="Calibri" w:cs="Calibri" w:eastAsia="Calibri" w:hAnsi="Calibri"/>
          <w:color w:val="0F172A"/>
          <w:sz w:val="22"/>
          <w:szCs w:val="22"/>
        </w:rPr>
        <w:ptab w:alignment="right" w:relativeTo="margin" w:leader="dot"/>
        <w:t xml:space="preserve">33</w:t>
      </w:r>
    </w:p>
    <w:p>
      <w:pPr>
        <w:tabs>
          <w:tab w:val="right" w:pos="9026"/>
        </w:tabs>
        <w:spacing w:after="100" w:line="276"/>
      </w:pPr>
      <w:r>
        <w:rPr>
          <w:rFonts w:ascii="Calibri" w:cs="Calibri" w:eastAsia="Calibri" w:hAnsi="Calibri"/>
          <w:b/>
          <w:bCs/>
          <w:color w:val="0F172A"/>
          <w:sz w:val="22"/>
          <w:szCs w:val="22"/>
        </w:rPr>
        <w:t xml:space="preserve">Referencias bibliográficas</w:t>
      </w:r>
      <w:r>
        <w:rPr>
          <w:rFonts w:ascii="Calibri" w:cs="Calibri" w:eastAsia="Calibri" w:hAnsi="Calibri"/>
          <w:color w:val="0F172A"/>
          <w:sz w:val="22"/>
          <w:szCs w:val="22"/>
        </w:rPr>
        <w:ptab w:alignment="right" w:relativeTo="margin" w:leader="dot"/>
        <w:t xml:space="preserve">34</w:t>
      </w:r>
    </w:p>
    <w:p>
      <w:r>
        <w:br w:type="page"/>
      </w:r>
    </w:p>
    <w:p>
      <w:pPr>
        <w:pStyle w:val="Heading1"/>
        <w:spacing w:after="240" w:before="360" w:line="276"/>
      </w:pPr>
      <w:r>
        <w:rPr>
          <w:rFonts w:ascii="Calibri" w:cs="Calibri" w:eastAsia="Calibri" w:hAnsi="Calibri"/>
          <w:b/>
          <w:bCs/>
          <w:color w:val="15803D"/>
          <w:sz w:val="36"/>
          <w:szCs w:val="36"/>
        </w:rPr>
        <w:t xml:space="preserve">Resumen ejecutivo</w:t>
      </w:r>
    </w:p>
    <w:p>
      <w:pPr>
        <w:spacing w:after="120" w:before="0" w:line="276"/>
        <w:jc w:val="both"/>
      </w:pPr>
      <w:r>
        <w:rPr>
          <w:rFonts w:ascii="Calibri" w:cs="Calibri" w:eastAsia="Calibri" w:hAnsi="Calibri"/>
          <w:b w:val="false"/>
          <w:bCs w:val="false"/>
          <w:i w:val="false"/>
          <w:iCs w:val="false"/>
          <w:color w:val="0F172A"/>
          <w:sz w:val="22"/>
          <w:szCs w:val="22"/>
        </w:rPr>
        <w:t xml:space="preserve">AgroPulse es una propuesta de plataforma E-business diseñada para enfrentar uno de los problemas estructurales más persistentes de la cadena agroalimentaria latinoamericana: la pérdida de productos perecederos entre la cosecha y el consumidor final. De acuerdo con la FAO (2023), entre el 30 % y el 40 % de la producción agrícola en países en desarrollo se pierde antes de llegar al consumidor, lo que para México representa más de 20 millones de toneladas anuales y un costo económico cercano a los 491 mil millones de pesos (SADER, 2024). Esta cifra no solo evidencia una falla de mercado y de infraestructura, sino también un desperdicio ambiental que genera emisiones de gases de efecto invernadero comparables con las del sector del transporte aéreo.</w:t>
      </w:r>
    </w:p>
    <w:p>
      <w:pPr>
        <w:spacing w:after="120" w:before="0" w:line="276"/>
        <w:jc w:val="both"/>
      </w:pPr>
      <w:r>
        <w:rPr>
          <w:rFonts w:ascii="Calibri" w:cs="Calibri" w:eastAsia="Calibri" w:hAnsi="Calibri"/>
          <w:b w:val="false"/>
          <w:bCs w:val="false"/>
          <w:i w:val="false"/>
          <w:iCs w:val="false"/>
          <w:color w:val="0F172A"/>
          <w:sz w:val="22"/>
          <w:szCs w:val="22"/>
        </w:rPr>
        <w:t xml:space="preserve">La presente investigación propone, conceptualiza, diseña e implementa un prototipo funcional de una plataforma E-business denominada AgroPulse que integra tres componentes tecnológicos centrales: un marketplace B2B que conecta directamente a productores con compradores institucionales (supermercados, restaurantes y agroindustrias), un módulo de monitoreo en tiempo real basado en Internet de las Cosas (IoT) que vigila variables críticas como temperatura, humedad y vida útil restante de los lotes, y un motor de analítica predictiva basado en aprendizaje automático que pronostica la demanda regional para reducir cosechas excedentes y faltantes.</w:t>
      </w:r>
    </w:p>
    <w:p>
      <w:pPr>
        <w:spacing w:after="120" w:before="0" w:line="276"/>
        <w:jc w:val="both"/>
      </w:pPr>
      <w:r>
        <w:rPr>
          <w:rFonts w:ascii="Calibri" w:cs="Calibri" w:eastAsia="Calibri" w:hAnsi="Calibri"/>
          <w:b w:val="false"/>
          <w:bCs w:val="false"/>
          <w:i w:val="false"/>
          <w:iCs w:val="false"/>
          <w:color w:val="0F172A"/>
          <w:sz w:val="22"/>
          <w:szCs w:val="22"/>
        </w:rPr>
        <w:t xml:space="preserve">El modelo de negocio combina cuatro fuentes de ingreso: una comisión del 4 % sobre las transacciones realizadas en el marketplace, una suscripción mensual SaaS para el uso de los sensores y la plataforma analítica (con tres planes: Básico a $1,490 MXN, Pro a $3,990 MXN y Enterprise a cotizar), servicios logísticos integrados de cadena de frío y servicios premium de consultoría y certificación digital. Las proyecciones financieras indican un GMV anual de USD 12 millones en el año 1 y de USD 80 millones en el año 3, junto con la incorporación de 500 productores en el primer año y 5,000 al tercero.</w:t>
      </w:r>
    </w:p>
    <w:p>
      <w:pPr>
        <w:spacing w:after="120" w:before="0" w:line="276"/>
        <w:jc w:val="both"/>
      </w:pPr>
      <w:r>
        <w:rPr>
          <w:rFonts w:ascii="Calibri" w:cs="Calibri" w:eastAsia="Calibri" w:hAnsi="Calibri"/>
          <w:b w:val="false"/>
          <w:bCs w:val="false"/>
          <w:i w:val="false"/>
          <w:iCs w:val="false"/>
          <w:color w:val="0F172A"/>
          <w:sz w:val="22"/>
          <w:szCs w:val="22"/>
        </w:rPr>
        <w:t xml:space="preserve">Los resultados esperados de la implementación de AgroPulse son ambiciosos pero verificables: una reducción del 30 % de las mermas post-cosecha en el primer año de operación, un incremento del 25 % en el margen percibido por los productores al eliminar intermediarios coyotes, y una mejora medible en la trazabilidad y confianza del consumidor final mediante códigos QR públicos por lote. Adicionalmente, el proyecto contribuye directamente al cumplimiento de los Objetivos de Desarrollo Sostenible 2 (Hambre Cero), 12 (Producción y Consumo Responsables) y 13 (Acción por el Clima), posicionando a la empresa como un actor de impacto socioambiental dentro del ecosistema AgriTech regional.</w:t>
      </w:r>
    </w:p>
    <w:p>
      <w:pPr>
        <w:spacing w:after="120" w:before="0" w:line="276"/>
        <w:jc w:val="both"/>
      </w:pPr>
      <w:r>
        <w:rPr>
          <w:rFonts w:ascii="Calibri" w:cs="Calibri" w:eastAsia="Calibri" w:hAnsi="Calibri"/>
          <w:b w:val="false"/>
          <w:bCs w:val="false"/>
          <w:i w:val="false"/>
          <w:iCs w:val="false"/>
          <w:color w:val="0F172A"/>
          <w:sz w:val="22"/>
          <w:szCs w:val="22"/>
        </w:rPr>
        <w:t xml:space="preserve">Este documento expone, a lo largo de nueve capítulos, los fundamentos teóricos, comerciales, financieros y tecnológicos del proyecto, así como la arquitectura del sitio web prototipo desarrollado con Next.js 16, TypeScript y Tailwind CSS 4, desplegado en Vercel y disponible para evaluación pública. Se concluye con un análisis de impacto esperado, conclusiones académicas y recomendaciones para el trabajo futuro orientadas a la escalabilidad regional de la plataforma.</w:t>
      </w:r>
    </w:p>
    <w:p>
      <w:pPr>
        <w:pStyle w:val="Heading1"/>
        <w:pageBreakBefore/>
        <w:spacing w:after="240" w:before="360" w:line="276"/>
      </w:pPr>
      <w:r>
        <w:rPr>
          <w:rFonts w:ascii="Calibri" w:cs="Calibri" w:eastAsia="Calibri" w:hAnsi="Calibri"/>
          <w:b/>
          <w:bCs/>
          <w:color w:val="15803D"/>
          <w:sz w:val="36"/>
          <w:szCs w:val="36"/>
        </w:rPr>
        <w:t xml:space="preserve">Introducción</w:t>
      </w:r>
    </w:p>
    <w:p>
      <w:pPr>
        <w:spacing w:after="120" w:before="0" w:line="276"/>
        <w:jc w:val="both"/>
      </w:pPr>
      <w:r>
        <w:rPr>
          <w:rFonts w:ascii="Calibri" w:cs="Calibri" w:eastAsia="Calibri" w:hAnsi="Calibri"/>
          <w:b w:val="false"/>
          <w:bCs w:val="false"/>
          <w:i w:val="false"/>
          <w:iCs w:val="false"/>
          <w:color w:val="0F172A"/>
          <w:sz w:val="22"/>
          <w:szCs w:val="22"/>
        </w:rPr>
        <w:t xml:space="preserve">La transformación digital del sector agroalimentario, conocida en la literatura especializada como Agricultura 4.0, representa uno de los frentes con mayor potencial de impacto económico y social para América Latina en la próxima década (McKinsey, 2023). El sector agrícola latinoamericano contribuye con cerca del 5 % del PIB regional, emplea directa o indirectamente a más de 50 millones de personas y es responsable del abastecimiento alimentario de más de 650 millones de habitantes en la región. Sin embargo, la digitalización de esta cadena productiva permanece muy por debajo de los estándares observados en sectores como la banca, el comercio minorista o el entretenimiento, lo que abre una ventana de oportunidad para emprendimientos AgriTech que puedan resolver problemas estructurales mediante el uso de tecnologías emergentes.</w:t>
      </w:r>
    </w:p>
    <w:p>
      <w:pPr>
        <w:spacing w:after="120" w:before="0" w:line="276"/>
        <w:jc w:val="both"/>
      </w:pPr>
      <w:r>
        <w:rPr>
          <w:rFonts w:ascii="Calibri" w:cs="Calibri" w:eastAsia="Calibri" w:hAnsi="Calibri"/>
          <w:b w:val="false"/>
          <w:bCs w:val="false"/>
          <w:i w:val="false"/>
          <w:iCs w:val="false"/>
          <w:color w:val="0F172A"/>
          <w:sz w:val="22"/>
          <w:szCs w:val="22"/>
        </w:rPr>
        <w:t xml:space="preserve">El comercio electrónico ha demostrado ser una herramienta poderosa para reducir asimetrías de información, ampliar mercados accesibles y disminuir los costos de transacción, particularmente en sectores tradicionalmente dependientes de intermediarios. No obstante, la mayoría de las plataformas digitales en operación en América Latina se han orientado al retail de productos durables o al consumo de servicios digitales, dejando un vacío significativo en el segmento de productos perecederos. Esta omisión resulta especialmente costosa porque, a diferencia del retail tradicional, en el sector de perecederos cada hora de retraso, cada interrupción de la cadena de frío y cada error de pronóstico se traduce directamente en producto perdido.</w:t>
      </w:r>
    </w:p>
    <w:p>
      <w:pPr>
        <w:spacing w:after="120" w:before="0" w:line="276"/>
        <w:jc w:val="both"/>
      </w:pPr>
      <w:r>
        <w:rPr>
          <w:rFonts w:ascii="Calibri" w:cs="Calibri" w:eastAsia="Calibri" w:hAnsi="Calibri"/>
          <w:b w:val="false"/>
          <w:bCs w:val="false"/>
          <w:i w:val="false"/>
          <w:iCs w:val="false"/>
          <w:color w:val="0F172A"/>
          <w:sz w:val="22"/>
          <w:szCs w:val="22"/>
        </w:rPr>
        <w:t xml:space="preserve">El presente proyecto académico, desarrollado en el marco de la materia de Comercio y Negocios Digitales, parte del reconocimiento de esa brecha y propone una solución integral que combina el comercio electrónico (E-commerce) con la dimensión más amplia del negocio electrónico (E-business). Mientras que el E-commerce se circunscribe a la transacción digital de productos y servicios, el E-business engloba la digitalización de todos los procesos de la cadena de valor: adquisición, producción, logística, comercialización y posventa (Laudon y Traver, 2023). AgroPulse se sitúa deliberadamente en este segundo marco conceptual porque su objetivo no se limita a vender productos en línea, sino a transformar de raíz la forma en que se producen, transportan, comercializan y consumen los alimentos perecederos.</w:t>
      </w:r>
    </w:p>
    <w:p>
      <w:pPr>
        <w:spacing w:after="120" w:before="0" w:line="276"/>
        <w:jc w:val="both"/>
      </w:pPr>
      <w:r>
        <w:rPr>
          <w:rFonts w:ascii="Calibri" w:cs="Calibri" w:eastAsia="Calibri" w:hAnsi="Calibri"/>
          <w:b w:val="false"/>
          <w:bCs w:val="false"/>
          <w:i w:val="false"/>
          <w:iCs w:val="false"/>
          <w:color w:val="0F172A"/>
          <w:sz w:val="22"/>
          <w:szCs w:val="22"/>
        </w:rPr>
        <w:t xml:space="preserve">La justificación de este proyecto se sostiene en tres pilares. En primer lugar, un pilar económico: las pérdidas post-cosecha cuestan al agro mexicano más de 491 mil millones de pesos anuales (SADER, 2024), recursos que podrían reinvertirse en infraestructura, salarios y modernización si se logra capturar siquiera una fracción de ese valor desperdiciado. En segundo lugar, un pilar social: la reducción de mermas se traduce en mayor disponibilidad y menor precio de los alimentos, beneficiando directamente a los segmentos de menores ingresos para los cuales la inflación alimentaria representa una proporción mayor de su gasto mensual. En tercer lugar, un pilar ambiental: una tonelada de alimento desperdiciado equivale aproximadamente a 2.5 toneladas de CO₂ equivalente liberadas a la atmósfera (Banco Mundial, 2024), lo que convierte la reducción de mermas en una de las palancas climáticas más rentables y escalables disponibles.</w:t>
      </w:r>
    </w:p>
    <w:p>
      <w:pPr>
        <w:spacing w:after="120" w:before="0" w:line="276"/>
        <w:jc w:val="both"/>
      </w:pPr>
      <w:r>
        <w:rPr>
          <w:rFonts w:ascii="Calibri" w:cs="Calibri" w:eastAsia="Calibri" w:hAnsi="Calibri"/>
          <w:b w:val="false"/>
          <w:bCs w:val="false"/>
          <w:i w:val="false"/>
          <w:iCs w:val="false"/>
          <w:color w:val="0F172A"/>
          <w:sz w:val="22"/>
          <w:szCs w:val="22"/>
        </w:rPr>
        <w:t xml:space="preserve">La metodología seguida durante el desarrollo del proyecto comprendió cuatro fases. La primera fase consistió en la investigación documental sobre el estado del arte de la AgriTech, las pérdidas post-cosecha y los modelos de E-business aplicables al sector. La segunda fase implicó el diseño conceptual del modelo de negocio, incluyendo el lienzo Canvas, la propuesta de valor diferenciada por segmento y la estructura de planes SaaS. La tercera fase abordó la arquitectura técnica y el diseño visual del sitio web prototipo, considerando criterios de usabilidad, accesibilidad y desempeño. Finalmente, la cuarta fase contempló la implementación de un prototipo funcional desplegado públicamente en la plataforma Vercel, así como la redacción del presente documento de soporte académico.</w:t>
      </w:r>
    </w:p>
    <w:p>
      <w:pPr>
        <w:spacing w:after="120" w:before="0" w:line="276"/>
        <w:jc w:val="both"/>
      </w:pPr>
      <w:r>
        <w:rPr>
          <w:rFonts w:ascii="Calibri" w:cs="Calibri" w:eastAsia="Calibri" w:hAnsi="Calibri"/>
          <w:b w:val="false"/>
          <w:bCs w:val="false"/>
          <w:i w:val="false"/>
          <w:iCs w:val="false"/>
          <w:color w:val="0F172A"/>
          <w:sz w:val="22"/>
          <w:szCs w:val="22"/>
        </w:rPr>
        <w:t xml:space="preserve">El documento se estructura en nueve capítulos. Los primeros tres capítulos describen la empresa, su problemática y sus objetivos. El cuarto capítulo establece el marco teórico que sustenta las decisiones de diseño. Los capítulos quinto y sexto exponen el modelo de negocio y la propuesta tecnológica, respectivamente. Los capítulos séptimo y octavo detallan el diseño del sitio web y las funcionalidades del E-business. El noveno capítulo presenta los resultados e impacto esperado. El documento cierra con conclusiones, recomendaciones para el trabajo futuro y la bibliografía consultada en formato APA séptima edición.</w:t>
      </w:r>
    </w:p>
    <w:p>
      <w:pPr>
        <w:pStyle w:val="Heading1"/>
        <w:pageBreakBefore/>
        <w:spacing w:after="240" w:before="360" w:line="276"/>
      </w:pPr>
      <w:r>
        <w:rPr>
          <w:rFonts w:ascii="Calibri" w:cs="Calibri" w:eastAsia="Calibri" w:hAnsi="Calibri"/>
          <w:b/>
          <w:bCs/>
          <w:color w:val="15803D"/>
          <w:sz w:val="36"/>
          <w:szCs w:val="36"/>
        </w:rPr>
        <w:t xml:space="preserve">Capítulo 1. Descripción de la empresa</w:t>
      </w:r>
    </w:p>
    <w:p>
      <w:pPr>
        <w:pStyle w:val="Heading2"/>
        <w:spacing w:after="180" w:before="300" w:line="276"/>
      </w:pPr>
      <w:r>
        <w:rPr>
          <w:rFonts w:ascii="Calibri" w:cs="Calibri" w:eastAsia="Calibri" w:hAnsi="Calibri"/>
          <w:b/>
          <w:bCs/>
          <w:color w:val="15803D"/>
          <w:sz w:val="28"/>
          <w:szCs w:val="28"/>
        </w:rPr>
        <w:t xml:space="preserve">1.1 Identidad corporativa</w:t>
      </w:r>
    </w:p>
    <w:p>
      <w:pPr>
        <w:spacing w:after="120" w:before="0" w:line="276"/>
        <w:jc w:val="both"/>
      </w:pPr>
      <w:r>
        <w:rPr>
          <w:rFonts w:ascii="Calibri" w:cs="Calibri" w:eastAsia="Calibri" w:hAnsi="Calibri"/>
          <w:b w:val="false"/>
          <w:bCs w:val="false"/>
          <w:i w:val="false"/>
          <w:iCs w:val="false"/>
          <w:color w:val="0F172A"/>
          <w:sz w:val="22"/>
          <w:szCs w:val="22"/>
        </w:rPr>
        <w:t xml:space="preserve">AgroPulse Technologies, Sociedad Anónima de Capital Variable, es una empresa AgriTech ficticia de propósito académico fundada en el año 2024 con sede principal en la ciudad de Querétaro, México. La elección de Querétaro como sede no es casual: la entidad se sitúa en el corazón del Bajío mexicano, una de las regiones agrícolas más productivas y tecnológicamente avanzadas del país, con presencia de clústeres aeroespacial, agroindustrial y de tecnologías de información que generan un ecosistema favorable para emprendimientos basados en innovación. Adicionalmente, Querétaro cuenta con infraestructura logística estratégica, conectividad terrestre con las principales ciudades del país, un aeropuerto de carga en expansión y proximidad geográfica a centros de consumo masivo como la Zona Metropolitana del Valle de México.</w:t>
      </w:r>
    </w:p>
    <w:p>
      <w:pPr>
        <w:spacing w:after="120" w:before="0" w:line="276"/>
        <w:jc w:val="both"/>
      </w:pPr>
      <w:r>
        <w:rPr>
          <w:rFonts w:ascii="Calibri" w:cs="Calibri" w:eastAsia="Calibri" w:hAnsi="Calibri"/>
          <w:b w:val="false"/>
          <w:bCs w:val="false"/>
          <w:i w:val="false"/>
          <w:iCs w:val="false"/>
          <w:color w:val="0F172A"/>
          <w:sz w:val="22"/>
          <w:szCs w:val="22"/>
        </w:rPr>
        <w:t xml:space="preserve">La empresa opera dentro del sector AgriTech, específicamente en el subsegmento de cadena de suministro agroalimentaria, también denominado Supply Chain AgTech. Este subsegmento se distingue por enfocarse en los procesos posteriores a la cosecha—almacenamiento, transporte, comercialización y trazabilidad—en lugar de en las actividades de campo abierto (siembra, riego, cosecha) que tradicionalmente han dominado la inversión en tecnología agrícola. El tagline corporativo "El pulso inteligente de tu cosecha" sintetiza la propuesta diferencial de la compañía: convertir cada lote agrícola en un activo vivo, medido, trazable y comercializable en tiempo real.</w:t>
      </w:r>
    </w:p>
    <w:p>
      <w:pPr>
        <w:pStyle w:val="Heading2"/>
        <w:spacing w:after="180" w:before="300" w:line="276"/>
      </w:pPr>
      <w:r>
        <w:rPr>
          <w:rFonts w:ascii="Calibri" w:cs="Calibri" w:eastAsia="Calibri" w:hAnsi="Calibri"/>
          <w:b/>
          <w:bCs/>
          <w:color w:val="15803D"/>
          <w:sz w:val="28"/>
          <w:szCs w:val="28"/>
        </w:rPr>
        <w:t xml:space="preserve">1.2 Misión, visión y valores</w:t>
      </w:r>
    </w:p>
    <w:p>
      <w:pPr>
        <w:spacing w:after="120" w:before="0" w:line="276"/>
        <w:jc w:val="both"/>
      </w:pPr>
      <w:r>
        <w:rPr>
          <w:rFonts w:ascii="Calibri" w:cs="Calibri" w:eastAsia="Calibri" w:hAnsi="Calibri"/>
          <w:b w:val="false"/>
          <w:bCs w:val="false"/>
          <w:i w:val="false"/>
          <w:iCs w:val="false"/>
          <w:color w:val="0F172A"/>
          <w:sz w:val="22"/>
          <w:szCs w:val="22"/>
        </w:rPr>
        <w:t xml:space="preserve">La misión de AgroPulse es reducir las pérdidas post-cosecha de productores agrícolas mediante una plataforma E-business que integra Internet de las Cosas, analítica predictiva y un marketplace B2B. Esta declaración misional no se limita a una aspiración genérica sino que es operacionalmente verificable: cada uno de sus tres componentes (IoT, analítica predictiva y marketplace) corresponde a una capacidad técnica concreta que la plataforma debe entregar, y la métrica de pérdidas post-cosecha es cuantificable y reportable por usuario.</w:t>
      </w:r>
    </w:p>
    <w:p>
      <w:pPr>
        <w:spacing w:after="120" w:before="0" w:line="276"/>
        <w:jc w:val="both"/>
      </w:pPr>
      <w:r>
        <w:rPr>
          <w:rFonts w:ascii="Calibri" w:cs="Calibri" w:eastAsia="Calibri" w:hAnsi="Calibri"/>
          <w:b w:val="false"/>
          <w:bCs w:val="false"/>
          <w:i w:val="false"/>
          <w:iCs w:val="false"/>
          <w:color w:val="0F172A"/>
          <w:sz w:val="22"/>
          <w:szCs w:val="22"/>
        </w:rPr>
        <w:t xml:space="preserve">La visión proyectada al año 2030 es consolidar a AgroPulse como la plataforma líder en América Latina para la gestión inteligente de productos perecederos, con la meta concreta y ambiciosa de eliminar un millón de toneladas de desperdicio alimentario al año. Esta visión incorpora deliberadamente un horizonte temporal (2030), una dimensión geográfica (LATAM) y un indicador de impacto medible (una millón de toneladas), siguiendo las mejores prácticas de planeación estratégica que sugieren que las visiones deben ser específicas, ambiciosas pero alcanzables, y orientadas a resultados verificables.</w:t>
      </w:r>
    </w:p>
    <w:p>
      <w:pPr>
        <w:spacing w:after="120" w:before="0" w:line="276"/>
        <w:jc w:val="both"/>
      </w:pPr>
      <w:r>
        <w:rPr>
          <w:rFonts w:ascii="Calibri" w:cs="Calibri" w:eastAsia="Calibri" w:hAnsi="Calibri"/>
          <w:b w:val="false"/>
          <w:bCs w:val="false"/>
          <w:i w:val="false"/>
          <w:iCs w:val="false"/>
          <w:color w:val="0F172A"/>
          <w:sz w:val="22"/>
          <w:szCs w:val="22"/>
        </w:rPr>
        <w:t xml:space="preserve">Los valores corporativos que orientan la cultura organizacional son cinco. Sostenibilidad, entendida como el compromiso de generar valor económico sin comprometer los recursos ambientales ni sociales. Transparencia, traducida en la apertura informativa hacia productores, compradores y consumidores sobre el origen, manipulación y trazabilidad de los productos. Innovación, manifestada en la incorporación continua de tecnologías emergentes a la operación. Equidad, materializada en el diseño de planes y comisiones que no excluyen al pequeño productor por barreras de costo. Y trazabilidad, valor diferencial que se encarna en cada lote registrado en la plataforma y verificable mediante código QR público.</w:t>
      </w:r>
    </w:p>
    <w:p>
      <w:pPr>
        <w:pStyle w:val="Heading2"/>
        <w:spacing w:after="180" w:before="300" w:line="276"/>
      </w:pPr>
      <w:r>
        <w:rPr>
          <w:rFonts w:ascii="Calibri" w:cs="Calibri" w:eastAsia="Calibri" w:hAnsi="Calibri"/>
          <w:b/>
          <w:bCs/>
          <w:color w:val="15803D"/>
          <w:sz w:val="28"/>
          <w:szCs w:val="28"/>
        </w:rPr>
        <w:t xml:space="preserve">1.3 Equipo fundador</w:t>
      </w:r>
    </w:p>
    <w:p>
      <w:pPr>
        <w:spacing w:after="120" w:before="0" w:line="276"/>
        <w:jc w:val="both"/>
      </w:pPr>
      <w:r>
        <w:rPr>
          <w:rFonts w:ascii="Calibri" w:cs="Calibri" w:eastAsia="Calibri" w:hAnsi="Calibri"/>
          <w:b w:val="false"/>
          <w:bCs w:val="false"/>
          <w:i w:val="false"/>
          <w:iCs w:val="false"/>
          <w:color w:val="0F172A"/>
          <w:sz w:val="22"/>
          <w:szCs w:val="22"/>
        </w:rPr>
        <w:t xml:space="preserve">El equipo fundador de AgroPulse está compuesto por cinco socios con perfiles complementarios cuidadosamente seleccionados para cubrir las áreas funcionales críticas de un emprendimiento AgriTech en sus etapas iniciales.</w:t>
      </w:r>
    </w:p>
    <w:p>
      <w:pPr>
        <w:spacing w:after="120" w:before="0" w:line="276"/>
        <w:jc w:val="both"/>
      </w:pPr>
      <w:r>
        <w:rPr>
          <w:rFonts w:ascii="Calibri" w:cs="Calibri" w:eastAsia="Calibri" w:hAnsi="Calibri"/>
          <w:b w:val="false"/>
          <w:bCs w:val="false"/>
          <w:i w:val="false"/>
          <w:iCs w:val="false"/>
          <w:color w:val="0F172A"/>
          <w:sz w:val="22"/>
          <w:szCs w:val="22"/>
        </w:rPr>
        <w:t xml:space="preserve">Sebastián Torres, Director General (CEO), es ingeniero industrial con cinco años de experiencia previa en operaciones de cadena de suministro en una multinacional cervecera (Heineken). Su perfil aporta visión integral del negocio, conocimiento operativo profundo de la gestión de inventarios y rotación de productos perecederos a gran escala, y experiencia en negociación con productores agrícolas que abastecen cadenas industriales. Como fundador principal, Sebastián lidera la estrategia comercial, las relaciones institucionales y el levantamiento de capital.</w:t>
      </w:r>
    </w:p>
    <w:p>
      <w:pPr>
        <w:spacing w:after="120" w:before="0" w:line="276"/>
        <w:jc w:val="both"/>
      </w:pPr>
      <w:r>
        <w:rPr>
          <w:rFonts w:ascii="Calibri" w:cs="Calibri" w:eastAsia="Calibri" w:hAnsi="Calibri"/>
          <w:b w:val="false"/>
          <w:bCs w:val="false"/>
          <w:i w:val="false"/>
          <w:iCs w:val="false"/>
          <w:color w:val="0F172A"/>
          <w:sz w:val="22"/>
          <w:szCs w:val="22"/>
        </w:rPr>
        <w:t xml:space="preserve">María Fernanda López, Directora de Tecnología (CTO), posee un doctorado en Ciencias de la Computación con especialización en aprendizaje automático aplicado al sector agroalimentario. Su tesis doctoral versó sobre modelos de pronóstico de demanda de hortalizas en mercados centroamericanos, lo que la coloca como una de las pocas especialistas en LATAM con experiencia directa en la intersección entre Machine Learning y agricultura. María Fernanda dirige el desarrollo de la plataforma tecnológica, la selección de proveedores de hardware IoT y la arquitectura de los modelos predictivos.</w:t>
      </w:r>
    </w:p>
    <w:p>
      <w:pPr>
        <w:spacing w:after="120" w:before="0" w:line="276"/>
        <w:jc w:val="both"/>
      </w:pPr>
      <w:r>
        <w:rPr>
          <w:rFonts w:ascii="Calibri" w:cs="Calibri" w:eastAsia="Calibri" w:hAnsi="Calibri"/>
          <w:b w:val="false"/>
          <w:bCs w:val="false"/>
          <w:i w:val="false"/>
          <w:iCs w:val="false"/>
          <w:color w:val="0F172A"/>
          <w:sz w:val="22"/>
          <w:szCs w:val="22"/>
        </w:rPr>
        <w:t xml:space="preserve">Diego Ramírez, Director de Operaciones (COO), cuenta con quince años de experiencia en operaciones agrícolas, primero como gerente de finca en una operación de tomate de invernadero en Sinaloa y posteriormente como director de logística para una cooperativa de productores de cítricos en Veracruz. Diego aporta el conocimiento de terreno indispensable para diseñar productos tecnológicos verdaderamente útiles para los productores, así como una red robusta de contactos en el sector productivo.</w:t>
      </w:r>
    </w:p>
    <w:p>
      <w:pPr>
        <w:spacing w:after="120" w:before="0" w:line="276"/>
        <w:jc w:val="both"/>
      </w:pPr>
      <w:r>
        <w:rPr>
          <w:rFonts w:ascii="Calibri" w:cs="Calibri" w:eastAsia="Calibri" w:hAnsi="Calibri"/>
          <w:b w:val="false"/>
          <w:bCs w:val="false"/>
          <w:i w:val="false"/>
          <w:iCs w:val="false"/>
          <w:color w:val="0F172A"/>
          <w:sz w:val="22"/>
          <w:szCs w:val="22"/>
        </w:rPr>
        <w:t xml:space="preserve">Ana Sofía Hernández, Directora Financiera (CFO), proviene del sector bancario y fintech, con experiencia previa en banca corporativa para empresas medianas y en una startup de pagos digitales. Su perfil combina la disciplina financiera del banco tradicional con la agilidad operativa del entorno startup, y resulta especialmente relevante para diseñar los esquemas de pago, facturación y financiamiento al productor que la plataforma ofrece.</w:t>
      </w:r>
    </w:p>
    <w:p>
      <w:pPr>
        <w:spacing w:after="120" w:before="0" w:line="276"/>
        <w:jc w:val="both"/>
      </w:pPr>
      <w:r>
        <w:rPr>
          <w:rFonts w:ascii="Calibri" w:cs="Calibri" w:eastAsia="Calibri" w:hAnsi="Calibri"/>
          <w:b w:val="false"/>
          <w:bCs w:val="false"/>
          <w:i w:val="false"/>
          <w:iCs w:val="false"/>
          <w:color w:val="0F172A"/>
          <w:sz w:val="22"/>
          <w:szCs w:val="22"/>
        </w:rPr>
        <w:t xml:space="preserve">Luis Mendoza, Director de Sostenibilidad (Head of Sustainability), es ingeniero agrónomo certificador GLOBALG.A.P. con experiencia previa en auditorías de buenas prácticas agrícolas para exportadores hortofrutícolas mexicanos. Luis lidera el desarrollo de los módulos de trazabilidad, certificaciones digitales y reportería ESG, tres componentes que conforman la propuesta de valor premium de la plataforma.</w:t>
      </w:r>
    </w:p>
    <w:p>
      <w:pPr>
        <w:spacing w:after="120" w:before="180" w:line="276"/>
        <w:jc w:val="center"/>
      </w:pPr>
      <w:r>
        <w:rPr>
          <w:rFonts w:ascii="Calibri" w:cs="Calibri" w:eastAsia="Calibri" w:hAnsi="Calibri"/>
          <w:b/>
          <w:bCs/>
          <w:i/>
          <w:iCs/>
          <w:color w:val="14532D"/>
          <w:sz w:val="20"/>
          <w:szCs w:val="20"/>
        </w:rPr>
        <w:t xml:space="preserve">Tabla 1. Equipo fundador de AgroPulse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Cargo</w:t>
            </w:r>
          </w:p>
        </w:tc>
        <w:tc>
          <w:tcPr>
            <w:tcW w:type="dxa" w:w="26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Nombre</w:t>
            </w:r>
          </w:p>
        </w:tc>
        <w:tc>
          <w:tcPr>
            <w:tcW w:type="dxa" w:w="47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Perfil</w:t>
            </w:r>
          </w:p>
        </w:tc>
      </w:tr>
      <w:tr>
        <w:tc>
          <w:tcPr>
            <w:tcW w:type="dxa" w:w="20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CEO</w:t>
            </w:r>
          </w:p>
        </w:tc>
        <w:tc>
          <w:tcPr>
            <w:tcW w:type="dxa" w:w="26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Sebastián Torres</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Ing. Industrial, ex-Heineken, 5 años en cadena de suministro.</w:t>
            </w:r>
          </w:p>
        </w:tc>
      </w:tr>
      <w:tr>
        <w:tc>
          <w:tcPr>
            <w:tcW w:type="dxa" w:w="20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CTO</w:t>
            </w:r>
          </w:p>
        </w:tc>
        <w:tc>
          <w:tcPr>
            <w:tcW w:type="dxa" w:w="26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María Fernanda López</w:t>
            </w:r>
          </w:p>
        </w:tc>
        <w:tc>
          <w:tcPr>
            <w:tcW w:type="dxa" w:w="47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PhD CS, ML aplicado al agro, especialista en pronóstico.</w:t>
            </w:r>
          </w:p>
        </w:tc>
      </w:tr>
      <w:tr>
        <w:tc>
          <w:tcPr>
            <w:tcW w:type="dxa" w:w="20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COO</w:t>
            </w:r>
          </w:p>
        </w:tc>
        <w:tc>
          <w:tcPr>
            <w:tcW w:type="dxa" w:w="26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Diego Ramírez</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15 años en operaciones agrícolas (Sinaloa, Veracruz).</w:t>
            </w:r>
          </w:p>
        </w:tc>
      </w:tr>
      <w:tr>
        <w:tc>
          <w:tcPr>
            <w:tcW w:type="dxa" w:w="20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CFO</w:t>
            </w:r>
          </w:p>
        </w:tc>
        <w:tc>
          <w:tcPr>
            <w:tcW w:type="dxa" w:w="26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Ana Sofía Hernández</w:t>
            </w:r>
          </w:p>
        </w:tc>
        <w:tc>
          <w:tcPr>
            <w:tcW w:type="dxa" w:w="47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Ex banca corporativa y fintech, experta en pagos B2B.</w:t>
            </w:r>
          </w:p>
        </w:tc>
      </w:tr>
      <w:tr>
        <w:tc>
          <w:tcPr>
            <w:tcW w:type="dxa" w:w="20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Head of Sustainability</w:t>
            </w:r>
          </w:p>
        </w:tc>
        <w:tc>
          <w:tcPr>
            <w:tcW w:type="dxa" w:w="26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Luis Mendoza</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Ing. Agrónomo, certificador GLOBALG.A.P.</w:t>
            </w:r>
          </w:p>
        </w:tc>
      </w:tr>
    </w:tbl>
    <w:p>
      <w:pPr>
        <w:spacing w:after="120"/>
      </w:pPr>
      <w:r>
        <w:t xml:space="preserve"/>
      </w:r>
    </w:p>
    <w:p>
      <w:pPr>
        <w:pStyle w:val="Heading2"/>
        <w:spacing w:after="180" w:before="300" w:line="276"/>
      </w:pPr>
      <w:r>
        <w:rPr>
          <w:rFonts w:ascii="Calibri" w:cs="Calibri" w:eastAsia="Calibri" w:hAnsi="Calibri"/>
          <w:b/>
          <w:bCs/>
          <w:color w:val="15803D"/>
          <w:sz w:val="28"/>
          <w:szCs w:val="28"/>
        </w:rPr>
        <w:t xml:space="preserve">1.4 Mercado objetivo y propuesta de valor</w:t>
      </w:r>
    </w:p>
    <w:p>
      <w:pPr>
        <w:spacing w:after="120" w:before="0" w:line="276"/>
        <w:jc w:val="both"/>
      </w:pPr>
      <w:r>
        <w:rPr>
          <w:rFonts w:ascii="Calibri" w:cs="Calibri" w:eastAsia="Calibri" w:hAnsi="Calibri"/>
          <w:b w:val="false"/>
          <w:bCs w:val="false"/>
          <w:i w:val="false"/>
          <w:iCs w:val="false"/>
          <w:color w:val="0F172A"/>
          <w:sz w:val="22"/>
          <w:szCs w:val="22"/>
        </w:rPr>
        <w:t xml:space="preserve">El mercado objetivo de AgroPulse comprende dos segmentos claramente diferenciados. Del lado de la oferta, la empresa se dirige a aproximadamente 50,000 unidades de producción agrícola pequeñas y medianas dedicadas al cultivo de hortalizas, frutas y producción láctea en el centro-norte de México. Este universo excluye deliberadamente a los grandes corporativos agroindustriales (que ya cuentan con sistemas ERP propios) y a los productores de subsistencia (cuya capacidad de pago no permite sostener una suscripción SaaS). Del lado de la demanda, AgroPulse se dirige a cadenas regionales de supermercados, operadores del canal HORECA (hoteles, restaurantes y catering) y agroindustrias procesadoras de mediano tamaño.</w:t>
      </w:r>
    </w:p>
    <w:p>
      <w:pPr>
        <w:spacing w:after="120" w:before="0" w:line="276"/>
        <w:jc w:val="both"/>
      </w:pPr>
      <w:r>
        <w:rPr>
          <w:rFonts w:ascii="Calibri" w:cs="Calibri" w:eastAsia="Calibri" w:hAnsi="Calibri"/>
          <w:b w:val="false"/>
          <w:bCs w:val="false"/>
          <w:i w:val="false"/>
          <w:iCs w:val="false"/>
          <w:color w:val="0F172A"/>
          <w:sz w:val="22"/>
          <w:szCs w:val="22"/>
        </w:rPr>
        <w:t xml:space="preserve">La propuesta de valor está diseñada de manera asimétrica para cada lado del mercado, atendiendo a las necesidades reales de cada segmento. Para el productor, la propuesta se sintetiza en cinco beneficios: una reducción del 30 % en pérdidas durante el primer año de operación, un incremento del 25 % en el margen al eliminar intermediarios coyotes, la disponibilidad de un pronóstico de demanda por región y temporada que orienta las decisiones de cosecha, el acceso directo a compradores institucionales del retail y HORECA, y la generación automática de reportes para certificaciones GAP y orgánico. Para el comprador, la propuesta incluye productos frescos verificados mediante sensores IoT, trazabilidad QR completa hacia el consumidor final, garantía de cadena de frío ininterrumpida documentada con datos, catálogo en tiempo real con disponibilidad y vida útil restante, y una plataforma de pago seguro con facturación electrónica integrada.</w:t>
      </w:r>
    </w:p>
    <w:p>
      <w:pPr>
        <w:pStyle w:val="Heading1"/>
        <w:pageBreakBefore/>
        <w:spacing w:after="240" w:before="360" w:line="276"/>
      </w:pPr>
      <w:r>
        <w:rPr>
          <w:rFonts w:ascii="Calibri" w:cs="Calibri" w:eastAsia="Calibri" w:hAnsi="Calibri"/>
          <w:b/>
          <w:bCs/>
          <w:color w:val="15803D"/>
          <w:sz w:val="36"/>
          <w:szCs w:val="36"/>
        </w:rPr>
        <w:t xml:space="preserve">Capítulo 2. Problemática</w:t>
      </w:r>
    </w:p>
    <w:p>
      <w:pPr>
        <w:pStyle w:val="Heading2"/>
        <w:spacing w:after="180" w:before="300" w:line="276"/>
      </w:pPr>
      <w:r>
        <w:rPr>
          <w:rFonts w:ascii="Calibri" w:cs="Calibri" w:eastAsia="Calibri" w:hAnsi="Calibri"/>
          <w:b/>
          <w:bCs/>
          <w:color w:val="15803D"/>
          <w:sz w:val="28"/>
          <w:szCs w:val="28"/>
        </w:rPr>
        <w:t xml:space="preserve">2.1 Contexto de las pérdidas post-cosecha</w:t>
      </w:r>
    </w:p>
    <w:p>
      <w:pPr>
        <w:spacing w:after="120" w:before="0" w:line="276"/>
        <w:jc w:val="both"/>
      </w:pPr>
      <w:r>
        <w:rPr>
          <w:rFonts w:ascii="Calibri" w:cs="Calibri" w:eastAsia="Calibri" w:hAnsi="Calibri"/>
          <w:b w:val="false"/>
          <w:bCs w:val="false"/>
          <w:i w:val="false"/>
          <w:iCs w:val="false"/>
          <w:color w:val="0F172A"/>
          <w:sz w:val="22"/>
          <w:szCs w:val="22"/>
        </w:rPr>
        <w:t xml:space="preserve">Las pérdidas y desperdicios alimentarios constituyen uno de los desafíos más persistentes y costosos del sistema agroalimentario global. De acuerdo con la Organización de las Naciones Unidas para la Alimentación y la Agricultura (FAO, 2023), entre el 30 % y el 40 % de la producción agrícola en países en desarrollo se pierde entre el momento de la cosecha y la mesa del consumidor, lo que equivale a 1.3 mil millones de toneladas anuales a nivel mundial. Esta cifra es particularmente paradójica considerando que, según el mismo organismo, cerca de 735 millones de personas padecen hambre crónica, lo que significa que existe alimento suficiente pero éste no llega a quien más lo necesita debido a fallas estructurales en la cadena de suministro.</w:t>
      </w:r>
    </w:p>
    <w:p>
      <w:pPr>
        <w:spacing w:after="120" w:before="0" w:line="276"/>
        <w:jc w:val="both"/>
      </w:pPr>
      <w:r>
        <w:rPr>
          <w:rFonts w:ascii="Calibri" w:cs="Calibri" w:eastAsia="Calibri" w:hAnsi="Calibri"/>
          <w:b w:val="false"/>
          <w:bCs w:val="false"/>
          <w:i w:val="false"/>
          <w:iCs w:val="false"/>
          <w:color w:val="0F172A"/>
          <w:sz w:val="22"/>
          <w:szCs w:val="22"/>
        </w:rPr>
        <w:t xml:space="preserve">En el contexto mexicano, las estimaciones de la Secretaría de Agricultura y Desarrollo Rural (SADER, 2024) indican que el desperdicio alimentario supera las 20 millones de toneladas anuales, equivalentes al 34 % de la producción agroalimentaria nacional. El costo económico asociado se estima en 491 mil millones de pesos mexicanos, suma que representa aproximadamente el 1.5 % del producto interno bruto nacional. La distribución de estas pérdidas a lo largo de la cadena no es homogénea: aproximadamente el 28 % ocurre en la etapa de producción primaria, el 22 % durante la post-cosecha y almacenamiento, el 18 % en el procesamiento, el 15 % en la distribución y el 17 % en el consumo final.</w:t>
      </w:r>
    </w:p>
    <w:p>
      <w:pPr>
        <w:spacing w:after="120" w:before="0" w:line="276"/>
        <w:jc w:val="both"/>
      </w:pPr>
      <w:r>
        <w:rPr>
          <w:rFonts w:ascii="Calibri" w:cs="Calibri" w:eastAsia="Calibri" w:hAnsi="Calibri"/>
          <w:b w:val="false"/>
          <w:bCs w:val="false"/>
          <w:i w:val="false"/>
          <w:iCs w:val="false"/>
          <w:color w:val="0F172A"/>
          <w:sz w:val="22"/>
          <w:szCs w:val="22"/>
        </w:rPr>
        <w:t xml:space="preserve">La etapa post-cosecha y de almacenamiento, que es precisamente donde AgroPulse concentra su propuesta de valor, presenta el doble interés de tener tasas de pérdida significativas (22 % en México) y de ser una etapa donde la tecnología puede generar impactos medibles a corto plazo, a diferencia de las pérdidas en producción primaria que dependen de variables agroclimáticas más difíciles de controlar. Estudios específicos del Banco Mundial (2024) han demostrado que cada peso invertido en tecnologías de monitoreo y trazabilidad post-cosecha genera entre 4.5 y 7.0 pesos de retorno medido en reducción de pérdidas, lo que ubica a esta categoría tecnológica entre las inversiones de mayor productividad social y económica disponibles.</w:t>
      </w:r>
    </w:p>
    <w:p>
      <w:pPr>
        <w:pStyle w:val="Heading2"/>
        <w:spacing w:after="180" w:before="300" w:line="276"/>
      </w:pPr>
      <w:r>
        <w:rPr>
          <w:rFonts w:ascii="Calibri" w:cs="Calibri" w:eastAsia="Calibri" w:hAnsi="Calibri"/>
          <w:b/>
          <w:bCs/>
          <w:color w:val="15803D"/>
          <w:sz w:val="28"/>
          <w:szCs w:val="28"/>
        </w:rPr>
        <w:t xml:space="preserve">2.2 Problemas tecnológicos identificados</w:t>
      </w:r>
    </w:p>
    <w:p>
      <w:pPr>
        <w:spacing w:after="120" w:before="0" w:line="276"/>
        <w:jc w:val="both"/>
      </w:pPr>
      <w:r>
        <w:rPr>
          <w:rFonts w:ascii="Calibri" w:cs="Calibri" w:eastAsia="Calibri" w:hAnsi="Calibri"/>
          <w:b w:val="false"/>
          <w:bCs w:val="false"/>
          <w:i w:val="false"/>
          <w:iCs w:val="false"/>
          <w:color w:val="0F172A"/>
          <w:sz w:val="22"/>
          <w:szCs w:val="22"/>
        </w:rPr>
        <w:t xml:space="preserve">Para comprender por qué persisten niveles tan elevados de pérdida post-cosecha pese a la disponibilidad teórica de soluciones tecnológicas, el equipo fundador de AgroPulse realizó un diagnóstico de campo con productores de hortalizas y frutas del Bajío durante 2024. Como resultado de ese diagnóstico se identificaron seis problemas tecnológicos críticos que la plataforma busca atender directamente.</w:t>
      </w:r>
    </w:p>
    <w:p>
      <w:pPr>
        <w:spacing w:after="120" w:before="0" w:line="276"/>
        <w:jc w:val="both"/>
      </w:pPr>
      <w:r>
        <w:rPr>
          <w:rFonts w:ascii="Calibri" w:cs="Calibri" w:eastAsia="Calibri" w:hAnsi="Calibri"/>
          <w:b w:val="false"/>
          <w:bCs w:val="false"/>
          <w:i w:val="false"/>
          <w:iCs w:val="false"/>
          <w:color w:val="0F172A"/>
          <w:sz w:val="22"/>
          <w:szCs w:val="22"/>
        </w:rPr>
        <w:t xml:space="preserve">El primer problema es la falta de visibilidad en tiempo real del estado del inventario perecedero. La mayoría de los productores pequeños y medianos no cuenta con sistemas de monitoreo de temperatura, humedad y vida útil restante de sus lotes almacenados, lo que se traduce en sorpresas frecuentes: lotes que pensaban tener tres días de vida útil pero que llegaron deteriorados al comprador, o lotes que se descartaron como no aptos cuando aún podían comercializarse. Esta opacidad informativa genera tanto pérdidas físicas como pérdidas económicas por decisiones subóptimas de comercialización.</w:t>
      </w:r>
    </w:p>
    <w:p>
      <w:pPr>
        <w:spacing w:after="120" w:before="0" w:line="276"/>
        <w:jc w:val="both"/>
      </w:pPr>
      <w:r>
        <w:rPr>
          <w:rFonts w:ascii="Calibri" w:cs="Calibri" w:eastAsia="Calibri" w:hAnsi="Calibri"/>
          <w:b w:val="false"/>
          <w:bCs w:val="false"/>
          <w:i w:val="false"/>
          <w:iCs w:val="false"/>
          <w:color w:val="0F172A"/>
          <w:sz w:val="22"/>
          <w:szCs w:val="22"/>
        </w:rPr>
        <w:t xml:space="preserve">El segundo problema, estrechamente relacionado con el primero, es la cadena de frío sin monitoreo continuo. En la operación tradicional, una vez que un lote sale del campo o del centro de acopio, su temperatura ya no se vigila sistemáticamente. Las rupturas de la cadena de frío durante el transporte (por ejemplo, una unidad refrigerada que pierde temperatura por una hora durante una descarga) suelen pasar inadvertidas hasta que el deterioro se vuelve visible varios días después, momento en el cual ya no es posible deslindar responsabilidades ni evitar el deterioro acelerado.</w:t>
      </w:r>
    </w:p>
    <w:p>
      <w:pPr>
        <w:spacing w:after="120" w:before="0" w:line="276"/>
        <w:jc w:val="both"/>
      </w:pPr>
      <w:r>
        <w:rPr>
          <w:rFonts w:ascii="Calibri" w:cs="Calibri" w:eastAsia="Calibri" w:hAnsi="Calibri"/>
          <w:b w:val="false"/>
          <w:bCs w:val="false"/>
          <w:i w:val="false"/>
          <w:iCs w:val="false"/>
          <w:color w:val="0F172A"/>
          <w:sz w:val="22"/>
          <w:szCs w:val="22"/>
        </w:rPr>
        <w:t xml:space="preserve">El tercer problema es la ausencia de pronóstico de demanda basado en datos. Los productores tradicionalmente toman decisiones de qué sembrar, cuánto y cuándo basándose en el comportamiento histórico de los precios y en intuiciones derivadas de la experiencia. Sin embargo, las dinámicas de mercado contemporáneas (cambios en hábitos de consumo, eventos climáticos extremos, fluctuaciones del tipo de cambio) hacen que la heurística tradicional sea cada vez menos confiable. El resultado son cosechas excedentes que saturan el mercado y deprimen los precios, o cosechas faltantes que dejan demanda insatisfecha y obligan al importador a abastecerse de fuera.</w:t>
      </w:r>
    </w:p>
    <w:p>
      <w:pPr>
        <w:spacing w:after="120" w:before="0" w:line="276"/>
        <w:jc w:val="both"/>
      </w:pPr>
      <w:r>
        <w:rPr>
          <w:rFonts w:ascii="Calibri" w:cs="Calibri" w:eastAsia="Calibri" w:hAnsi="Calibri"/>
          <w:b w:val="false"/>
          <w:bCs w:val="false"/>
          <w:i w:val="false"/>
          <w:iCs w:val="false"/>
          <w:color w:val="0F172A"/>
          <w:sz w:val="22"/>
          <w:szCs w:val="22"/>
        </w:rPr>
        <w:t xml:space="preserve">El cuarto problema es la desconexión digital entre productor y comprador, que se traduce en una alta dependencia de intermediarios. Los llamados "coyotes" o intermediarios tradicionales capturan típicamente entre el 20 % y el 35 % del valor de cada transacción, no porque generen valor proporcional sino porque controlan la información de oferta y demanda. La eliminación de esta asimetría informativa mediante una plataforma digital constituye una oportunidad significativa de redistribución de valor hacia el productor.</w:t>
      </w:r>
    </w:p>
    <w:p>
      <w:pPr>
        <w:spacing w:after="120" w:before="0" w:line="276"/>
        <w:jc w:val="both"/>
      </w:pPr>
      <w:r>
        <w:rPr>
          <w:rFonts w:ascii="Calibri" w:cs="Calibri" w:eastAsia="Calibri" w:hAnsi="Calibri"/>
          <w:b w:val="false"/>
          <w:bCs w:val="false"/>
          <w:i w:val="false"/>
          <w:iCs w:val="false"/>
          <w:color w:val="0F172A"/>
          <w:sz w:val="22"/>
          <w:szCs w:val="22"/>
        </w:rPr>
        <w:t xml:space="preserve">El quinto problema corresponde a los procesos manuales de registro de inventario, inspección y comercialización. Buena parte de la operación post-cosecha continúa documentándose en cuadernos físicos, hojas de cálculo aisladas y mensajes de WhatsApp, lo que dificulta la consolidación de datos, la analítica retrospectiva y la generación de reportes para certificadoras o auditores. Cada error de transcripción, cada hoja extraviada y cada mensaje no respondido se traduce en horas de búsqueda y, frecuentemente, en pérdidas.</w:t>
      </w:r>
    </w:p>
    <w:p>
      <w:pPr>
        <w:spacing w:after="120" w:before="0" w:line="276"/>
        <w:jc w:val="both"/>
      </w:pPr>
      <w:r>
        <w:rPr>
          <w:rFonts w:ascii="Calibri" w:cs="Calibri" w:eastAsia="Calibri" w:hAnsi="Calibri"/>
          <w:b w:val="false"/>
          <w:bCs w:val="false"/>
          <w:i w:val="false"/>
          <w:iCs w:val="false"/>
          <w:color w:val="0F172A"/>
          <w:sz w:val="22"/>
          <w:szCs w:val="22"/>
        </w:rPr>
        <w:t xml:space="preserve">Finalmente, el sexto problema es la falta de trazabilidad verificable hacia el consumidor final. En un mercado en el que el consumidor demanda cada vez más información sobre el origen, las prácticas agrícolas y la huella de carbono de lo que consume, la mayoría de los productos perecederos en México llegan al anaquel sin información trazable más allá del nombre del empacador. Esta opacidad limita el valor que el productor puede capturar (no puede cobrar prima por su esfuerzo de calidad) y genera desconfianza del consumidor en los productos que adquiere.</w:t>
      </w:r>
    </w:p>
    <w:p>
      <w:pPr>
        <w:pStyle w:val="Heading2"/>
        <w:spacing w:after="180" w:before="300" w:line="276"/>
      </w:pPr>
      <w:r>
        <w:rPr>
          <w:rFonts w:ascii="Calibri" w:cs="Calibri" w:eastAsia="Calibri" w:hAnsi="Calibri"/>
          <w:b/>
          <w:bCs/>
          <w:color w:val="15803D"/>
          <w:sz w:val="28"/>
          <w:szCs w:val="28"/>
        </w:rPr>
        <w:t xml:space="preserve">2.3 Causas raíz</w:t>
      </w:r>
    </w:p>
    <w:p>
      <w:pPr>
        <w:spacing w:after="120" w:before="0" w:line="276"/>
        <w:jc w:val="both"/>
      </w:pPr>
      <w:r>
        <w:rPr>
          <w:rFonts w:ascii="Calibri" w:cs="Calibri" w:eastAsia="Calibri" w:hAnsi="Calibri"/>
          <w:b w:val="false"/>
          <w:bCs w:val="false"/>
          <w:i w:val="false"/>
          <w:iCs w:val="false"/>
          <w:color w:val="0F172A"/>
          <w:sz w:val="22"/>
          <w:szCs w:val="22"/>
        </w:rPr>
        <w:t xml:space="preserve">Detrás de los seis problemas anteriores subyacen cuatro causas raíz interconectadas. La primera es la baja adopción de tecnologías IoT en el campo mexicano, principalmente por motivos de costo del hardware y carencia de capacitación técnica del personal de los productores. La segunda es que los sistemas tradicionales de planificación de recursos empresariales (ERP) y gestión de relaciones con clientes (CRM) están diseñados para empresas con presupuestos de tecnología de información de seis o siete cifras, muy por encima de las posibilidades de los pequeños y medianos productores agrícolas. La tercera causa raíz es que las plataformas digitales preexistentes (Amazon, Mercado Libre, etc.) están diseñadas para productos durables y no contemplan variables críticas del producto perecedero como vida útil restante o requerimientos térmicos. La cuarta causa raíz es que los datos operativos del sector se encuentran dispersos entre hojas de cálculo de Excel, conversaciones de WhatsApp y libretas físicas, lo que impide cualquier intento serio de analítica.</w:t>
      </w:r>
    </w:p>
    <w:p>
      <w:pPr>
        <w:pStyle w:val="Heading2"/>
        <w:spacing w:after="180" w:before="300" w:line="276"/>
      </w:pPr>
      <w:r>
        <w:rPr>
          <w:rFonts w:ascii="Calibri" w:cs="Calibri" w:eastAsia="Calibri" w:hAnsi="Calibri"/>
          <w:b/>
          <w:bCs/>
          <w:color w:val="15803D"/>
          <w:sz w:val="28"/>
          <w:szCs w:val="28"/>
        </w:rPr>
        <w:t xml:space="preserve">2.4 Impacto económico, social y ambiental</w:t>
      </w:r>
    </w:p>
    <w:p>
      <w:pPr>
        <w:spacing w:after="120" w:before="0" w:line="276"/>
        <w:jc w:val="both"/>
      </w:pPr>
      <w:r>
        <w:rPr>
          <w:rFonts w:ascii="Calibri" w:cs="Calibri" w:eastAsia="Calibri" w:hAnsi="Calibri"/>
          <w:b w:val="false"/>
          <w:bCs w:val="false"/>
          <w:i w:val="false"/>
          <w:iCs w:val="false"/>
          <w:color w:val="0F172A"/>
          <w:sz w:val="22"/>
          <w:szCs w:val="22"/>
        </w:rPr>
        <w:t xml:space="preserve">El impacto económico de la problemática descrita es de magnitud macroeconómica. Los 491 mil millones de pesos anuales que se pierden en México por desperdicio alimentario equivalen al presupuesto agregado de los cinco programas sociales más grandes del gobierno federal, o al doble de la inversión anual en infraestructura ferroviaria. Estos recursos, si fueran preservados, podrían reinvertirse en modernización tecnológica, salarios rurales, infraestructura logística y educación técnica.</w:t>
      </w:r>
    </w:p>
    <w:p>
      <w:pPr>
        <w:spacing w:after="120" w:before="0" w:line="276"/>
        <w:jc w:val="both"/>
      </w:pPr>
      <w:r>
        <w:rPr>
          <w:rFonts w:ascii="Calibri" w:cs="Calibri" w:eastAsia="Calibri" w:hAnsi="Calibri"/>
          <w:b w:val="false"/>
          <w:bCs w:val="false"/>
          <w:i w:val="false"/>
          <w:iCs w:val="false"/>
          <w:color w:val="0F172A"/>
          <w:sz w:val="22"/>
          <w:szCs w:val="22"/>
        </w:rPr>
        <w:t xml:space="preserve">El impacto social es múltiple. En primer lugar, las pérdidas post-cosecha encarecen artificialmente los alimentos al reducir la oferta efectiva que llega al consumidor, afectando proporcionalmente más a los hogares de menores ingresos para los cuales la canasta alimentaria representa entre el 35 % y el 50 % del gasto mensual. En segundo lugar, los productores pequeños son los primeros afectados por las pérdidas, ya que carecen de la capacidad financiera para amortiguar lotes perdidos y suelen quedar atrapados en ciclos de endeudamiento con sus propios proveedores de insumos. En tercer lugar, la opacidad de la cadena de suministro genera desconfianza del consumidor y limita la capacidad de los productores honestos de diferenciarse por calidad.</w:t>
      </w:r>
    </w:p>
    <w:p>
      <w:pPr>
        <w:spacing w:after="120" w:before="0" w:line="276"/>
        <w:jc w:val="both"/>
      </w:pPr>
      <w:r>
        <w:rPr>
          <w:rFonts w:ascii="Calibri" w:cs="Calibri" w:eastAsia="Calibri" w:hAnsi="Calibri"/>
          <w:b w:val="false"/>
          <w:bCs w:val="false"/>
          <w:i w:val="false"/>
          <w:iCs w:val="false"/>
          <w:color w:val="0F172A"/>
          <w:sz w:val="22"/>
          <w:szCs w:val="22"/>
        </w:rPr>
        <w:t xml:space="preserve">El impacto ambiental es quizá el menos discutido pero el más significativo en términos de impacto climático global. Cada tonelada de alimento desperdiciado equivale aproximadamente a 2.5 toneladas de dióxido de carbono equivalente, considerando las emisiones asociadas a la producción, transporte y descomposición de los residuos orgánicos (Banco Mundial, 2024). Las 20 millones de toneladas de desperdicio anual en México implican una huella climática de 50 millones de toneladas de CO₂ equivalente, comparable con las emisiones anuales del país por la actividad aeronáutica completa. Reducir las pérdidas post-cosecha en un 30 % significaría evitar 15 millones de toneladas de CO₂ al año en México, una palanca climática de las más rentables disponibles.</w:t>
      </w:r>
    </w:p>
    <w:p>
      <w:pPr>
        <w:pStyle w:val="Heading2"/>
        <w:spacing w:after="180" w:before="300" w:line="276"/>
      </w:pPr>
      <w:r>
        <w:rPr>
          <w:rFonts w:ascii="Calibri" w:cs="Calibri" w:eastAsia="Calibri" w:hAnsi="Calibri"/>
          <w:b/>
          <w:bCs/>
          <w:color w:val="15803D"/>
          <w:sz w:val="28"/>
          <w:szCs w:val="28"/>
        </w:rPr>
        <w:t xml:space="preserve">2.5 Situación actual vs. situación deseada</w:t>
      </w:r>
    </w:p>
    <w:p>
      <w:pPr>
        <w:spacing w:after="120" w:before="180" w:line="276"/>
        <w:jc w:val="center"/>
      </w:pPr>
      <w:r>
        <w:rPr>
          <w:rFonts w:ascii="Calibri" w:cs="Calibri" w:eastAsia="Calibri" w:hAnsi="Calibri"/>
          <w:b/>
          <w:bCs/>
          <w:i/>
          <w:iCs/>
          <w:color w:val="14532D"/>
          <w:sz w:val="20"/>
          <w:szCs w:val="20"/>
        </w:rPr>
        <w:t xml:space="preserve">Tabla 2. Comparativa situación actual vs. situación deseada con AgroPulse.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Dimensión</w:t>
            </w:r>
          </w:p>
        </w:tc>
        <w:tc>
          <w:tcPr>
            <w:tcW w:type="dxa" w:w="358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Situación actual</w:t>
            </w:r>
          </w:p>
        </w:tc>
        <w:tc>
          <w:tcPr>
            <w:tcW w:type="dxa" w:w="358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Situación deseada con AgroPulse</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Visibilidad</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Inventario ciego; productor desconoce vida útil real.</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Monitoreo IoT 24/7 de temperatura, humedad y vida útil.</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Cadena de frío</w:t>
            </w:r>
          </w:p>
        </w:tc>
        <w:tc>
          <w:tcPr>
            <w:tcW w:type="dxa" w:w="358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Rupturas no detectadas; deterioro acelerado.</w:t>
            </w:r>
          </w:p>
        </w:tc>
        <w:tc>
          <w:tcPr>
            <w:tcW w:type="dxa" w:w="358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Alertas en tiempo real ante variaciones térmicas.</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Decisión comercial</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Cosecha "a ciegas" basada en intuición histórica.</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Pronóstico ML por región, temporada y producto.</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Intermediación</w:t>
            </w:r>
          </w:p>
        </w:tc>
        <w:tc>
          <w:tcPr>
            <w:tcW w:type="dxa" w:w="358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Coyotes capturan 20-35 % del valor.</w:t>
            </w:r>
          </w:p>
        </w:tc>
        <w:tc>
          <w:tcPr>
            <w:tcW w:type="dxa" w:w="358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Marketplace directo productor-comprador; comisión 4 %.</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Registro de datos</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Cuadernos, Excel y WhatsApp dispersos.</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Plataforma única con dashboard y reportería integrada.</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Trazabilidad</w:t>
            </w:r>
          </w:p>
        </w:tc>
        <w:tc>
          <w:tcPr>
            <w:tcW w:type="dxa" w:w="358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Producto opaco hacia el consumidor final.</w:t>
            </w:r>
          </w:p>
        </w:tc>
        <w:tc>
          <w:tcPr>
            <w:tcW w:type="dxa" w:w="358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QR público por lote con historia completa.</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Pérdidas anuales</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30-40 % del producto se pierde.</w:t>
            </w:r>
          </w:p>
        </w:tc>
        <w:tc>
          <w:tcPr>
            <w:tcW w:type="dxa" w:w="358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Reducción del 30 % en año 1, 45 % en año 3.</w:t>
            </w:r>
          </w:p>
        </w:tc>
      </w:tr>
    </w:tbl>
    <w:p>
      <w:pPr>
        <w:spacing w:after="120"/>
      </w:pPr>
      <w:r>
        <w:t xml:space="preserve"/>
      </w:r>
    </w:p>
    <w:p>
      <w:pPr>
        <w:pStyle w:val="Heading1"/>
        <w:pageBreakBefore/>
        <w:spacing w:after="240" w:before="360" w:line="276"/>
      </w:pPr>
      <w:r>
        <w:rPr>
          <w:rFonts w:ascii="Calibri" w:cs="Calibri" w:eastAsia="Calibri" w:hAnsi="Calibri"/>
          <w:b/>
          <w:bCs/>
          <w:color w:val="15803D"/>
          <w:sz w:val="36"/>
          <w:szCs w:val="36"/>
        </w:rPr>
        <w:t xml:space="preserve">Capítulo 3. Objetivos</w:t>
      </w:r>
    </w:p>
    <w:p>
      <w:pPr>
        <w:pStyle w:val="Heading2"/>
        <w:spacing w:after="180" w:before="300" w:line="276"/>
      </w:pPr>
      <w:r>
        <w:rPr>
          <w:rFonts w:ascii="Calibri" w:cs="Calibri" w:eastAsia="Calibri" w:hAnsi="Calibri"/>
          <w:b/>
          <w:bCs/>
          <w:color w:val="15803D"/>
          <w:sz w:val="28"/>
          <w:szCs w:val="28"/>
        </w:rPr>
        <w:t xml:space="preserve">3.1 Objetivo general</w:t>
      </w:r>
    </w:p>
    <w:p>
      <w:pPr>
        <w:spacing w:after="120" w:before="0" w:line="276"/>
        <w:jc w:val="both"/>
      </w:pPr>
      <w:r>
        <w:rPr>
          <w:rFonts w:ascii="Calibri" w:cs="Calibri" w:eastAsia="Calibri" w:hAnsi="Calibri"/>
          <w:b w:val="false"/>
          <w:bCs w:val="false"/>
          <w:i w:val="false"/>
          <w:iCs w:val="false"/>
          <w:color w:val="0F172A"/>
          <w:sz w:val="22"/>
          <w:szCs w:val="22"/>
        </w:rPr>
        <w:t xml:space="preserve">Diseñar e implementar una plataforma E-business denominada AgroPulse que integre componentes de Internet de las Cosas, analítica predictiva basada en aprendizaje automático y un marketplace B2B especializado en productos perecederos, con el propósito de reducir las pérdidas post-cosecha en al menos un 30 % durante el primer año de operación entre los productores que adopten la plataforma, generando simultáneamente valor económico capturable para los productores, valor de servicio para los compradores institucionales y valor ambiental medible para la sociedad en su conjunto.</w:t>
      </w:r>
    </w:p>
    <w:p>
      <w:pPr>
        <w:spacing w:after="120" w:before="0" w:line="276"/>
        <w:jc w:val="both"/>
      </w:pPr>
      <w:r>
        <w:rPr>
          <w:rFonts w:ascii="Calibri" w:cs="Calibri" w:eastAsia="Calibri" w:hAnsi="Calibri"/>
          <w:b w:val="false"/>
          <w:bCs w:val="false"/>
          <w:i w:val="false"/>
          <w:iCs w:val="false"/>
          <w:color w:val="0F172A"/>
          <w:sz w:val="22"/>
          <w:szCs w:val="22"/>
        </w:rPr>
        <w:t xml:space="preserve">Este objetivo general es deliberadamente ambicioso pero verificable. Es ambicioso porque pretende reducir en un tercio una pérdida que ha sido históricamente resistente a soluciones parciales. Es verificable porque cada uno de sus componentes (porcentaje de reducción, plazo, segmento, métricas de valor) es medible y reportable, lo que permite tanto la rendición de cuentas hacia el usuario como la mejora iterativa del producto en función de la evidencia recolectada.</w:t>
      </w:r>
    </w:p>
    <w:p>
      <w:pPr>
        <w:pStyle w:val="Heading2"/>
        <w:spacing w:after="180" w:before="300" w:line="276"/>
      </w:pPr>
      <w:r>
        <w:rPr>
          <w:rFonts w:ascii="Calibri" w:cs="Calibri" w:eastAsia="Calibri" w:hAnsi="Calibri"/>
          <w:b/>
          <w:bCs/>
          <w:color w:val="15803D"/>
          <w:sz w:val="28"/>
          <w:szCs w:val="28"/>
        </w:rPr>
        <w:t xml:space="preserve">3.2 Objetivos específicos</w:t>
      </w:r>
    </w:p>
    <w:p>
      <w:pPr>
        <w:spacing w:after="120" w:before="0" w:line="276"/>
        <w:jc w:val="both"/>
      </w:pPr>
      <w:r>
        <w:rPr>
          <w:rFonts w:ascii="Calibri" w:cs="Calibri" w:eastAsia="Calibri" w:hAnsi="Calibri"/>
          <w:b w:val="false"/>
          <w:bCs w:val="false"/>
          <w:i w:val="false"/>
          <w:iCs w:val="false"/>
          <w:color w:val="0F172A"/>
          <w:sz w:val="22"/>
          <w:szCs w:val="22"/>
        </w:rPr>
        <w:t xml:space="preserve">Los objetivos específicos del proyecto, derivados del objetivo general y operacionalizables durante la fase de implementación, son los siguientes seis:</w:t>
      </w:r>
    </w:p>
    <w:p>
      <w:pPr>
        <w:pStyle w:val="ListParagraph"/>
        <w:numPr>
          <w:ilvl w:val="0"/>
          <w:numId w:val="2"/>
        </w:numPr>
        <w:spacing w:after="80" w:line="276"/>
      </w:pPr>
      <w:r>
        <w:rPr>
          <w:rFonts w:ascii="Calibri" w:cs="Calibri" w:eastAsia="Calibri" w:hAnsi="Calibri"/>
          <w:color w:val="0F172A"/>
          <w:sz w:val="22"/>
          <w:szCs w:val="22"/>
        </w:rPr>
        <w:t xml:space="preserve">Implementar un sistema de monitoreo IoT en tiempo real que registre y reporte las variables críticas de temperatura, humedad y vida útil restante en almacenes, cámaras frigoríficas y unidades de transporte refrigerado, generando alertas automatizadas ante variaciones que excedan los umbrales establecidos por tipo de producto.</w:t>
      </w:r>
    </w:p>
    <w:p>
      <w:pPr>
        <w:pStyle w:val="ListParagraph"/>
        <w:numPr>
          <w:ilvl w:val="0"/>
          <w:numId w:val="2"/>
        </w:numPr>
        <w:spacing w:after="80" w:line="276"/>
      </w:pPr>
      <w:r>
        <w:rPr>
          <w:rFonts w:ascii="Calibri" w:cs="Calibri" w:eastAsia="Calibri" w:hAnsi="Calibri"/>
          <w:color w:val="0F172A"/>
          <w:sz w:val="22"/>
          <w:szCs w:val="22"/>
        </w:rPr>
        <w:t xml:space="preserve">Desarrollar e integrar un módulo de predicción de demanda basado en modelos de Machine Learning (XGBoost y Prophet) que estime la demanda regional, estacional y por tipo de producto con un horizonte de 30, 60 y 90 días, ofreciendo al productor recomendaciones de cosecha y comercialización.</w:t>
      </w:r>
    </w:p>
    <w:p>
      <w:pPr>
        <w:pStyle w:val="ListParagraph"/>
        <w:numPr>
          <w:ilvl w:val="0"/>
          <w:numId w:val="2"/>
        </w:numPr>
        <w:spacing w:after="80" w:line="276"/>
      </w:pPr>
      <w:r>
        <w:rPr>
          <w:rFonts w:ascii="Calibri" w:cs="Calibri" w:eastAsia="Calibri" w:hAnsi="Calibri"/>
          <w:color w:val="0F172A"/>
          <w:sz w:val="22"/>
          <w:szCs w:val="22"/>
        </w:rPr>
        <w:t xml:space="preserve">Construir un marketplace B2B funcional que permita el matching automático entre oferta y demanda priorizando los productos con menor vida útil restante para minimizar las pérdidas y maximizar el valor recuperado por el productor.</w:t>
      </w:r>
    </w:p>
    <w:p>
      <w:pPr>
        <w:pStyle w:val="ListParagraph"/>
        <w:numPr>
          <w:ilvl w:val="0"/>
          <w:numId w:val="2"/>
        </w:numPr>
        <w:spacing w:after="80" w:line="276"/>
      </w:pPr>
      <w:r>
        <w:rPr>
          <w:rFonts w:ascii="Calibri" w:cs="Calibri" w:eastAsia="Calibri" w:hAnsi="Calibri"/>
          <w:color w:val="0F172A"/>
          <w:sz w:val="22"/>
          <w:szCs w:val="22"/>
        </w:rPr>
        <w:t xml:space="preserve">Establecer un sistema de trazabilidad por lote mediante códigos QR de acceso público que permita al consumidor final conocer la historia completa del producto: origen, fechas, condiciones de transporte y certificaciones aplicables.</w:t>
      </w:r>
    </w:p>
    <w:p>
      <w:pPr>
        <w:pStyle w:val="ListParagraph"/>
        <w:numPr>
          <w:ilvl w:val="0"/>
          <w:numId w:val="2"/>
        </w:numPr>
        <w:spacing w:after="80" w:line="276"/>
      </w:pPr>
      <w:r>
        <w:rPr>
          <w:rFonts w:ascii="Calibri" w:cs="Calibri" w:eastAsia="Calibri" w:hAnsi="Calibri"/>
          <w:color w:val="0F172A"/>
          <w:sz w:val="22"/>
          <w:szCs w:val="22"/>
        </w:rPr>
        <w:t xml:space="preserve">Diseñar un dashboard analítico con indicadores clave de desempeño (KPIs) personalizados para cada rol (productor, comprador, administrador) que incluya métricas de mermas, ventas, rotación de inventario y alertas tempranas.</w:t>
      </w:r>
    </w:p>
    <w:p>
      <w:pPr>
        <w:pStyle w:val="ListParagraph"/>
        <w:numPr>
          <w:ilvl w:val="0"/>
          <w:numId w:val="2"/>
        </w:numPr>
        <w:spacing w:after="80" w:line="276"/>
      </w:pPr>
      <w:r>
        <w:rPr>
          <w:rFonts w:ascii="Calibri" w:cs="Calibri" w:eastAsia="Calibri" w:hAnsi="Calibri"/>
          <w:color w:val="0F172A"/>
          <w:sz w:val="22"/>
          <w:szCs w:val="22"/>
        </w:rPr>
        <w:t xml:space="preserve">Integrar una red de transportistas aliados especializados en cadena de frío que permita al productor cotizar y contratar el servicio logístico desde la misma plataforma, eliminando fricciones operativas y garantizando trazabilidad continua durante el transporte.</w:t>
      </w:r>
    </w:p>
    <w:p>
      <w:pPr>
        <w:pStyle w:val="Heading2"/>
        <w:spacing w:after="180" w:before="300" w:line="276"/>
      </w:pPr>
      <w:r>
        <w:rPr>
          <w:rFonts w:ascii="Calibri" w:cs="Calibri" w:eastAsia="Calibri" w:hAnsi="Calibri"/>
          <w:b/>
          <w:bCs/>
          <w:color w:val="15803D"/>
          <w:sz w:val="28"/>
          <w:szCs w:val="28"/>
        </w:rPr>
        <w:t xml:space="preserve">3.3 Alcance y limitaciones</w:t>
      </w:r>
    </w:p>
    <w:p>
      <w:pPr>
        <w:spacing w:after="120" w:before="0" w:line="276"/>
        <w:jc w:val="both"/>
      </w:pPr>
      <w:r>
        <w:rPr>
          <w:rFonts w:ascii="Calibri" w:cs="Calibri" w:eastAsia="Calibri" w:hAnsi="Calibri"/>
          <w:b w:val="false"/>
          <w:bCs w:val="false"/>
          <w:i w:val="false"/>
          <w:iCs w:val="false"/>
          <w:color w:val="0F172A"/>
          <w:sz w:val="22"/>
          <w:szCs w:val="22"/>
        </w:rPr>
        <w:t xml:space="preserve">El alcance de este proyecto académico se circunscribe al diseño del modelo de negocio, la arquitectura técnica y el desarrollo de un prototipo funcional del sitio web. El prototipo incluye la implementación completa del frontend (landing, marketplace, dashboard, trazabilidad pública), la simulación de los endpoints de la API con datos mock representativos, y la integración visual y narrativa de los componentes IoT y ML que conformarían el producto en producción.</w:t>
      </w:r>
    </w:p>
    <w:p>
      <w:pPr>
        <w:spacing w:after="120" w:before="0" w:line="276"/>
        <w:jc w:val="both"/>
      </w:pPr>
      <w:r>
        <w:rPr>
          <w:rFonts w:ascii="Calibri" w:cs="Calibri" w:eastAsia="Calibri" w:hAnsi="Calibri"/>
          <w:b w:val="false"/>
          <w:bCs w:val="false"/>
          <w:i w:val="false"/>
          <w:iCs w:val="false"/>
          <w:color w:val="0F172A"/>
          <w:sz w:val="22"/>
          <w:szCs w:val="22"/>
        </w:rPr>
        <w:t xml:space="preserve">Las limitaciones del proyecto académico deben enunciarse con claridad para evitar expectativas irreales. En primer lugar, no se implementa hardware real de sensores IoT ni se establecen conexiones reales con dispositivos LoRaWAN; estos componentes se representan narrativamente y mediante datos simulados que mimetizan el comportamiento esperado. En segundo lugar, los modelos de Machine Learning para pronóstico de demanda se representan mediante datos generados algorítmicamente, no entrenados con datos históricos reales. En tercer lugar, las transacciones del marketplace son simuladas (no hay procesador de pagos real conectado). En cuarto lugar, no se valida la propuesta con productores ni compradores reales mediante pilotos de campo, lo que constituye una recomendación explícita para el trabajo futuro.</w:t>
      </w:r>
    </w:p>
    <w:p>
      <w:pPr>
        <w:pStyle w:val="Heading1"/>
        <w:pageBreakBefore/>
        <w:spacing w:after="240" w:before="360" w:line="276"/>
      </w:pPr>
      <w:r>
        <w:rPr>
          <w:rFonts w:ascii="Calibri" w:cs="Calibri" w:eastAsia="Calibri" w:hAnsi="Calibri"/>
          <w:b/>
          <w:bCs/>
          <w:color w:val="15803D"/>
          <w:sz w:val="36"/>
          <w:szCs w:val="36"/>
        </w:rPr>
        <w:t xml:space="preserve">Capítulo 4. Marco teórico</w:t>
      </w:r>
    </w:p>
    <w:p>
      <w:pPr>
        <w:pStyle w:val="Heading2"/>
        <w:spacing w:after="180" w:before="300" w:line="276"/>
      </w:pPr>
      <w:r>
        <w:rPr>
          <w:rFonts w:ascii="Calibri" w:cs="Calibri" w:eastAsia="Calibri" w:hAnsi="Calibri"/>
          <w:b/>
          <w:bCs/>
          <w:color w:val="15803D"/>
          <w:sz w:val="28"/>
          <w:szCs w:val="28"/>
        </w:rPr>
        <w:t xml:space="preserve">4.1 Comercio electrónico vs. E-business: definiciones y diferencias</w:t>
      </w:r>
    </w:p>
    <w:p>
      <w:pPr>
        <w:spacing w:after="120" w:before="0" w:line="276"/>
        <w:jc w:val="both"/>
      </w:pPr>
      <w:r>
        <w:rPr>
          <w:rFonts w:ascii="Calibri" w:cs="Calibri" w:eastAsia="Calibri" w:hAnsi="Calibri"/>
          <w:b w:val="false"/>
          <w:bCs w:val="false"/>
          <w:i w:val="false"/>
          <w:iCs w:val="false"/>
          <w:color w:val="0F172A"/>
          <w:sz w:val="22"/>
          <w:szCs w:val="22"/>
        </w:rPr>
        <w:t xml:space="preserve">Aunque los términos comercio electrónico (E-commerce) y negocio electrónico (E-business) suelen utilizarse de forma intercambiable en el discurso cotidiano, en la literatura académica especializada mantienen distinciones precisas que son fundamentales para comprender el alcance del proyecto AgroPulse. El comercio electrónico, según Laudon y Traver (2023), se refiere específicamente a las transacciones comerciales realizadas mediante medios digitales, incluyendo la compra y venta de bienes y servicios a través de Internet y la transferencia electrónica de los pagos asociados. Su unidad de análisis es la transacción y su métrica fundamental es el volumen total transaccionado, conocido como GMV (Gross Merchandise Value).</w:t>
      </w:r>
    </w:p>
    <w:p>
      <w:pPr>
        <w:spacing w:after="120" w:before="0" w:line="276"/>
        <w:jc w:val="both"/>
      </w:pPr>
      <w:r>
        <w:rPr>
          <w:rFonts w:ascii="Calibri" w:cs="Calibri" w:eastAsia="Calibri" w:hAnsi="Calibri"/>
          <w:b w:val="false"/>
          <w:bCs w:val="false"/>
          <w:i w:val="false"/>
          <w:iCs w:val="false"/>
          <w:color w:val="0F172A"/>
          <w:sz w:val="22"/>
          <w:szCs w:val="22"/>
        </w:rPr>
        <w:t xml:space="preserve">El negocio electrónico, en contraste, es un concepto más amplio que abarca la digitalización integral de los procesos de negocio de una organización, incluyendo la gestión interna (sistemas ERP), la relación con clientes (CRM), la cadena de suministro (SCM), la comunicación intra e interorganizacional, y el conjunto de actividades que generan valor más allá de la transacción inmediata. El comercio electrónico es, en consecuencia, un subconjunto del negocio electrónico. AgroPulse, por su carácter integrador, se ubica deliberadamente en el campo del E-business: vende productos en el marketplace (E-commerce), pero también opera la cadena de suministro completa (SCM), gestiona la relación de largo plazo con los productores (CRM), genera analítica predictiva (Business Intelligence) y registra eventos de trazabilidad (sistema de información).</w:t>
      </w:r>
    </w:p>
    <w:p>
      <w:pPr>
        <w:spacing w:after="120" w:before="0" w:line="276"/>
        <w:jc w:val="both"/>
      </w:pPr>
      <w:r>
        <w:rPr>
          <w:rFonts w:ascii="Calibri" w:cs="Calibri" w:eastAsia="Calibri" w:hAnsi="Calibri"/>
          <w:b w:val="false"/>
          <w:bCs w:val="false"/>
          <w:i w:val="false"/>
          <w:iCs w:val="false"/>
          <w:color w:val="0F172A"/>
          <w:sz w:val="22"/>
          <w:szCs w:val="22"/>
        </w:rPr>
        <w:t xml:space="preserve">Esta distinción no es meramente terminológica. Tiene consecuencias prácticas para el diseño de la arquitectura técnica, para el modelo de negocio, para la métrica de éxito y para la propuesta de valor al cliente. Una plataforma E-commerce mide su éxito por el GMV transado; una plataforma E-business como AgroPulse mide su éxito por una canasta más amplia de indicadores: GMV, número de productores onboarded, toneladas de merma evitadas, certificaciones emitidas, lotes con trazabilidad QR consultados por el consumidor, etcétera.</w:t>
      </w:r>
    </w:p>
    <w:p>
      <w:pPr>
        <w:pStyle w:val="Heading2"/>
        <w:spacing w:after="180" w:before="300" w:line="276"/>
      </w:pPr>
      <w:r>
        <w:rPr>
          <w:rFonts w:ascii="Calibri" w:cs="Calibri" w:eastAsia="Calibri" w:hAnsi="Calibri"/>
          <w:b/>
          <w:bCs/>
          <w:color w:val="15803D"/>
          <w:sz w:val="28"/>
          <w:szCs w:val="28"/>
        </w:rPr>
        <w:t xml:space="preserve">4.2 Modelos de negocio digital</w:t>
      </w:r>
    </w:p>
    <w:p>
      <w:pPr>
        <w:spacing w:after="120" w:before="0" w:line="276"/>
        <w:jc w:val="both"/>
      </w:pPr>
      <w:r>
        <w:rPr>
          <w:rFonts w:ascii="Calibri" w:cs="Calibri" w:eastAsia="Calibri" w:hAnsi="Calibri"/>
          <w:b w:val="false"/>
          <w:bCs w:val="false"/>
          <w:i w:val="false"/>
          <w:iCs w:val="false"/>
          <w:color w:val="0F172A"/>
          <w:sz w:val="22"/>
          <w:szCs w:val="22"/>
        </w:rPr>
        <w:t xml:space="preserve">La literatura especializada en negocios digitales clasifica los modelos de negocio en función del tipo de actores involucrados en la transacción y del tipo de relación que la plataforma establece con ellos (Chaffey y Ellis-Chadwick, 2022). Los modelos más relevantes para AgroPulse son los siguientes.</w:t>
      </w:r>
    </w:p>
    <w:p>
      <w:pPr>
        <w:spacing w:after="120" w:before="0" w:line="276"/>
        <w:jc w:val="both"/>
      </w:pPr>
      <w:r>
        <w:rPr>
          <w:rFonts w:ascii="Calibri" w:cs="Calibri" w:eastAsia="Calibri" w:hAnsi="Calibri"/>
          <w:b w:val="false"/>
          <w:bCs w:val="false"/>
          <w:i w:val="false"/>
          <w:iCs w:val="false"/>
          <w:color w:val="0F172A"/>
          <w:sz w:val="22"/>
          <w:szCs w:val="22"/>
        </w:rPr>
        <w:t xml:space="preserve">El modelo B2B (Business-to-Business) describe transacciones entre empresas. AgroPulse es fundamentalmente B2B porque sus usuarios principales son productores (empresas) y compradores institucionales (empresas), no consumidores finales. Las características operativas del B2B incluyen volúmenes mayores por transacción, ciclos de venta más largos, importancia creciente de la confianza y las relaciones de largo plazo, y exigencias regulatorias y de facturación más estrictas.</w:t>
      </w:r>
    </w:p>
    <w:p>
      <w:pPr>
        <w:spacing w:after="120" w:before="0" w:line="276"/>
        <w:jc w:val="both"/>
      </w:pPr>
      <w:r>
        <w:rPr>
          <w:rFonts w:ascii="Calibri" w:cs="Calibri" w:eastAsia="Calibri" w:hAnsi="Calibri"/>
          <w:b w:val="false"/>
          <w:bCs w:val="false"/>
          <w:i w:val="false"/>
          <w:iCs w:val="false"/>
          <w:color w:val="0F172A"/>
          <w:sz w:val="22"/>
          <w:szCs w:val="22"/>
        </w:rPr>
        <w:t xml:space="preserve">El modelo de marketplace describe a una plataforma que conecta a múltiples vendedores con múltiples compradores, asumiendo el rol de intermediario tecnológico sin tomar título de propiedad de los productos. AgroPulse es un marketplace porque no compra producto al productor para revenderlo, sino que facilita el encuentro y la transacción cobrando una comisión por cada operación cerrada. Este modelo tiene la ventaja de escalar sin necesidad de capital de trabajo para inventario, pero requiere alcanzar masa crítica simultánea en ambos lados del mercado (lo que se conoce como el problema del huevo y la gallina).</w:t>
      </w:r>
    </w:p>
    <w:p>
      <w:pPr>
        <w:spacing w:after="120" w:before="0" w:line="276"/>
        <w:jc w:val="both"/>
      </w:pPr>
      <w:r>
        <w:rPr>
          <w:rFonts w:ascii="Calibri" w:cs="Calibri" w:eastAsia="Calibri" w:hAnsi="Calibri"/>
          <w:b w:val="false"/>
          <w:bCs w:val="false"/>
          <w:i w:val="false"/>
          <w:iCs w:val="false"/>
          <w:color w:val="0F172A"/>
          <w:sz w:val="22"/>
          <w:szCs w:val="22"/>
        </w:rPr>
        <w:t xml:space="preserve">El modelo SaaS (Software as a Service) describe la entrega de software mediante suscripción periódica en lugar de venta única de licencia. AgroPulse incorpora un componente SaaS en sus planes Básico, Pro y Enterprise, que cobran una renta mensual al productor por el uso de la plataforma y los sensores asociados. El SaaS aporta previsibilidad de ingresos recurrentes (MRR, monthly recurring revenue) y métricas operativas estables como el costo de adquisición de cliente (CAC) y el valor de vida del cliente (LTV).</w:t>
      </w:r>
    </w:p>
    <w:p>
      <w:pPr>
        <w:spacing w:after="120" w:before="0" w:line="276"/>
        <w:jc w:val="both"/>
      </w:pPr>
      <w:r>
        <w:rPr>
          <w:rFonts w:ascii="Calibri" w:cs="Calibri" w:eastAsia="Calibri" w:hAnsi="Calibri"/>
          <w:b w:val="false"/>
          <w:bCs w:val="false"/>
          <w:i w:val="false"/>
          <w:iCs w:val="false"/>
          <w:color w:val="0F172A"/>
          <w:sz w:val="22"/>
          <w:szCs w:val="22"/>
        </w:rPr>
        <w:t xml:space="preserve">Finalmente, el modelo de plataforma describe a una infraestructura digital sobre la cual otros actores pueden construir valor (por ejemplo, las APIs que AgroPulse expone a transportistas, certificadoras y empacadoras para que se integren al ecosistema). El modelo de plataforma, popularizado por Parker, Van Alstyne y Choudary (2017) en "Platform Revolution", permite efectos de red que multiplican el valor a medida que crece la base de usuarios.</w:t>
      </w:r>
    </w:p>
    <w:p>
      <w:pPr>
        <w:pStyle w:val="Heading2"/>
        <w:spacing w:after="180" w:before="300" w:line="276"/>
      </w:pPr>
      <w:r>
        <w:rPr>
          <w:rFonts w:ascii="Calibri" w:cs="Calibri" w:eastAsia="Calibri" w:hAnsi="Calibri"/>
          <w:b/>
          <w:bCs/>
          <w:color w:val="15803D"/>
          <w:sz w:val="28"/>
          <w:szCs w:val="28"/>
        </w:rPr>
        <w:t xml:space="preserve">4.3 Internet de las Cosas (IoT) aplicado al agro</w:t>
      </w:r>
    </w:p>
    <w:p>
      <w:pPr>
        <w:spacing w:after="120" w:before="0" w:line="276"/>
        <w:jc w:val="both"/>
      </w:pPr>
      <w:r>
        <w:rPr>
          <w:rFonts w:ascii="Calibri" w:cs="Calibri" w:eastAsia="Calibri" w:hAnsi="Calibri"/>
          <w:b w:val="false"/>
          <w:bCs w:val="false"/>
          <w:i w:val="false"/>
          <w:iCs w:val="false"/>
          <w:color w:val="0F172A"/>
          <w:sz w:val="22"/>
          <w:szCs w:val="22"/>
        </w:rPr>
        <w:t xml:space="preserve">El Internet de las Cosas (IoT) se define como la red de dispositivos físicos interconectados que incorporan sensores, actuadores, software y conectividad de red para intercambiar datos con otros dispositivos y sistemas a través de Internet (Atzori, Iera y Morabito, 2020). En el contexto agroalimentario, las aplicaciones de IoT han evolucionado significativamente durante la última década, pasando de pilotos académicos aislados a despliegues comerciales a escala industrial.</w:t>
      </w:r>
    </w:p>
    <w:p>
      <w:pPr>
        <w:spacing w:after="120" w:before="0" w:line="276"/>
        <w:jc w:val="both"/>
      </w:pPr>
      <w:r>
        <w:rPr>
          <w:rFonts w:ascii="Calibri" w:cs="Calibri" w:eastAsia="Calibri" w:hAnsi="Calibri"/>
          <w:b w:val="false"/>
          <w:bCs w:val="false"/>
          <w:i w:val="false"/>
          <w:iCs w:val="false"/>
          <w:color w:val="0F172A"/>
          <w:sz w:val="22"/>
          <w:szCs w:val="22"/>
        </w:rPr>
        <w:t xml:space="preserve">Las aplicaciones más maduras del IoT en agro incluyen el monitoreo ambiental de invernaderos (temperatura, humedad relativa, CO₂, intensidad lumínica), el riego inteligente con base en humedad de suelo, el seguimiento de ganado mediante collares con GPS y sensores fisiológicos, y precisamente el monitoreo de la cadena de frío post-cosecha que AgroPulse incorpora a su propuesta. Las tecnologías de conectividad más utilizadas son LoRaWAN (por su bajo consumo y largo alcance, ideal para zonas rurales), NB-IoT (cuando hay cobertura celular adecuada) y, en proyectos de alta capilaridad y bajo costo, soluciones híbridas.</w:t>
      </w:r>
    </w:p>
    <w:p>
      <w:pPr>
        <w:spacing w:after="120" w:before="0" w:line="276"/>
        <w:jc w:val="both"/>
      </w:pPr>
      <w:r>
        <w:rPr>
          <w:rFonts w:ascii="Calibri" w:cs="Calibri" w:eastAsia="Calibri" w:hAnsi="Calibri"/>
          <w:b w:val="false"/>
          <w:bCs w:val="false"/>
          <w:i w:val="false"/>
          <w:iCs w:val="false"/>
          <w:color w:val="0F172A"/>
          <w:sz w:val="22"/>
          <w:szCs w:val="22"/>
        </w:rPr>
        <w:t xml:space="preserve">El valor económico del IoT aplicado al agro fue estimado por Deloitte (2024) en USD 19 mil millones a nivel global en 2024, con una tasa de crecimiento anual compuesta esperada del 14 % hasta 2030. El segmento de monitoreo de cadena de frío, en particular, es el de mayor crecimiento dentro de la categoría, impulsado por la creciente exigencia regulatoria de trazabilidad en mercados de exportación y por la conciencia ambiental de los consumidores que demandan reducción del desperdicio alimentario.</w:t>
      </w:r>
    </w:p>
    <w:p>
      <w:pPr>
        <w:pStyle w:val="Heading2"/>
        <w:spacing w:after="180" w:before="300" w:line="276"/>
      </w:pPr>
      <w:r>
        <w:rPr>
          <w:rFonts w:ascii="Calibri" w:cs="Calibri" w:eastAsia="Calibri" w:hAnsi="Calibri"/>
          <w:b/>
          <w:bCs/>
          <w:color w:val="15803D"/>
          <w:sz w:val="28"/>
          <w:szCs w:val="28"/>
        </w:rPr>
        <w:t xml:space="preserve">4.4 Machine Learning para pronóstico de demanda</w:t>
      </w:r>
    </w:p>
    <w:p>
      <w:pPr>
        <w:spacing w:after="120" w:before="0" w:line="276"/>
        <w:jc w:val="both"/>
      </w:pPr>
      <w:r>
        <w:rPr>
          <w:rFonts w:ascii="Calibri" w:cs="Calibri" w:eastAsia="Calibri" w:hAnsi="Calibri"/>
          <w:b w:val="false"/>
          <w:bCs w:val="false"/>
          <w:i w:val="false"/>
          <w:iCs w:val="false"/>
          <w:color w:val="0F172A"/>
          <w:sz w:val="22"/>
          <w:szCs w:val="22"/>
        </w:rPr>
        <w:t xml:space="preserve">El pronóstico de demanda en productos perecederos es una de las aplicaciones del aprendizaje automático con mayor impacto económico potencial. A diferencia de los productos durables, donde un error de pronóstico se traduce en costos de inventario inmovilizado pero recuperables, en perecederos un error de pronóstico se traduce directamente en producto perdido o en demanda insatisfecha. Los modelos clásicos de series temporales (ARIMA, suavizamiento exponencial) han sido el estándar de la industria durante décadas, pero presentan limitaciones cuando las series tienen estacionalidades múltiples, eventos especiales (festividades) o cambios de régimen.</w:t>
      </w:r>
    </w:p>
    <w:p>
      <w:pPr>
        <w:spacing w:after="120" w:before="0" w:line="276"/>
        <w:jc w:val="both"/>
      </w:pPr>
      <w:r>
        <w:rPr>
          <w:rFonts w:ascii="Calibri" w:cs="Calibri" w:eastAsia="Calibri" w:hAnsi="Calibri"/>
          <w:b w:val="false"/>
          <w:bCs w:val="false"/>
          <w:i w:val="false"/>
          <w:iCs w:val="false"/>
          <w:color w:val="0F172A"/>
          <w:sz w:val="22"/>
          <w:szCs w:val="22"/>
        </w:rPr>
        <w:t xml:space="preserve">Los modelos modernos más utilizados en pronóstico de demanda agroalimentaria son Prophet, desarrollado por el equipo de Meta y específicamente diseñado para series con estacionalidades anidadas y eventos especiales, y XGBoost, un algoritmo de gradient boosting que ha demostrado desempeño superior en numerosas competencias predictivas y permite incorporar variables exógenas (clima, precios de productos sustitutos, eventos calendarizados). AgroPulse representa narrativamente la integración de ambos modelos para entregar pronósticos por región, producto y temporada al productor.</w:t>
      </w:r>
    </w:p>
    <w:p>
      <w:pPr>
        <w:pStyle w:val="Heading2"/>
        <w:spacing w:after="180" w:before="300" w:line="276"/>
      </w:pPr>
      <w:r>
        <w:rPr>
          <w:rFonts w:ascii="Calibri" w:cs="Calibri" w:eastAsia="Calibri" w:hAnsi="Calibri"/>
          <w:b/>
          <w:bCs/>
          <w:color w:val="15803D"/>
          <w:sz w:val="28"/>
          <w:szCs w:val="28"/>
        </w:rPr>
        <w:t xml:space="preserve">4.5 Cadena de frío y trazabilidad digital</w:t>
      </w:r>
    </w:p>
    <w:p>
      <w:pPr>
        <w:spacing w:after="120" w:before="0" w:line="276"/>
        <w:jc w:val="both"/>
      </w:pPr>
      <w:r>
        <w:rPr>
          <w:rFonts w:ascii="Calibri" w:cs="Calibri" w:eastAsia="Calibri" w:hAnsi="Calibri"/>
          <w:b w:val="false"/>
          <w:bCs w:val="false"/>
          <w:i w:val="false"/>
          <w:iCs w:val="false"/>
          <w:color w:val="0F172A"/>
          <w:sz w:val="22"/>
          <w:szCs w:val="22"/>
        </w:rPr>
        <w:t xml:space="preserve">La cadena de frío se define como la sucesión de procedimientos logísticos que garantizan el mantenimiento de un producto perecedero dentro de un rango térmico controlado desde su origen (cosecha, ordeña, procesamiento) hasta su consumo. Para productos hortofrutícolas frescos, el rango óptimo típico oscila entre 2 °C y 8 °C; para lácteos refrigerados, entre 4 °C y 6 °C; para congelados, por debajo de –18 °C. Cada ruptura de la cadena de frío, incluso por períodos cortos, acelera el crecimiento microbiano y la actividad enzimática que deteriora el producto, reduciendo su vida útil restante de manera no lineal.</w:t>
      </w:r>
    </w:p>
    <w:p>
      <w:pPr>
        <w:spacing w:after="120" w:before="0" w:line="276"/>
        <w:jc w:val="both"/>
      </w:pPr>
      <w:r>
        <w:rPr>
          <w:rFonts w:ascii="Calibri" w:cs="Calibri" w:eastAsia="Calibri" w:hAnsi="Calibri"/>
          <w:b w:val="false"/>
          <w:bCs w:val="false"/>
          <w:i w:val="false"/>
          <w:iCs w:val="false"/>
          <w:color w:val="0F172A"/>
          <w:sz w:val="22"/>
          <w:szCs w:val="22"/>
        </w:rPr>
        <w:t xml:space="preserve">La trazabilidad digital, complementaria al monitoreo de cadena de frío, se refiere al registro inmutable y consultable de los eventos relevantes que un producto experimenta a lo largo de su ciclo de vida: cosecha, empaque, transporte, almacenamiento, comercialización. Las tecnologías emergentes en este campo incluyen el uso de blockchain para asegurar la inmutabilidad de los registros, los códigos QR para la consulta pública por parte del consumidor, y los pasaportes digitales de producto que están siendo impulsados por la regulación europea (EU Digital Product Passport).</w:t>
      </w:r>
    </w:p>
    <w:p>
      <w:pPr>
        <w:pStyle w:val="Heading1"/>
        <w:pageBreakBefore/>
        <w:spacing w:after="240" w:before="360" w:line="276"/>
      </w:pPr>
      <w:r>
        <w:rPr>
          <w:rFonts w:ascii="Calibri" w:cs="Calibri" w:eastAsia="Calibri" w:hAnsi="Calibri"/>
          <w:b/>
          <w:bCs/>
          <w:color w:val="15803D"/>
          <w:sz w:val="36"/>
          <w:szCs w:val="36"/>
        </w:rPr>
        <w:t xml:space="preserve">Capítulo 5. Modelo de negocio</w:t>
      </w:r>
    </w:p>
    <w:p>
      <w:pPr>
        <w:spacing w:after="120" w:before="0" w:line="276"/>
        <w:jc w:val="both"/>
      </w:pPr>
      <w:r>
        <w:rPr>
          <w:rFonts w:ascii="Calibri" w:cs="Calibri" w:eastAsia="Calibri" w:hAnsi="Calibri"/>
          <w:b w:val="false"/>
          <w:bCs w:val="false"/>
          <w:i w:val="false"/>
          <w:iCs w:val="false"/>
          <w:color w:val="0F172A"/>
          <w:sz w:val="22"/>
          <w:szCs w:val="22"/>
        </w:rPr>
        <w:t xml:space="preserve">El modelo de negocio de AgroPulse se sustenta sobre tres principios articuladores. En primer lugar, la captura de valor debe ser proporcional al valor entregado, lo que se traduce en esquemas de cobro variable (comisiones, suscripciones) en lugar de pagos únicos onerosos. En segundo lugar, la propuesta debe ser accesible para el pequeño y mediano productor que históricamente ha quedado fuera de las soluciones de ERP empresarial. En tercer lugar, la diversificación de fuentes de ingreso reduce el riesgo de dependencia de una sola línea, permitiendo a la empresa sostenerse en distintas etapas del ciclo económico agrícola.</w:t>
      </w:r>
    </w:p>
    <w:p>
      <w:pPr>
        <w:pStyle w:val="Heading2"/>
        <w:spacing w:after="180" w:before="300" w:line="276"/>
      </w:pPr>
      <w:r>
        <w:rPr>
          <w:rFonts w:ascii="Calibri" w:cs="Calibri" w:eastAsia="Calibri" w:hAnsi="Calibri"/>
          <w:b/>
          <w:bCs/>
          <w:color w:val="15803D"/>
          <w:sz w:val="28"/>
          <w:szCs w:val="28"/>
        </w:rPr>
        <w:t xml:space="preserve">5.1 Lienzo Canvas resumido</w:t>
      </w:r>
    </w:p>
    <w:p>
      <w:pPr>
        <w:spacing w:after="120" w:before="0" w:line="276"/>
        <w:jc w:val="both"/>
      </w:pPr>
      <w:r>
        <w:rPr>
          <w:rFonts w:ascii="Calibri" w:cs="Calibri" w:eastAsia="Calibri" w:hAnsi="Calibri"/>
          <w:b w:val="false"/>
          <w:bCs w:val="false"/>
          <w:i w:val="false"/>
          <w:iCs w:val="false"/>
          <w:color w:val="0F172A"/>
          <w:sz w:val="22"/>
          <w:szCs w:val="22"/>
        </w:rPr>
        <w:t xml:space="preserve">El siguiente lienzo Canvas resume los nueve bloques del modelo de negocio según la metodología de Osterwalder y Pigneur (2010), aplicada al contexto específico de AgroPulse.</w:t>
      </w:r>
    </w:p>
    <w:p>
      <w:pPr>
        <w:spacing w:after="120" w:before="180" w:line="276"/>
        <w:jc w:val="center"/>
      </w:pPr>
      <w:r>
        <w:rPr>
          <w:rFonts w:ascii="Calibri" w:cs="Calibri" w:eastAsia="Calibri" w:hAnsi="Calibri"/>
          <w:b/>
          <w:bCs/>
          <w:i/>
          <w:iCs/>
          <w:color w:val="14532D"/>
          <w:sz w:val="20"/>
          <w:szCs w:val="20"/>
        </w:rPr>
        <w:t xml:space="preserve">Tabla 3. Lienzo Canvas de AgroPulse.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Bloque</w:t>
            </w:r>
          </w:p>
        </w:tc>
        <w:tc>
          <w:tcPr>
            <w:tcW w:type="dxa" w:w="69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Descripción</w:t>
            </w:r>
          </w:p>
        </w:tc>
      </w:tr>
      <w:tr>
        <w:tc>
          <w:tcPr>
            <w:tcW w:type="dxa" w:w="2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Segmentos de cliente</w:t>
            </w:r>
          </w:p>
        </w:tc>
        <w:tc>
          <w:tcPr>
            <w:tcW w:type="dxa" w:w="6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Productores pequeños/medianos de hortalizas, frutas y lácteos. Compradores: supermercados regionales, HORECA y agroindustrias.</w:t>
            </w:r>
          </w:p>
        </w:tc>
      </w:tr>
      <w:tr>
        <w:tc>
          <w:tcPr>
            <w:tcW w:type="dxa" w:w="24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Propuesta de valor</w:t>
            </w:r>
          </w:p>
        </w:tc>
        <w:tc>
          <w:tcPr>
            <w:tcW w:type="dxa" w:w="6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Reducción 30 % de pérdidas, +25 % margen, trazabilidad QR y cadena de frío garantizada.</w:t>
            </w:r>
          </w:p>
        </w:tc>
      </w:tr>
      <w:tr>
        <w:tc>
          <w:tcPr>
            <w:tcW w:type="dxa" w:w="2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Canales</w:t>
            </w:r>
          </w:p>
        </w:tc>
        <w:tc>
          <w:tcPr>
            <w:tcW w:type="dxa" w:w="6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Sitio web, app móvil (futura), red de promotores de campo, alianzas con cooperativas.</w:t>
            </w:r>
          </w:p>
        </w:tc>
      </w:tr>
      <w:tr>
        <w:tc>
          <w:tcPr>
            <w:tcW w:type="dxa" w:w="24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Relación con clientes</w:t>
            </w:r>
          </w:p>
        </w:tc>
        <w:tc>
          <w:tcPr>
            <w:tcW w:type="dxa" w:w="6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Soporte por email/chat (Básico), gerente de cuenta (Pro/Enterprise), comunidad de productores.</w:t>
            </w:r>
          </w:p>
        </w:tc>
      </w:tr>
      <w:tr>
        <w:tc>
          <w:tcPr>
            <w:tcW w:type="dxa" w:w="2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Fuentes de ingreso</w:t>
            </w:r>
          </w:p>
        </w:tc>
        <w:tc>
          <w:tcPr>
            <w:tcW w:type="dxa" w:w="6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Comisión 4 % marketplace, suscripción SaaS, logística integrada, servicios premium ESG/certificación.</w:t>
            </w:r>
          </w:p>
        </w:tc>
      </w:tr>
      <w:tr>
        <w:tc>
          <w:tcPr>
            <w:tcW w:type="dxa" w:w="24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Recursos clave</w:t>
            </w:r>
          </w:p>
        </w:tc>
        <w:tc>
          <w:tcPr>
            <w:tcW w:type="dxa" w:w="6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Plataforma de software, red de sensores IoT, equipo técnico, alianzas con transportistas y certificadoras.</w:t>
            </w:r>
          </w:p>
        </w:tc>
      </w:tr>
      <w:tr>
        <w:tc>
          <w:tcPr>
            <w:tcW w:type="dxa" w:w="2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Actividades clave</w:t>
            </w:r>
          </w:p>
        </w:tc>
        <w:tc>
          <w:tcPr>
            <w:tcW w:type="dxa" w:w="6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Desarrollo de plataforma, onboarding, soporte, gestión de marketplace, alianzas logísticas.</w:t>
            </w:r>
          </w:p>
        </w:tc>
      </w:tr>
      <w:tr>
        <w:tc>
          <w:tcPr>
            <w:tcW w:type="dxa" w:w="24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Socios clave</w:t>
            </w:r>
          </w:p>
        </w:tc>
        <w:tc>
          <w:tcPr>
            <w:tcW w:type="dxa" w:w="6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Transportistas de cadena de frío, certificadoras (GLOBALG.A.P., Orgánico SAGARPA), bancos para financiamiento al productor.</w:t>
            </w:r>
          </w:p>
        </w:tc>
      </w:tr>
      <w:tr>
        <w:tc>
          <w:tcPr>
            <w:tcW w:type="dxa" w:w="2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Estructura de costos</w:t>
            </w:r>
          </w:p>
        </w:tc>
        <w:tc>
          <w:tcPr>
            <w:tcW w:type="dxa" w:w="6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Tecnología (cloud, sensores), personal, marketing, operación logística aliada, costos legales/regulatorios.</w:t>
            </w:r>
          </w:p>
        </w:tc>
      </w:tr>
    </w:tbl>
    <w:p>
      <w:pPr>
        <w:spacing w:after="120"/>
      </w:pPr>
      <w:r>
        <w:t xml:space="preserve"/>
      </w:r>
    </w:p>
    <w:p>
      <w:pPr>
        <w:pStyle w:val="Heading2"/>
        <w:spacing w:after="180" w:before="300" w:line="276"/>
      </w:pPr>
      <w:r>
        <w:rPr>
          <w:rFonts w:ascii="Calibri" w:cs="Calibri" w:eastAsia="Calibri" w:hAnsi="Calibri"/>
          <w:b/>
          <w:bCs/>
          <w:color w:val="15803D"/>
          <w:sz w:val="28"/>
          <w:szCs w:val="28"/>
        </w:rPr>
        <w:t xml:space="preserve">5.2 Fuentes de ingreso</w:t>
      </w:r>
    </w:p>
    <w:p>
      <w:pPr>
        <w:spacing w:after="120" w:before="0" w:line="276"/>
        <w:jc w:val="both"/>
      </w:pPr>
      <w:r>
        <w:rPr>
          <w:rFonts w:ascii="Calibri" w:cs="Calibri" w:eastAsia="Calibri" w:hAnsi="Calibri"/>
          <w:b w:val="false"/>
          <w:bCs w:val="false"/>
          <w:i w:val="false"/>
          <w:iCs w:val="false"/>
          <w:color w:val="0F172A"/>
          <w:sz w:val="22"/>
          <w:szCs w:val="22"/>
        </w:rPr>
        <w:t xml:space="preserve">AgroPulse opera cuatro fuentes de ingreso complementarias diseñadas para diversificar el riesgo y maximizar el valor capturable por cada interacción con el cliente. La primera fuente, y la de mayor proyección de crecimiento, es la comisión del 4 % sobre cada transacción exitosa cerrada en el marketplace. Este porcentaje se sitúa significativamente por debajo del costo histórico de los intermediarios tradicionales (20-35 %), lo que constituye un argumento de venta poderoso para el productor mientras genera ingresos sostenibles para la plataforma a medida que escala el volumen transaccional.</w:t>
      </w:r>
    </w:p>
    <w:p>
      <w:pPr>
        <w:spacing w:after="120" w:before="0" w:line="276"/>
        <w:jc w:val="both"/>
      </w:pPr>
      <w:r>
        <w:rPr>
          <w:rFonts w:ascii="Calibri" w:cs="Calibri" w:eastAsia="Calibri" w:hAnsi="Calibri"/>
          <w:b w:val="false"/>
          <w:bCs w:val="false"/>
          <w:i w:val="false"/>
          <w:iCs w:val="false"/>
          <w:color w:val="0F172A"/>
          <w:sz w:val="22"/>
          <w:szCs w:val="22"/>
        </w:rPr>
        <w:t xml:space="preserve">La segunda fuente es la suscripción mensual SaaS de los planes Básico, Pro y Enterprise, que cobra al productor por el uso de los sensores IoT y el acceso a la plataforma analítica. Esta línea genera ingresos recurrentes predecibles (MRR) que facilitan la planeación financiera y atraen el interés de inversionistas que valoran la previsibilidad sobre el crecimiento explosivo.</w:t>
      </w:r>
    </w:p>
    <w:p>
      <w:pPr>
        <w:spacing w:after="120" w:before="0" w:line="276"/>
        <w:jc w:val="both"/>
      </w:pPr>
      <w:r>
        <w:rPr>
          <w:rFonts w:ascii="Calibri" w:cs="Calibri" w:eastAsia="Calibri" w:hAnsi="Calibri"/>
          <w:b w:val="false"/>
          <w:bCs w:val="false"/>
          <w:i w:val="false"/>
          <w:iCs w:val="false"/>
          <w:color w:val="0F172A"/>
          <w:sz w:val="22"/>
          <w:szCs w:val="22"/>
        </w:rPr>
        <w:t xml:space="preserve">La tercera fuente son los servicios logísticos integrados, mediante los cuales AgroPulse cobra un margen administrativo (típicamente entre 5 % y 8 %) sobre el valor del flete contratado con transportistas aliados de cadena de frío. Este servicio resuelve un dolor operativo crítico para los productores que carecen de unidades propias y deben coordinar transporte por separado.</w:t>
      </w:r>
    </w:p>
    <w:p>
      <w:pPr>
        <w:spacing w:after="120" w:before="0" w:line="276"/>
        <w:jc w:val="both"/>
      </w:pPr>
      <w:r>
        <w:rPr>
          <w:rFonts w:ascii="Calibri" w:cs="Calibri" w:eastAsia="Calibri" w:hAnsi="Calibri"/>
          <w:b w:val="false"/>
          <w:bCs w:val="false"/>
          <w:i w:val="false"/>
          <w:iCs w:val="false"/>
          <w:color w:val="0F172A"/>
          <w:sz w:val="22"/>
          <w:szCs w:val="22"/>
        </w:rPr>
        <w:t xml:space="preserve">La cuarta fuente son los servicios premium, que incluyen reportes ESG, certificaciones digitales (orgánico, GLOBALG.A.P.) y consultoría especializada. Esta línea atiende a productores que exportan o buscan posicionarse en segmentos premium del mercado interno, y se cobra por proyecto con tickets significativamente más altos que las suscripciones.</w:t>
      </w:r>
    </w:p>
    <w:p>
      <w:pPr>
        <w:pStyle w:val="Heading2"/>
        <w:spacing w:after="180" w:before="300" w:line="276"/>
      </w:pPr>
      <w:r>
        <w:rPr>
          <w:rFonts w:ascii="Calibri" w:cs="Calibri" w:eastAsia="Calibri" w:hAnsi="Calibri"/>
          <w:b/>
          <w:bCs/>
          <w:color w:val="15803D"/>
          <w:sz w:val="28"/>
          <w:szCs w:val="28"/>
        </w:rPr>
        <w:t xml:space="preserve">5.3 Planes SaaS</w:t>
      </w:r>
    </w:p>
    <w:p>
      <w:pPr>
        <w:spacing w:after="120" w:before="0" w:line="276"/>
        <w:jc w:val="both"/>
      </w:pPr>
      <w:r>
        <w:rPr>
          <w:rFonts w:ascii="Calibri" w:cs="Calibri" w:eastAsia="Calibri" w:hAnsi="Calibri"/>
          <w:b w:val="false"/>
          <w:bCs w:val="false"/>
          <w:i w:val="false"/>
          <w:iCs w:val="false"/>
          <w:color w:val="0F172A"/>
          <w:sz w:val="22"/>
          <w:szCs w:val="22"/>
        </w:rPr>
        <w:t xml:space="preserve">La arquitectura de planes SaaS se diseñó para acompañar al productor en su trayectoria de adopción tecnológica, desde la incorporación inicial con un plan accesible hasta la operación a escala empresarial. Cada plan incorpora un número creciente de sensores incluidos y un portafolio expandido de funcionalidades.</w:t>
      </w:r>
    </w:p>
    <w:p>
      <w:pPr>
        <w:spacing w:after="120" w:before="180" w:line="276"/>
        <w:jc w:val="center"/>
      </w:pPr>
      <w:r>
        <w:rPr>
          <w:rFonts w:ascii="Calibri" w:cs="Calibri" w:eastAsia="Calibri" w:hAnsi="Calibri"/>
          <w:b/>
          <w:bCs/>
          <w:i/>
          <w:iCs/>
          <w:color w:val="14532D"/>
          <w:sz w:val="20"/>
          <w:szCs w:val="20"/>
        </w:rPr>
        <w:t xml:space="preserve">Tabla 4. Planes SaaS de AgroPulse.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60"/>
        <w:gridCol w:w="3800"/>
      </w:tblGrid>
      <w:tr>
        <w:trPr>
          <w:tblHeader/>
        </w:trPr>
        <w:tc>
          <w:tcPr>
            <w:tcW w:type="dxa" w:w="15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Plan</w:t>
            </w:r>
          </w:p>
        </w:tc>
        <w:tc>
          <w:tcPr>
            <w:tcW w:type="dxa" w:w="22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Precio mensual (MXN)</w:t>
            </w:r>
          </w:p>
        </w:tc>
        <w:tc>
          <w:tcPr>
            <w:tcW w:type="dxa" w:w="18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Sensores incluidos</w:t>
            </w:r>
          </w:p>
        </w:tc>
        <w:tc>
          <w:tcPr>
            <w:tcW w:type="dxa" w:w="38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Características principales</w:t>
            </w:r>
          </w:p>
        </w:tc>
      </w:tr>
      <w:tr>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Básico</w:t>
            </w:r>
          </w:p>
        </w:tc>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$1,490</w:t>
            </w:r>
          </w:p>
        </w:tc>
        <w:tc>
          <w:tcPr>
            <w:tcW w:type="dxa" w:w="18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w:t>
            </w:r>
          </w:p>
        </w:tc>
        <w:tc>
          <w:tcPr>
            <w:tcW w:type="dxa" w:w="3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Dashboard, alertas básicas, soporte por correo electrónico.</w:t>
            </w:r>
          </w:p>
        </w:tc>
      </w:tr>
      <w:tr>
        <w:tc>
          <w:tcPr>
            <w:tcW w:type="dxa" w:w="15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w:t>
            </w:r>
          </w:p>
        </w:tc>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$3,990</w:t>
            </w:r>
          </w:p>
        </w:tc>
        <w:tc>
          <w:tcPr>
            <w:tcW w:type="dxa" w:w="18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10</w:t>
            </w:r>
          </w:p>
        </w:tc>
        <w:tc>
          <w:tcPr>
            <w:tcW w:type="dxa" w:w="3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Incluye lo anterior + pronóstico de demanda, integración logística y reportes.</w:t>
            </w:r>
          </w:p>
        </w:tc>
      </w:tr>
      <w:tr>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Enterprise</w:t>
            </w:r>
          </w:p>
        </w:tc>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 cotizar</w:t>
            </w:r>
          </w:p>
        </w:tc>
        <w:tc>
          <w:tcPr>
            <w:tcW w:type="dxa" w:w="18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Ilimitados</w:t>
            </w:r>
          </w:p>
        </w:tc>
        <w:tc>
          <w:tcPr>
            <w:tcW w:type="dxa" w:w="3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API, multi-finca, soporte 24/7 y consultoría dedicada.</w:t>
            </w:r>
          </w:p>
        </w:tc>
      </w:tr>
    </w:tbl>
    <w:p>
      <w:pPr>
        <w:spacing w:after="120"/>
      </w:pPr>
      <w:r>
        <w:t xml:space="preserve"/>
      </w:r>
    </w:p>
    <w:p>
      <w:pPr>
        <w:pStyle w:val="Heading2"/>
        <w:spacing w:after="180" w:before="300" w:line="276"/>
      </w:pPr>
      <w:r>
        <w:rPr>
          <w:rFonts w:ascii="Calibri" w:cs="Calibri" w:eastAsia="Calibri" w:hAnsi="Calibri"/>
          <w:b/>
          <w:bCs/>
          <w:color w:val="15803D"/>
          <w:sz w:val="28"/>
          <w:szCs w:val="28"/>
        </w:rPr>
        <w:t xml:space="preserve">5.4 Estructura de costos</w:t>
      </w:r>
    </w:p>
    <w:p>
      <w:pPr>
        <w:spacing w:after="120" w:before="0" w:line="276"/>
        <w:jc w:val="both"/>
      </w:pPr>
      <w:r>
        <w:rPr>
          <w:rFonts w:ascii="Calibri" w:cs="Calibri" w:eastAsia="Calibri" w:hAnsi="Calibri"/>
          <w:b w:val="false"/>
          <w:bCs w:val="false"/>
          <w:i w:val="false"/>
          <w:iCs w:val="false"/>
          <w:color w:val="0F172A"/>
          <w:sz w:val="22"/>
          <w:szCs w:val="22"/>
        </w:rPr>
        <w:t xml:space="preserve">La estructura de costos de AgroPulse se compone de cinco partidas principales. La primera y de mayor peso en el corto plazo es la inversión tecnológica, que incluye infraestructura en la nube (servicios de Vercel y eventualmente proveedores como AWS o Google Cloud para componentes más demandantes), licencias de servicios de terceros (mapas, autenticación, monitoreo) y el costo de adquisición y mantenimiento de los sensores IoT que se entregan al productor. La segunda partida es el costo del personal, dominado por los perfiles de desarrollo de software, ciencia de datos y operaciones de campo, con una nómina aproximada de 4.5 millones de pesos anuales durante el primer año.</w:t>
      </w:r>
    </w:p>
    <w:p>
      <w:pPr>
        <w:spacing w:after="120" w:before="0" w:line="276"/>
        <w:jc w:val="both"/>
      </w:pPr>
      <w:r>
        <w:rPr>
          <w:rFonts w:ascii="Calibri" w:cs="Calibri" w:eastAsia="Calibri" w:hAnsi="Calibri"/>
          <w:b w:val="false"/>
          <w:bCs w:val="false"/>
          <w:i w:val="false"/>
          <w:iCs w:val="false"/>
          <w:color w:val="0F172A"/>
          <w:sz w:val="22"/>
          <w:szCs w:val="22"/>
        </w:rPr>
        <w:t xml:space="preserve">La tercera partida corresponde al marketing y la adquisición de clientes, que en la etapa inicial se canaliza principalmente hacia eventos sectoriales, contenido especializado y la red de promotores de campo encargados del onboarding directo en zonas productivas. La cuarta partida son los costos operativos de los servicios logísticos prestados en alianza con transportistas, los cuales se trasladan al productor con un margen administrativo. La quinta partida agrupa los costos legales, regulatorios y de auditoría externa, indispensables para la operación en un sector con exigencias de inocuidad y certificación crecientes.</w:t>
      </w:r>
    </w:p>
    <w:p>
      <w:pPr>
        <w:pStyle w:val="Heading2"/>
        <w:spacing w:after="180" w:before="300" w:line="276"/>
      </w:pPr>
      <w:r>
        <w:rPr>
          <w:rFonts w:ascii="Calibri" w:cs="Calibri" w:eastAsia="Calibri" w:hAnsi="Calibri"/>
          <w:b/>
          <w:bCs/>
          <w:color w:val="15803D"/>
          <w:sz w:val="28"/>
          <w:szCs w:val="28"/>
        </w:rPr>
        <w:t xml:space="preserve">5.5 Proyecciones financieras</w:t>
      </w:r>
    </w:p>
    <w:p>
      <w:pPr>
        <w:spacing w:after="120" w:before="0" w:line="276"/>
        <w:jc w:val="both"/>
      </w:pPr>
      <w:r>
        <w:rPr>
          <w:rFonts w:ascii="Calibri" w:cs="Calibri" w:eastAsia="Calibri" w:hAnsi="Calibri"/>
          <w:b w:val="false"/>
          <w:bCs w:val="false"/>
          <w:i w:val="false"/>
          <w:iCs w:val="false"/>
          <w:color w:val="0F172A"/>
          <w:sz w:val="22"/>
          <w:szCs w:val="22"/>
        </w:rPr>
        <w:t xml:space="preserve">Las proyecciones financieras del proyecto a tres años, sustentadas en supuestos conservadores y validados con la literatura comparada del sector AgriTech latinoamericano, se resumen en la siguiente tabla. Las cifras de GMV (Gross Merchandise Value) corresponden al valor total transaccionado a través del marketplace; los ingresos representan únicamente lo que captura AgroPulse vía comisión, suscripción y servicios complementarios.</w:t>
      </w:r>
    </w:p>
    <w:p>
      <w:pPr>
        <w:spacing w:after="120" w:before="180" w:line="276"/>
        <w:jc w:val="center"/>
      </w:pPr>
      <w:r>
        <w:rPr>
          <w:rFonts w:ascii="Calibri" w:cs="Calibri" w:eastAsia="Calibri" w:hAnsi="Calibri"/>
          <w:b/>
          <w:bCs/>
          <w:i/>
          <w:iCs/>
          <w:color w:val="14532D"/>
          <w:sz w:val="20"/>
          <w:szCs w:val="20"/>
        </w:rPr>
        <w:t xml:space="preserve">Tabla 5. Proyecciones financieras y operativas a tres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60"/>
      </w:tblGrid>
      <w:tr>
        <w:trPr>
          <w:tblHeader/>
        </w:trPr>
        <w:tc>
          <w:tcPr>
            <w:tcW w:type="dxa" w:w="32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Indicador</w:t>
            </w:r>
          </w:p>
        </w:tc>
        <w:tc>
          <w:tcPr>
            <w:tcW w:type="dxa" w:w="21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Año 1</w:t>
            </w:r>
          </w:p>
        </w:tc>
        <w:tc>
          <w:tcPr>
            <w:tcW w:type="dxa" w:w="21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Año 2</w:t>
            </w:r>
          </w:p>
        </w:tc>
        <w:tc>
          <w:tcPr>
            <w:tcW w:type="dxa" w:w="19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Año 3</w:t>
            </w:r>
          </w:p>
        </w:tc>
      </w:tr>
      <w:tr>
        <w:tc>
          <w:tcPr>
            <w:tcW w:type="dxa" w:w="3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Productores onboarded</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500</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2,000</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5,000</w:t>
            </w:r>
          </w:p>
        </w:tc>
      </w:tr>
      <w:tr>
        <w:tc>
          <w:tcPr>
            <w:tcW w:type="dxa" w:w="3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GMV anual (USD)</w:t>
            </w:r>
          </w:p>
        </w:tc>
        <w:tc>
          <w:tcPr>
            <w:tcW w:type="dxa" w:w="21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12 millones</w:t>
            </w:r>
          </w:p>
        </w:tc>
        <w:tc>
          <w:tcPr>
            <w:tcW w:type="dxa" w:w="21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35 millones</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80 millones</w:t>
            </w:r>
          </w:p>
        </w:tc>
      </w:tr>
      <w:tr>
        <w:tc>
          <w:tcPr>
            <w:tcW w:type="dxa" w:w="3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Ingresos por comisión (USD)</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480 mil</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1.4 millones</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3.2 millones</w:t>
            </w:r>
          </w:p>
        </w:tc>
      </w:tr>
      <w:tr>
        <w:tc>
          <w:tcPr>
            <w:tcW w:type="dxa" w:w="3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Ingresos SaaS (USD)</w:t>
            </w:r>
          </w:p>
        </w:tc>
        <w:tc>
          <w:tcPr>
            <w:tcW w:type="dxa" w:w="21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320 mil</w:t>
            </w:r>
          </w:p>
        </w:tc>
        <w:tc>
          <w:tcPr>
            <w:tcW w:type="dxa" w:w="21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1.0 millones</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2.5 millones</w:t>
            </w:r>
          </w:p>
        </w:tc>
      </w:tr>
      <w:tr>
        <w:tc>
          <w:tcPr>
            <w:tcW w:type="dxa" w:w="3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Ingresos logística y premium (USD)</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150 mil</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500 mil</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1.2 millones</w:t>
            </w:r>
          </w:p>
        </w:tc>
      </w:tr>
      <w:tr>
        <w:tc>
          <w:tcPr>
            <w:tcW w:type="dxa" w:w="3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Ingresos totales (USD)</w:t>
            </w:r>
          </w:p>
        </w:tc>
        <w:tc>
          <w:tcPr>
            <w:tcW w:type="dxa" w:w="21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950 mil</w:t>
            </w:r>
          </w:p>
        </w:tc>
        <w:tc>
          <w:tcPr>
            <w:tcW w:type="dxa" w:w="21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2.9 millones</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6.9 millones</w:t>
            </w:r>
          </w:p>
        </w:tc>
      </w:tr>
      <w:tr>
        <w:tc>
          <w:tcPr>
            <w:tcW w:type="dxa" w:w="3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Reducción de mermas</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30 %</w:t>
            </w:r>
          </w:p>
        </w:tc>
        <w:tc>
          <w:tcPr>
            <w:tcW w:type="dxa" w:w="21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38 %</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45 %</w:t>
            </w:r>
          </w:p>
        </w:tc>
      </w:tr>
    </w:tbl>
    <w:p>
      <w:pPr>
        <w:spacing w:after="120"/>
      </w:pPr>
      <w:r>
        <w:t xml:space="preserve"/>
      </w:r>
    </w:p>
    <w:p>
      <w:pPr>
        <w:pStyle w:val="Heading1"/>
        <w:pageBreakBefore/>
        <w:spacing w:after="240" w:before="360" w:line="276"/>
      </w:pPr>
      <w:r>
        <w:rPr>
          <w:rFonts w:ascii="Calibri" w:cs="Calibri" w:eastAsia="Calibri" w:hAnsi="Calibri"/>
          <w:b/>
          <w:bCs/>
          <w:color w:val="15803D"/>
          <w:sz w:val="36"/>
          <w:szCs w:val="36"/>
        </w:rPr>
        <w:t xml:space="preserve">Capítulo 6. Propuesta tecnológica</w:t>
      </w:r>
    </w:p>
    <w:p>
      <w:pPr>
        <w:pStyle w:val="Heading2"/>
        <w:spacing w:after="180" w:before="300" w:line="276"/>
      </w:pPr>
      <w:r>
        <w:rPr>
          <w:rFonts w:ascii="Calibri" w:cs="Calibri" w:eastAsia="Calibri" w:hAnsi="Calibri"/>
          <w:b/>
          <w:bCs/>
          <w:color w:val="15803D"/>
          <w:sz w:val="28"/>
          <w:szCs w:val="28"/>
        </w:rPr>
        <w:t xml:space="preserve">6.1 Arquitectura general</w:t>
      </w:r>
    </w:p>
    <w:p>
      <w:pPr>
        <w:spacing w:after="120" w:before="0" w:line="276"/>
        <w:jc w:val="both"/>
      </w:pPr>
      <w:r>
        <w:rPr>
          <w:rFonts w:ascii="Calibri" w:cs="Calibri" w:eastAsia="Calibri" w:hAnsi="Calibri"/>
          <w:b w:val="false"/>
          <w:bCs w:val="false"/>
          <w:i w:val="false"/>
          <w:iCs w:val="false"/>
          <w:color w:val="0F172A"/>
          <w:sz w:val="22"/>
          <w:szCs w:val="22"/>
        </w:rPr>
        <w:t xml:space="preserve">La arquitectura tecnológica de AgroPulse se concibe como un sistema distribuido de cuatro capas conceptuales que interactúan entre sí mediante interfaces de programación bien definidas. En la capa más baja se encuentra la infraestructura de captura de datos en el campo, conformada por sensores IoT instalados en almacenes, cámaras frigoríficas y unidades de transporte. Estos sensores se comunican vía LoRaWAN con gateways regionales que actúan como puente entre la red de baja potencia y la red de Internet pública. La segunda capa es la infraestructura de procesamiento en la nube, donde los datos recibidos se persisten, normalizan y enriquecen mediante pipelines de procesamiento que activan reglas de negocio (por ejemplo, generar una alerta cuando la temperatura excede un umbral) y alimentan a los modelos de Machine Learning. La tercera capa es la API REST, expuesta mediante Next.js Route Handlers, que sirve como punto único de acceso para las aplicaciones cliente. La cuarta capa es la interfaz de usuario, una aplicación web responsive construida con Next.js 16 que se adapta a navegadores de escritorio, tabletas y dispositivos móviles.</w:t>
      </w:r>
    </w:p>
    <w:p>
      <w:pPr>
        <w:spacing w:after="120" w:before="0" w:line="276"/>
        <w:jc w:val="both"/>
      </w:pPr>
      <w:r>
        <w:rPr>
          <w:rFonts w:ascii="Calibri" w:cs="Calibri" w:eastAsia="Calibri" w:hAnsi="Calibri"/>
          <w:b w:val="false"/>
          <w:bCs w:val="false"/>
          <w:i w:val="false"/>
          <w:iCs w:val="false"/>
          <w:color w:val="0F172A"/>
          <w:sz w:val="22"/>
          <w:szCs w:val="22"/>
        </w:rPr>
        <w:t xml:space="preserve">Esta arquitectura privilegia tres principios de diseño: desacoplamiento entre capas (cada capa puede evolucionar de forma independiente siempre que respete su contrato de API), idempotencia en las operaciones críticas (lo que permite reintentos automáticos en presencia de fallas de red), y observabilidad de extremo a extremo (cada evento queda registrado para facilitar diagnóstico y mejora continua).</w:t>
      </w:r>
    </w:p>
    <w:p>
      <w:pPr>
        <w:spacing w:after="120" w:before="0" w:line="276"/>
        <w:jc w:val="both"/>
      </w:pPr>
      <w:r>
        <w:rPr>
          <w:rFonts w:ascii="Calibri" w:cs="Calibri" w:eastAsia="Calibri" w:hAnsi="Calibri"/>
          <w:b/>
          <w:bCs/>
          <w:i w:val="false"/>
          <w:iCs w:val="false"/>
          <w:color w:val="0F172A"/>
          <w:sz w:val="22"/>
          <w:szCs w:val="22"/>
        </w:rPr>
        <w:t xml:space="preserve">Diagrama conceptual: </w:t>
      </w:r>
      <w:r>
        <w:rPr>
          <w:rFonts w:ascii="Calibri" w:cs="Calibri" w:eastAsia="Calibri" w:hAnsi="Calibri"/>
          <w:color w:val="0F172A"/>
          <w:sz w:val="22"/>
          <w:szCs w:val="22"/>
        </w:rPr>
        <w:t xml:space="preserve">[Sensores IoT (LoRaWAN)] → [Gateways regionales] → [MQTT Broker] → [Procesador de eventos] → [Base de datos] → [API REST (Next.js)] → [Frontend (Next.js + Tailwind)] → [Usuarios: productor, comprador, administrador].</w:t>
      </w:r>
    </w:p>
    <w:p>
      <w:pPr>
        <w:pStyle w:val="Heading2"/>
        <w:spacing w:after="180" w:before="300" w:line="276"/>
      </w:pPr>
      <w:r>
        <w:rPr>
          <w:rFonts w:ascii="Calibri" w:cs="Calibri" w:eastAsia="Calibri" w:hAnsi="Calibri"/>
          <w:b/>
          <w:bCs/>
          <w:color w:val="15803D"/>
          <w:sz w:val="28"/>
          <w:szCs w:val="28"/>
        </w:rPr>
        <w:t xml:space="preserve">6.2 Stack de frontend</w:t>
      </w:r>
    </w:p>
    <w:p>
      <w:pPr>
        <w:spacing w:after="120" w:before="0" w:line="276"/>
        <w:jc w:val="both"/>
      </w:pPr>
      <w:r>
        <w:rPr>
          <w:rFonts w:ascii="Calibri" w:cs="Calibri" w:eastAsia="Calibri" w:hAnsi="Calibri"/>
          <w:b w:val="false"/>
          <w:bCs w:val="false"/>
          <w:i w:val="false"/>
          <w:iCs w:val="false"/>
          <w:color w:val="0F172A"/>
          <w:sz w:val="22"/>
          <w:szCs w:val="22"/>
        </w:rPr>
        <w:t xml:space="preserve">El frontend del prototipo se construye con Next.js 16 sobre el patrón App Router, que permite la composición de páginas mediante componentes React Server Components y Client Components según las necesidades de cada vista. Esta arquitectura aporta dos beneficios significativos: la renderización del lado del servidor para optimizar tiempos de carga inicial y posicionamiento en motores de búsqueda, y la capacidad de interactividad rica del lado del cliente para componentes dinámicos como dashboards y mapas en vivo.</w:t>
      </w:r>
    </w:p>
    <w:p>
      <w:pPr>
        <w:spacing w:after="120" w:before="0" w:line="276"/>
        <w:jc w:val="both"/>
      </w:pPr>
      <w:r>
        <w:rPr>
          <w:rFonts w:ascii="Calibri" w:cs="Calibri" w:eastAsia="Calibri" w:hAnsi="Calibri"/>
          <w:b w:val="false"/>
          <w:bCs w:val="false"/>
          <w:i w:val="false"/>
          <w:iCs w:val="false"/>
          <w:color w:val="0F172A"/>
          <w:sz w:val="22"/>
          <w:szCs w:val="22"/>
        </w:rPr>
        <w:t xml:space="preserve">El lenguaje de programación elegido es TypeScript, que añade un sistema de tipos estáticos sobre JavaScript, reduciendo significativamente la incidencia de errores en tiempo de ejecución y facilitando el mantenimiento del código a medida que el equipo crece. Para el sistema de estilos se utiliza Tailwind CSS en su versión 4, configurada mediante la directiva inline @theme que permite definir tokens de diseño directamente en el archivo de estilos globales sin necesidad de un archivo de configuración separado.</w:t>
      </w:r>
    </w:p>
    <w:p>
      <w:pPr>
        <w:spacing w:after="120" w:before="0" w:line="276"/>
        <w:jc w:val="both"/>
      </w:pPr>
      <w:r>
        <w:rPr>
          <w:rFonts w:ascii="Calibri" w:cs="Calibri" w:eastAsia="Calibri" w:hAnsi="Calibri"/>
          <w:b w:val="false"/>
          <w:bCs w:val="false"/>
          <w:i w:val="false"/>
          <w:iCs w:val="false"/>
          <w:color w:val="0F172A"/>
          <w:sz w:val="22"/>
          <w:szCs w:val="22"/>
        </w:rPr>
        <w:t xml:space="preserve">Para la visualización de datos se utiliza Recharts, una biblioteca de gráficos basada en D3 que se integra naturalmente con React mediante componentes declarativos. Las gráficas que se presentan en el dashboard incluyen líneas para series temporales de sensores, barras para comparativos por región y producto, y donuts para distribución por categoría. Para la representación geográfica se utiliza Leaflet integrado mediante el wrapper react-leaflet, lo que permite mostrar mapas interactivos con la ubicación de los productores, las rutas activas y las zonas de demanda concentrada. La iconografía proviene de Lucide-react, una biblioteca de íconos de línea con estilo coherente, peso visual ligero y excelente desempeño.</w:t>
      </w:r>
    </w:p>
    <w:p>
      <w:pPr>
        <w:pStyle w:val="Heading2"/>
        <w:spacing w:after="180" w:before="300" w:line="276"/>
      </w:pPr>
      <w:r>
        <w:rPr>
          <w:rFonts w:ascii="Calibri" w:cs="Calibri" w:eastAsia="Calibri" w:hAnsi="Calibri"/>
          <w:b/>
          <w:bCs/>
          <w:color w:val="15803D"/>
          <w:sz w:val="28"/>
          <w:szCs w:val="28"/>
        </w:rPr>
        <w:t xml:space="preserve">6.3 Stack de backend</w:t>
      </w:r>
    </w:p>
    <w:p>
      <w:pPr>
        <w:spacing w:after="120" w:before="0" w:line="276"/>
        <w:jc w:val="both"/>
      </w:pPr>
      <w:r>
        <w:rPr>
          <w:rFonts w:ascii="Calibri" w:cs="Calibri" w:eastAsia="Calibri" w:hAnsi="Calibri"/>
          <w:b w:val="false"/>
          <w:bCs w:val="false"/>
          <w:i w:val="false"/>
          <w:iCs w:val="false"/>
          <w:color w:val="0F172A"/>
          <w:sz w:val="22"/>
          <w:szCs w:val="22"/>
        </w:rPr>
        <w:t xml:space="preserve">El backend del prototipo se implementa mediante Next.js Route Handlers, ubicados en la ruta app/api/*/route.ts. Este enfoque permite mantener frontend y backend en un único repositorio y desplegarlos de forma unificada en la plataforma Vercel, lo que simplifica significativamente la operación durante la etapa de prototipo. Cada endpoint corresponde a un archivo route.ts que exporta funciones nombradas GET, POST, PUT o DELETE según el verbo HTTP correspondiente.</w:t>
      </w:r>
    </w:p>
    <w:p>
      <w:pPr>
        <w:spacing w:after="120" w:before="0" w:line="276"/>
        <w:jc w:val="both"/>
      </w:pPr>
      <w:r>
        <w:rPr>
          <w:rFonts w:ascii="Calibri" w:cs="Calibri" w:eastAsia="Calibri" w:hAnsi="Calibri"/>
          <w:b w:val="false"/>
          <w:bCs w:val="false"/>
          <w:i w:val="false"/>
          <w:iCs w:val="false"/>
          <w:color w:val="0F172A"/>
          <w:sz w:val="22"/>
          <w:szCs w:val="22"/>
        </w:rPr>
        <w:t xml:space="preserve">Los datos que alimentan a los endpoints provienen de archivos JSON mock ubicados en el directorio lib/mock-data/. Estos archivos contienen información representativa de productos, sensores, pronósticos y pedidos, generada algorítmicamente para mimetizar el comportamiento esperado en producción. La elección de mock data sobre base de datos real durante la fase de prototipo se justifica por la necesidad de mantener el costo de infraestructura cercano a cero, por la simplicidad operativa y por la facilidad de evolución del esquema de datos durante las iteraciones de diseño.</w:t>
      </w:r>
    </w:p>
    <w:p>
      <w:pPr>
        <w:spacing w:after="120" w:before="180" w:line="276"/>
        <w:jc w:val="center"/>
      </w:pPr>
      <w:r>
        <w:rPr>
          <w:rFonts w:ascii="Calibri" w:cs="Calibri" w:eastAsia="Calibri" w:hAnsi="Calibri"/>
          <w:b/>
          <w:bCs/>
          <w:i/>
          <w:iCs/>
          <w:color w:val="14532D"/>
          <w:sz w:val="20"/>
          <w:szCs w:val="20"/>
        </w:rPr>
        <w:t xml:space="preserve">Tabla 6. Endpoints de la API simulada de AgroPulse.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Endpoint</w:t>
            </w:r>
          </w:p>
        </w:tc>
        <w:tc>
          <w:tcPr>
            <w:tcW w:type="dxa" w:w="14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Método</w:t>
            </w:r>
          </w:p>
        </w:tc>
        <w:tc>
          <w:tcPr>
            <w:tcW w:type="dxa" w:w="51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Descripción</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/api/products</w:t>
            </w:r>
          </w:p>
        </w:tc>
        <w:tc>
          <w:tcPr>
            <w:tcW w:type="dxa" w:w="1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GET</w:t>
            </w:r>
          </w:p>
        </w:tc>
        <w:tc>
          <w:tcPr>
            <w:tcW w:type="dxa" w:w="51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Listado de lotes disponibles en el marketplace, con filtros opcionales.</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/api/products/[id]</w:t>
            </w:r>
          </w:p>
        </w:tc>
        <w:tc>
          <w:tcPr>
            <w:tcW w:type="dxa" w:w="14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GET</w:t>
            </w:r>
          </w:p>
        </w:tc>
        <w:tc>
          <w:tcPr>
            <w:tcW w:type="dxa" w:w="51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Detalle de un lote específico, incluyendo productor y sensores.</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/api/sensors</w:t>
            </w:r>
          </w:p>
        </w:tc>
        <w:tc>
          <w:tcPr>
            <w:tcW w:type="dxa" w:w="1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GET</w:t>
            </w:r>
          </w:p>
        </w:tc>
        <w:tc>
          <w:tcPr>
            <w:tcW w:type="dxa" w:w="51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Lecturas recientes de sensores IoT por finca o producto.</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/api/forecast</w:t>
            </w:r>
          </w:p>
        </w:tc>
        <w:tc>
          <w:tcPr>
            <w:tcW w:type="dxa" w:w="14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GET</w:t>
            </w:r>
          </w:p>
        </w:tc>
        <w:tc>
          <w:tcPr>
            <w:tcW w:type="dxa" w:w="51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Pronóstico de demanda regional y por producto.</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/api/orders</w:t>
            </w:r>
          </w:p>
        </w:tc>
        <w:tc>
          <w:tcPr>
            <w:tcW w:type="dxa" w:w="14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POST</w:t>
            </w:r>
          </w:p>
        </w:tc>
        <w:tc>
          <w:tcPr>
            <w:tcW w:type="dxa" w:w="51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Creación simulada de pedido.</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/api/contact</w:t>
            </w:r>
          </w:p>
        </w:tc>
        <w:tc>
          <w:tcPr>
            <w:tcW w:type="dxa" w:w="14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POST</w:t>
            </w:r>
          </w:p>
        </w:tc>
        <w:tc>
          <w:tcPr>
            <w:tcW w:type="dxa" w:w="51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Recepción de mensajes desde el formulario de contacto.</w:t>
            </w:r>
          </w:p>
        </w:tc>
      </w:tr>
    </w:tbl>
    <w:p>
      <w:pPr>
        <w:spacing w:after="120"/>
      </w:pPr>
      <w:r>
        <w:t xml:space="preserve"/>
      </w:r>
    </w:p>
    <w:p>
      <w:pPr>
        <w:pStyle w:val="Heading2"/>
        <w:spacing w:after="180" w:before="300" w:line="276"/>
      </w:pPr>
      <w:r>
        <w:rPr>
          <w:rFonts w:ascii="Calibri" w:cs="Calibri" w:eastAsia="Calibri" w:hAnsi="Calibri"/>
          <w:b/>
          <w:bCs/>
          <w:color w:val="15803D"/>
          <w:sz w:val="28"/>
          <w:szCs w:val="28"/>
        </w:rPr>
        <w:t xml:space="preserve">6.4 Stack de IoT</w:t>
      </w:r>
    </w:p>
    <w:p>
      <w:pPr>
        <w:spacing w:after="120" w:before="0" w:line="276"/>
        <w:jc w:val="both"/>
      </w:pPr>
      <w:r>
        <w:rPr>
          <w:rFonts w:ascii="Calibri" w:cs="Calibri" w:eastAsia="Calibri" w:hAnsi="Calibri"/>
          <w:b w:val="false"/>
          <w:bCs w:val="false"/>
          <w:i w:val="false"/>
          <w:iCs w:val="false"/>
          <w:color w:val="0F172A"/>
          <w:sz w:val="22"/>
          <w:szCs w:val="22"/>
        </w:rPr>
        <w:t xml:space="preserve">Aunque el prototipo no incorpora hardware físico real, la propuesta tecnológica describe con precisión la arquitectura IoT que adoptaría el producto en producción. Los sensores seleccionados pertenecen a la familia LoRaWAN por tres razones técnicas y económicas. Primero, LoRaWAN ofrece largo alcance (hasta 15 kilómetros en línea de vista) con bajo consumo energético, lo que permite que un solo sensor opere con una batería estándar durante 5 a 10 años sin requerir mantenimiento. Segundo, las gateways LoRaWAN tienen costos accesibles (entre USD 200 y USD 800) y pueden cubrir áreas extensas, lo que reduce el costo total de despliegue. Tercero, el ecosistema LoRaWAN cuenta con estandarización madura (LoRa Alliance) y una amplia oferta de proveedores compatibles.</w:t>
      </w:r>
    </w:p>
    <w:p>
      <w:pPr>
        <w:spacing w:after="120" w:before="0" w:line="276"/>
        <w:jc w:val="both"/>
      </w:pPr>
      <w:r>
        <w:rPr>
          <w:rFonts w:ascii="Calibri" w:cs="Calibri" w:eastAsia="Calibri" w:hAnsi="Calibri"/>
          <w:b w:val="false"/>
          <w:bCs w:val="false"/>
          <w:i w:val="false"/>
          <w:iCs w:val="false"/>
          <w:color w:val="0F172A"/>
          <w:sz w:val="22"/>
          <w:szCs w:val="22"/>
        </w:rPr>
        <w:t xml:space="preserve">Los sensores reportan periódicamente (cada 5 a 15 minutos según configuración) las variables monitoreadas (temperatura, humedad, eventualmente concentración de etileno o CO₂) hacia las gateways. Las gateways consolidan los datos y los reenvían vía Internet hacia un broker MQTT en la nube, que actúa como bus de mensajería ligero y eficiente. Desde el broker, los datos se procesan, persisten y exponen a los modelos analíticos y a la API.</w:t>
      </w:r>
    </w:p>
    <w:p>
      <w:pPr>
        <w:pStyle w:val="Heading2"/>
        <w:spacing w:after="180" w:before="300" w:line="276"/>
      </w:pPr>
      <w:r>
        <w:rPr>
          <w:rFonts w:ascii="Calibri" w:cs="Calibri" w:eastAsia="Calibri" w:hAnsi="Calibri"/>
          <w:b/>
          <w:bCs/>
          <w:color w:val="15803D"/>
          <w:sz w:val="28"/>
          <w:szCs w:val="28"/>
        </w:rPr>
        <w:t xml:space="preserve">6.5 Stack de Machine Learning</w:t>
      </w:r>
    </w:p>
    <w:p>
      <w:pPr>
        <w:spacing w:after="120" w:before="0" w:line="276"/>
        <w:jc w:val="both"/>
      </w:pPr>
      <w:r>
        <w:rPr>
          <w:rFonts w:ascii="Calibri" w:cs="Calibri" w:eastAsia="Calibri" w:hAnsi="Calibri"/>
          <w:b w:val="false"/>
          <w:bCs w:val="false"/>
          <w:i w:val="false"/>
          <w:iCs w:val="false"/>
          <w:color w:val="0F172A"/>
          <w:sz w:val="22"/>
          <w:szCs w:val="22"/>
        </w:rPr>
        <w:t xml:space="preserve">El stack de Machine Learning propuesto para producción combina dos modelos principales según el tipo de pronóstico requerido. Para series temporales con estacionalidades múltiples y eventos calendarizados se utiliza Prophet, que permite descomponer la serie en componentes de tendencia, estacionalidad anual, estacionalidad semanal y efectos de festividades. Para escenarios con múltiples variables explicativas (clima, precios, eventos macroeconómicos) se utiliza XGBoost, que ofrece desempeño superior en problemas tabulares y permite incorporar de forma natural variables exógenas.</w:t>
      </w:r>
    </w:p>
    <w:p>
      <w:pPr>
        <w:spacing w:after="120" w:before="0" w:line="276"/>
        <w:jc w:val="both"/>
      </w:pPr>
      <w:r>
        <w:rPr>
          <w:rFonts w:ascii="Calibri" w:cs="Calibri" w:eastAsia="Calibri" w:hAnsi="Calibri"/>
          <w:b w:val="false"/>
          <w:bCs w:val="false"/>
          <w:i w:val="false"/>
          <w:iCs w:val="false"/>
          <w:color w:val="0F172A"/>
          <w:sz w:val="22"/>
          <w:szCs w:val="22"/>
        </w:rPr>
        <w:t xml:space="preserve">La operación del componente ML contempla un ciclo de reentrenamiento mensual con los datos más recientes acumulados en la plataforma, así como pruebas de robustez (backtesting) sobre datos históricos para verificar que las métricas de precisión (error absoluto medio, MAPE) se mantienen dentro de los rangos objetivo (idealmente, MAPE inferior al 15 % para el horizonte de 30 días).</w:t>
      </w:r>
    </w:p>
    <w:p>
      <w:pPr>
        <w:pStyle w:val="Heading2"/>
        <w:spacing w:after="180" w:before="300" w:line="276"/>
      </w:pPr>
      <w:r>
        <w:rPr>
          <w:rFonts w:ascii="Calibri" w:cs="Calibri" w:eastAsia="Calibri" w:hAnsi="Calibri"/>
          <w:b/>
          <w:bCs/>
          <w:color w:val="15803D"/>
          <w:sz w:val="28"/>
          <w:szCs w:val="28"/>
        </w:rPr>
        <w:t xml:space="preserve">6.6 Seguridad y autenticación</w:t>
      </w:r>
    </w:p>
    <w:p>
      <w:pPr>
        <w:spacing w:after="120" w:before="0" w:line="276"/>
        <w:jc w:val="both"/>
      </w:pPr>
      <w:r>
        <w:rPr>
          <w:rFonts w:ascii="Calibri" w:cs="Calibri" w:eastAsia="Calibri" w:hAnsi="Calibri"/>
          <w:b w:val="false"/>
          <w:bCs w:val="false"/>
          <w:i w:val="false"/>
          <w:iCs w:val="false"/>
          <w:color w:val="0F172A"/>
          <w:sz w:val="22"/>
          <w:szCs w:val="22"/>
        </w:rPr>
        <w:t xml:space="preserve">La estrategia de seguridad incorpora cuatro capas. La primera es la transmisión segura mediante HTTPS de extremo a extremo, garantizada por la infraestructura de Vercel y por las extensiones TLS del broker MQTT. La segunda es la autenticación de usuarios mediante un esquema de roles (productor, comprador, administrador) que en el prototipo se simula con cuentas predefinidas y en producción se implementaría con un proveedor especializado como Auth0 o Clerk. La tercera es la autorización por recurso, asegurando que un productor solo pueda consultar y modificar sus propios lotes y sensores. La cuarta es el manejo de datos sensibles (RFC, CURP, datos bancarios) mediante cifrado en reposo y mecanismos de auditoría de acceso.</w:t>
      </w:r>
    </w:p>
    <w:p>
      <w:pPr>
        <w:pStyle w:val="Heading2"/>
        <w:spacing w:after="180" w:before="300" w:line="276"/>
      </w:pPr>
      <w:r>
        <w:rPr>
          <w:rFonts w:ascii="Calibri" w:cs="Calibri" w:eastAsia="Calibri" w:hAnsi="Calibri"/>
          <w:b/>
          <w:bCs/>
          <w:color w:val="15803D"/>
          <w:sz w:val="28"/>
          <w:szCs w:val="28"/>
        </w:rPr>
        <w:t xml:space="preserve">6.7 Plan de despliegue</w:t>
      </w:r>
    </w:p>
    <w:p>
      <w:pPr>
        <w:spacing w:after="120" w:before="0" w:line="276"/>
        <w:jc w:val="both"/>
      </w:pPr>
      <w:r>
        <w:rPr>
          <w:rFonts w:ascii="Calibri" w:cs="Calibri" w:eastAsia="Calibri" w:hAnsi="Calibri"/>
          <w:b w:val="false"/>
          <w:bCs w:val="false"/>
          <w:i w:val="false"/>
          <w:iCs w:val="false"/>
          <w:color w:val="0F172A"/>
          <w:sz w:val="22"/>
          <w:szCs w:val="22"/>
        </w:rPr>
        <w:t xml:space="preserve">El plan de despliegue contempla el alojamiento del frontend y los Route Handlers en la plataforma Vercel, que proporciona una red global de entrega de contenido, despliegues automáticos a partir de cada commit en el repositorio de GitHub, y vista previa de cada pull request para revisión antes de pasar a producción. El control de versiones se gestiona en GitHub con un flujo de trabajo basado en ramas (main para producción, dev para integración, ramas de feature por tarea). La integración continua y el despliegue continuo (CI/CD) se ejecutan mediante los pipelines nativos de Vercel, complementados por GitHub Actions para validaciones adicionales como linting, formateo y pruebas automatizadas.</w:t>
      </w:r>
    </w:p>
    <w:p>
      <w:pPr>
        <w:pStyle w:val="Heading1"/>
        <w:pageBreakBefore/>
        <w:spacing w:after="240" w:before="360" w:line="276"/>
      </w:pPr>
      <w:r>
        <w:rPr>
          <w:rFonts w:ascii="Calibri" w:cs="Calibri" w:eastAsia="Calibri" w:hAnsi="Calibri"/>
          <w:b/>
          <w:bCs/>
          <w:color w:val="15803D"/>
          <w:sz w:val="36"/>
          <w:szCs w:val="36"/>
        </w:rPr>
        <w:t xml:space="preserve">Capítulo 7. Diseño del sitio web</w:t>
      </w:r>
    </w:p>
    <w:p>
      <w:pPr>
        <w:pStyle w:val="Heading2"/>
        <w:spacing w:after="180" w:before="300" w:line="276"/>
      </w:pPr>
      <w:r>
        <w:rPr>
          <w:rFonts w:ascii="Calibri" w:cs="Calibri" w:eastAsia="Calibri" w:hAnsi="Calibri"/>
          <w:b/>
          <w:bCs/>
          <w:color w:val="15803D"/>
          <w:sz w:val="28"/>
          <w:szCs w:val="28"/>
        </w:rPr>
        <w:t xml:space="preserve">7.1 Mapa del sitio</w:t>
      </w:r>
    </w:p>
    <w:p>
      <w:pPr>
        <w:spacing w:after="120" w:before="0" w:line="276"/>
        <w:jc w:val="both"/>
      </w:pPr>
      <w:r>
        <w:rPr>
          <w:rFonts w:ascii="Calibri" w:cs="Calibri" w:eastAsia="Calibri" w:hAnsi="Calibri"/>
          <w:b w:val="false"/>
          <w:bCs w:val="false"/>
          <w:i w:val="false"/>
          <w:iCs w:val="false"/>
          <w:color w:val="0F172A"/>
          <w:sz w:val="22"/>
          <w:szCs w:val="22"/>
        </w:rPr>
        <w:t xml:space="preserve">La arquitectura de información del sitio web se diseñó siguiendo los principios de mínima fricción para el usuario, jerarquía clara entre páginas públicas y simuladas, y consistencia visual y de navegación entre secciones. El mapa del sitio se compone de once rutas principales que se describen a continuación.</w:t>
      </w:r>
    </w:p>
    <w:p>
      <w:pPr>
        <w:spacing w:after="120" w:before="180" w:line="276"/>
        <w:jc w:val="center"/>
      </w:pPr>
      <w:r>
        <w:rPr>
          <w:rFonts w:ascii="Calibri" w:cs="Calibri" w:eastAsia="Calibri" w:hAnsi="Calibri"/>
          <w:b/>
          <w:bCs/>
          <w:i/>
          <w:iCs/>
          <w:color w:val="14532D"/>
          <w:sz w:val="20"/>
          <w:szCs w:val="20"/>
        </w:rPr>
        <w:t xml:space="preserve">Tabla 7. Mapa del sitio web AgroPulse.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Ruta</w:t>
            </w:r>
          </w:p>
        </w:tc>
        <w:tc>
          <w:tcPr>
            <w:tcW w:type="dxa" w:w="52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Página</w:t>
            </w:r>
          </w:p>
        </w:tc>
        <w:tc>
          <w:tcPr>
            <w:tcW w:type="dxa" w:w="19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Visibilidad</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w:t>
            </w:r>
          </w:p>
        </w:tc>
        <w:tc>
          <w:tcPr>
            <w:tcW w:type="dxa" w:w="5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Landing pública (hero, problema, solución, planes, CTA).</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/nosotros</w:t>
            </w:r>
          </w:p>
        </w:tc>
        <w:tc>
          <w:tcPr>
            <w:tcW w:type="dxa" w:w="5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Información sobre la empresa, misión, visión y equipo.</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/marketplace</w:t>
            </w:r>
          </w:p>
        </w:tc>
        <w:tc>
          <w:tcPr>
            <w:tcW w:type="dxa" w:w="5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Catálogo B2B con filtros (producto, región, urgencia, precio).</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/marketplace/[id]</w:t>
            </w:r>
          </w:p>
        </w:tc>
        <w:tc>
          <w:tcPr>
            <w:tcW w:type="dxa" w:w="5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Detalle de lote, productor, fechas y certificaciones.</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/trazabilidad/[loteId]</w:t>
            </w:r>
          </w:p>
        </w:tc>
        <w:tc>
          <w:tcPr>
            <w:tcW w:type="dxa" w:w="5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Página pública QR con la historia del lote.</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/dashboard</w:t>
            </w:r>
          </w:p>
        </w:tc>
        <w:tc>
          <w:tcPr>
            <w:tcW w:type="dxa" w:w="5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Panel productor con KPIs, sensores IoT y alertas.</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Simulada</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/dashboard/inventario</w:t>
            </w:r>
          </w:p>
        </w:tc>
        <w:tc>
          <w:tcPr>
            <w:tcW w:type="dxa" w:w="5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Listado de lotes con sus sensores asociados.</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Simulada</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/dashboard/sensores</w:t>
            </w:r>
          </w:p>
        </w:tc>
        <w:tc>
          <w:tcPr>
            <w:tcW w:type="dxa" w:w="5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Vista detallada IoT con gráficas en vivo.</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Simulada</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/planes</w:t>
            </w:r>
          </w:p>
        </w:tc>
        <w:tc>
          <w:tcPr>
            <w:tcW w:type="dxa" w:w="5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Planes SaaS (Básico, Pro, Enterprise) con comparativa.</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r>
        <w:tc>
          <w:tcPr>
            <w:tcW w:type="dxa" w:w="2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/contacto</w:t>
            </w:r>
          </w:p>
        </w:tc>
        <w:tc>
          <w:tcPr>
            <w:tcW w:type="dxa" w:w="5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Formulario de contacto para clientes y prensa.</w:t>
            </w:r>
          </w:p>
        </w:tc>
        <w:tc>
          <w:tcPr>
            <w:tcW w:type="dxa" w:w="19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r>
        <w:tc>
          <w:tcPr>
            <w:tcW w:type="dxa" w:w="2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/login</w:t>
            </w:r>
          </w:p>
        </w:tc>
        <w:tc>
          <w:tcPr>
            <w:tcW w:type="dxa" w:w="5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Login simulado con selección de rol.</w:t>
            </w:r>
          </w:p>
        </w:tc>
        <w:tc>
          <w:tcPr>
            <w:tcW w:type="dxa" w:w="19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Pública</w:t>
            </w:r>
          </w:p>
        </w:tc>
      </w:tr>
    </w:tbl>
    <w:p>
      <w:pPr>
        <w:spacing w:after="120"/>
      </w:pPr>
      <w:r>
        <w:t xml:space="preserve"/>
      </w:r>
    </w:p>
    <w:p>
      <w:pPr>
        <w:pStyle w:val="Heading2"/>
        <w:spacing w:after="180" w:before="300" w:line="276"/>
      </w:pPr>
      <w:r>
        <w:rPr>
          <w:rFonts w:ascii="Calibri" w:cs="Calibri" w:eastAsia="Calibri" w:hAnsi="Calibri"/>
          <w:b/>
          <w:bCs/>
          <w:color w:val="15803D"/>
          <w:sz w:val="28"/>
          <w:szCs w:val="28"/>
        </w:rPr>
        <w:t xml:space="preserve">7.2 Wireframes textuales</w:t>
      </w:r>
    </w:p>
    <w:p>
      <w:pPr>
        <w:spacing w:after="120" w:before="0" w:line="276"/>
        <w:jc w:val="both"/>
      </w:pPr>
      <w:r>
        <w:rPr>
          <w:rFonts w:ascii="Calibri" w:cs="Calibri" w:eastAsia="Calibri" w:hAnsi="Calibri"/>
          <w:b w:val="false"/>
          <w:bCs w:val="false"/>
          <w:i w:val="false"/>
          <w:iCs w:val="false"/>
          <w:color w:val="0F172A"/>
          <w:sz w:val="22"/>
          <w:szCs w:val="22"/>
        </w:rPr>
        <w:t xml:space="preserve">A continuación se describen los wireframes textuales de las cuatro páginas principales del sitio, definiendo la jerarquía visual, los componentes incluidos y la lógica de interacción esperada en cada caso.</w:t>
      </w:r>
    </w:p>
    <w:p>
      <w:pPr>
        <w:pStyle w:val="Heading3"/>
        <w:spacing w:after="120" w:before="240" w:line="276"/>
      </w:pPr>
      <w:r>
        <w:rPr>
          <w:rFonts w:ascii="Calibri" w:cs="Calibri" w:eastAsia="Calibri" w:hAnsi="Calibri"/>
          <w:b/>
          <w:bCs/>
          <w:color w:val="14532D"/>
          <w:sz w:val="24"/>
          <w:szCs w:val="24"/>
        </w:rPr>
        <w:t xml:space="preserve">Landing pública</w:t>
      </w:r>
    </w:p>
    <w:p>
      <w:pPr>
        <w:spacing w:after="120" w:before="0" w:line="276"/>
        <w:jc w:val="both"/>
      </w:pPr>
      <w:r>
        <w:rPr>
          <w:rFonts w:ascii="Calibri" w:cs="Calibri" w:eastAsia="Calibri" w:hAnsi="Calibri"/>
          <w:b w:val="false"/>
          <w:bCs w:val="false"/>
          <w:i w:val="false"/>
          <w:iCs w:val="false"/>
          <w:color w:val="0F172A"/>
          <w:sz w:val="22"/>
          <w:szCs w:val="22"/>
        </w:rPr>
        <w:t xml:space="preserve">La landing se estructura en bloques verticales que el usuario recorre mediante scroll. El primer bloque es el hero principal con el tagline "El pulso inteligente de tu cosecha", una imagen ilustrativa de un campo intervenido con sensores IoT, y dos llamados a la acción primarios: "Solicita demo" para compradores y "Soy productor" para el segmento de oferta. El segundo bloque expone los tres problemas más significativos mediante tarjetas con íconos y métricas (30-40 % de pérdida, 491 mil millones de pesos al año, opacidad). El tercer bloque presenta la solución con sus tres pilares (IoT, ML, marketplace) en un layout de tres columnas. El cuarto bloque ilustra cómo funciona la plataforma en cuatro pasos secuenciales. El quinto bloque muestra los planes SaaS en formato de tarjetas comparativas. El sexto bloque incluye casos de éxito ficticios para construir credibilidad. El último bloque es el llamado a la acción final con formulario de contacto.</w:t>
      </w:r>
    </w:p>
    <w:p>
      <w:pPr>
        <w:pStyle w:val="Heading3"/>
        <w:spacing w:after="120" w:before="240" w:line="276"/>
      </w:pPr>
      <w:r>
        <w:rPr>
          <w:rFonts w:ascii="Calibri" w:cs="Calibri" w:eastAsia="Calibri" w:hAnsi="Calibri"/>
          <w:b/>
          <w:bCs/>
          <w:color w:val="14532D"/>
          <w:sz w:val="24"/>
          <w:szCs w:val="24"/>
        </w:rPr>
        <w:t xml:space="preserve">Marketplace</w:t>
      </w:r>
    </w:p>
    <w:p>
      <w:pPr>
        <w:spacing w:after="120" w:before="0" w:line="276"/>
        <w:jc w:val="both"/>
      </w:pPr>
      <w:r>
        <w:rPr>
          <w:rFonts w:ascii="Calibri" w:cs="Calibri" w:eastAsia="Calibri" w:hAnsi="Calibri"/>
          <w:b w:val="false"/>
          <w:bCs w:val="false"/>
          <w:i w:val="false"/>
          <w:iCs w:val="false"/>
          <w:color w:val="0F172A"/>
          <w:sz w:val="22"/>
          <w:szCs w:val="22"/>
        </w:rPr>
        <w:t xml:space="preserve">La página de marketplace ofrece una vista de listado de los lotes disponibles, con filtros laterales por producto, región, rango de precio y nivel de urgencia (vida útil restante). Cada lote se representa como una tarjeta con la fotografía del producto, el nombre del productor, la cantidad disponible, el precio sugerido, los días de vida útil restante y un badge de certificación cuando aplica. La interacción principal es el click sobre la tarjeta, que conduce al detalle del lote, donde se muestra información ampliada del productor, las lecturas más recientes de los sensores asociados, las certificaciones vigentes y el botón de "Iniciar compra" que en el prototipo conduce a la simulación de pedido.</w:t>
      </w:r>
    </w:p>
    <w:p>
      <w:pPr>
        <w:pStyle w:val="Heading3"/>
        <w:spacing w:after="120" w:before="240" w:line="276"/>
      </w:pPr>
      <w:r>
        <w:rPr>
          <w:rFonts w:ascii="Calibri" w:cs="Calibri" w:eastAsia="Calibri" w:hAnsi="Calibri"/>
          <w:b/>
          <w:bCs/>
          <w:color w:val="14532D"/>
          <w:sz w:val="24"/>
          <w:szCs w:val="24"/>
        </w:rPr>
        <w:t xml:space="preserve">Dashboard</w:t>
      </w:r>
    </w:p>
    <w:p>
      <w:pPr>
        <w:spacing w:after="120" w:before="0" w:line="276"/>
        <w:jc w:val="both"/>
      </w:pPr>
      <w:r>
        <w:rPr>
          <w:rFonts w:ascii="Calibri" w:cs="Calibri" w:eastAsia="Calibri" w:hAnsi="Calibri"/>
          <w:b w:val="false"/>
          <w:bCs w:val="false"/>
          <w:i w:val="false"/>
          <w:iCs w:val="false"/>
          <w:color w:val="0F172A"/>
          <w:sz w:val="22"/>
          <w:szCs w:val="22"/>
        </w:rPr>
        <w:t xml:space="preserve">El dashboard del productor se organiza en tres bloques superiores y dos inferiores. Los bloques superiores muestran indicadores clave: pedidos del mes, alertas activas y porcentaje de mermas evitadas. El primer bloque inferior es una gráfica de series temporales con la evolución de temperatura y humedad de los sensores principales en las últimas 72 horas. El segundo bloque inferior es un mapa Leaflet con la ubicación de los almacenes y las unidades de transporte activas, codificadas por color según su estado (normal, alerta o crítico).</w:t>
      </w:r>
    </w:p>
    <w:p>
      <w:pPr>
        <w:pStyle w:val="Heading3"/>
        <w:spacing w:after="120" w:before="240" w:line="276"/>
      </w:pPr>
      <w:r>
        <w:rPr>
          <w:rFonts w:ascii="Calibri" w:cs="Calibri" w:eastAsia="Calibri" w:hAnsi="Calibri"/>
          <w:b/>
          <w:bCs/>
          <w:color w:val="14532D"/>
          <w:sz w:val="24"/>
          <w:szCs w:val="24"/>
        </w:rPr>
        <w:t xml:space="preserve">Trazabilidad</w:t>
      </w:r>
    </w:p>
    <w:p>
      <w:pPr>
        <w:spacing w:after="120" w:before="0" w:line="276"/>
        <w:jc w:val="both"/>
      </w:pPr>
      <w:r>
        <w:rPr>
          <w:rFonts w:ascii="Calibri" w:cs="Calibri" w:eastAsia="Calibri" w:hAnsi="Calibri"/>
          <w:b w:val="false"/>
          <w:bCs w:val="false"/>
          <w:i w:val="false"/>
          <w:iCs w:val="false"/>
          <w:color w:val="0F172A"/>
          <w:sz w:val="22"/>
          <w:szCs w:val="22"/>
        </w:rPr>
        <w:t xml:space="preserve">La página de trazabilidad pública, accesible mediante código QR, presenta la historia completa de un lote en formato de línea temporal vertical. Cada evento (cosecha, empaque, salida, transporte, entrega) se representa con su fecha, ubicación, responsable y, cuando aplica, las lecturas de los sensores asociados al evento. La página incluye también los datos del productor, las certificaciones aplicables y un mapa que ilustra el recorrido del lote desde su origen hasta el punto de venta.</w:t>
      </w:r>
    </w:p>
    <w:p>
      <w:pPr>
        <w:pStyle w:val="Heading2"/>
        <w:spacing w:after="180" w:before="300" w:line="276"/>
      </w:pPr>
      <w:r>
        <w:rPr>
          <w:rFonts w:ascii="Calibri" w:cs="Calibri" w:eastAsia="Calibri" w:hAnsi="Calibri"/>
          <w:b/>
          <w:bCs/>
          <w:color w:val="15803D"/>
          <w:sz w:val="28"/>
          <w:szCs w:val="28"/>
        </w:rPr>
        <w:t xml:space="preserve">7.3 Identidad visual</w:t>
      </w:r>
    </w:p>
    <w:p>
      <w:pPr>
        <w:spacing w:after="120" w:before="0" w:line="276"/>
        <w:jc w:val="both"/>
      </w:pPr>
      <w:r>
        <w:rPr>
          <w:rFonts w:ascii="Calibri" w:cs="Calibri" w:eastAsia="Calibri" w:hAnsi="Calibri"/>
          <w:b w:val="false"/>
          <w:bCs w:val="false"/>
          <w:i w:val="false"/>
          <w:iCs w:val="false"/>
          <w:color w:val="0F172A"/>
          <w:sz w:val="22"/>
          <w:szCs w:val="22"/>
        </w:rPr>
        <w:t xml:space="preserve">La paleta de colores se construyó alrededor de un verde principal (Verde Cosecha, #15803D) que evoca frescura, sostenibilidad y vitalidad agrícola. Esta elección se complementa con un verde oscuro (#14532D) para estados de hover, navbar y footer, un verde lima (#84CC16) como acento de frescura y un ámbar cosecha (#F59E0B) para llamados a la acción secundarios y alertas suaves. Los colores funcionales (rojo de alerta, azul de información) se reservan para situaciones específicas en el dashboard.</w:t>
      </w:r>
    </w:p>
    <w:p>
      <w:pPr>
        <w:spacing w:after="120" w:before="180" w:line="276"/>
        <w:jc w:val="center"/>
      </w:pPr>
      <w:r>
        <w:rPr>
          <w:rFonts w:ascii="Calibri" w:cs="Calibri" w:eastAsia="Calibri" w:hAnsi="Calibri"/>
          <w:b/>
          <w:bCs/>
          <w:i/>
          <w:iCs/>
          <w:color w:val="14532D"/>
          <w:sz w:val="20"/>
          <w:szCs w:val="20"/>
        </w:rPr>
        <w:t xml:space="preserve">Tabla 8. Paleta de colores y tokens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Token</w:t>
            </w:r>
          </w:p>
        </w:tc>
        <w:tc>
          <w:tcPr>
            <w:tcW w:type="dxa" w:w="18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HEX</w:t>
            </w:r>
          </w:p>
        </w:tc>
        <w:tc>
          <w:tcPr>
            <w:tcW w:type="dxa" w:w="47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Uso</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--brand-primary</w:t>
            </w:r>
          </w:p>
        </w:tc>
        <w:tc>
          <w:tcPr>
            <w:tcW w:type="dxa" w:w="1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#15803D</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Verde Cosecha. Botones primarios, links, marca.</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--brand-primary-dark</w:t>
            </w:r>
          </w:p>
        </w:tc>
        <w:tc>
          <w:tcPr>
            <w:tcW w:type="dxa" w:w="1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#14532D</w:t>
            </w:r>
          </w:p>
        </w:tc>
        <w:tc>
          <w:tcPr>
            <w:tcW w:type="dxa" w:w="47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Hover, navbar, footer.</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--brand-accent</w:t>
            </w:r>
          </w:p>
        </w:tc>
        <w:tc>
          <w:tcPr>
            <w:tcW w:type="dxa" w:w="1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#84CC16</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Verde Lima. Frescura, badges, highlights.</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--brand-warm</w:t>
            </w:r>
          </w:p>
        </w:tc>
        <w:tc>
          <w:tcPr>
            <w:tcW w:type="dxa" w:w="1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#F59E0B</w:t>
            </w:r>
          </w:p>
        </w:tc>
        <w:tc>
          <w:tcPr>
            <w:tcW w:type="dxa" w:w="47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Ámbar Cosecha. Alertas suaves, CTAs secundarios.</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--brand-danger</w:t>
            </w:r>
          </w:p>
        </w:tc>
        <w:tc>
          <w:tcPr>
            <w:tcW w:type="dxa" w:w="1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#DC2626</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Rojo. Alertas críticas, mermas.</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--brand-info</w:t>
            </w:r>
          </w:p>
        </w:tc>
        <w:tc>
          <w:tcPr>
            <w:tcW w:type="dxa" w:w="1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#0EA5E9</w:t>
            </w:r>
          </w:p>
        </w:tc>
        <w:tc>
          <w:tcPr>
            <w:tcW w:type="dxa" w:w="47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Azul. Datos, IoT, gráficas.</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--brand-ink</w:t>
            </w:r>
          </w:p>
        </w:tc>
        <w:tc>
          <w:tcPr>
            <w:tcW w:type="dxa" w:w="1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#0F172A</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Texto principal.</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--brand-muted</w:t>
            </w:r>
          </w:p>
        </w:tc>
        <w:tc>
          <w:tcPr>
            <w:tcW w:type="dxa" w:w="1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#64748B</w:t>
            </w:r>
          </w:p>
        </w:tc>
        <w:tc>
          <w:tcPr>
            <w:tcW w:type="dxa" w:w="47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Texto secundario.</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--brand-bg</w:t>
            </w:r>
          </w:p>
        </w:tc>
        <w:tc>
          <w:tcPr>
            <w:tcW w:type="dxa" w:w="1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#FAFAF9</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Fondo principal.</w:t>
            </w:r>
          </w:p>
        </w:tc>
      </w:tr>
      <w:tr>
        <w:tc>
          <w:tcPr>
            <w:tcW w:type="dxa" w:w="2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--brand-surface</w:t>
            </w:r>
          </w:p>
        </w:tc>
        <w:tc>
          <w:tcPr>
            <w:tcW w:type="dxa" w:w="18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#FFFFFF</w:t>
            </w:r>
          </w:p>
        </w:tc>
        <w:tc>
          <w:tcPr>
            <w:tcW w:type="dxa" w:w="47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Cards y modales.</w:t>
            </w:r>
          </w:p>
        </w:tc>
      </w:tr>
      <w:tr>
        <w:tc>
          <w:tcPr>
            <w:tcW w:type="dxa" w:w="2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--brand-border</w:t>
            </w:r>
          </w:p>
        </w:tc>
        <w:tc>
          <w:tcPr>
            <w:tcW w:type="dxa" w:w="18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#E2E8F0</w:t>
            </w:r>
          </w:p>
        </w:tc>
        <w:tc>
          <w:tcPr>
            <w:tcW w:type="dxa" w:w="47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Bordes y divisores.</w:t>
            </w:r>
          </w:p>
        </w:tc>
      </w:tr>
    </w:tbl>
    <w:p>
      <w:pPr>
        <w:spacing w:after="120"/>
      </w:pPr>
      <w:r>
        <w:t xml:space="preserve"/>
      </w:r>
    </w:p>
    <w:p>
      <w:pPr>
        <w:spacing w:after="120" w:before="0" w:line="276"/>
        <w:jc w:val="both"/>
      </w:pPr>
      <w:r>
        <w:rPr>
          <w:rFonts w:ascii="Calibri" w:cs="Calibri" w:eastAsia="Calibri" w:hAnsi="Calibri"/>
          <w:b w:val="false"/>
          <w:bCs w:val="false"/>
          <w:i w:val="false"/>
          <w:iCs w:val="false"/>
          <w:color w:val="0F172A"/>
          <w:sz w:val="22"/>
          <w:szCs w:val="22"/>
        </w:rPr>
        <w:t xml:space="preserve">Las tipografías seleccionadas son Geist Sans para encabezados (con peso 600 a 700 y tracking ajustado para mayor compactación visual), Geist Sans para el cuerpo de texto (con peso 400 a 500) y Geist Mono para fragmentos de código y datos numéricos donde la legibilidad de cifras es crítica.</w:t>
      </w:r>
    </w:p>
    <w:p>
      <w:pPr>
        <w:pStyle w:val="Heading2"/>
        <w:spacing w:after="180" w:before="300" w:line="276"/>
      </w:pPr>
      <w:r>
        <w:rPr>
          <w:rFonts w:ascii="Calibri" w:cs="Calibri" w:eastAsia="Calibri" w:hAnsi="Calibri"/>
          <w:b/>
          <w:bCs/>
          <w:color w:val="15803D"/>
          <w:sz w:val="28"/>
          <w:szCs w:val="28"/>
        </w:rPr>
        <w:t xml:space="preserve">7.4 UX/UI: principios aplicados</w:t>
      </w:r>
    </w:p>
    <w:p>
      <w:pPr>
        <w:spacing w:after="120" w:before="0" w:line="276"/>
        <w:jc w:val="both"/>
      </w:pPr>
      <w:r>
        <w:rPr>
          <w:rFonts w:ascii="Calibri" w:cs="Calibri" w:eastAsia="Calibri" w:hAnsi="Calibri"/>
          <w:b w:val="false"/>
          <w:bCs w:val="false"/>
          <w:i w:val="false"/>
          <w:iCs w:val="false"/>
          <w:color w:val="0F172A"/>
          <w:sz w:val="22"/>
          <w:szCs w:val="22"/>
        </w:rPr>
        <w:t xml:space="preserve">El diseño de la experiencia de usuario se rige por cuatro principios. El primero es la jerarquía visual clara: cada página presenta una acción principal y un máximo de dos acciones secundarias para evitar la parálisis por exceso de opciones. El segundo es la accesibilidad AA según los lineamientos WCAG 2.1, lo que se traduce en contrastes mínimos de 4.5:1 para texto normal y 3:1 para texto grande, presencia de etiquetas semánticas (aria-label) en componentes interactivos, navegabilidad completa por teclado y manejo correcto de focus. El tercero es el enfoque mobile-first: cada página se diseña primero para dispositivos móviles y luego se expande progresivamente a tabletas y escritorio, asegurando que la experiencia sea óptima en cualquier dispositivo. El cuarto es la consistencia de patrones: botones, formularios, tarjetas y tipografía mantienen la misma apariencia y comportamiento en todas las páginas, reduciendo la carga cognitiva del usuario.</w:t>
      </w:r>
    </w:p>
    <w:p>
      <w:pPr>
        <w:pStyle w:val="Heading1"/>
        <w:pageBreakBefore/>
        <w:spacing w:after="240" w:before="360" w:line="276"/>
      </w:pPr>
      <w:r>
        <w:rPr>
          <w:rFonts w:ascii="Calibri" w:cs="Calibri" w:eastAsia="Calibri" w:hAnsi="Calibri"/>
          <w:b/>
          <w:bCs/>
          <w:color w:val="15803D"/>
          <w:sz w:val="36"/>
          <w:szCs w:val="36"/>
        </w:rPr>
        <w:t xml:space="preserve">Capítulo 8. Funcionalidades del E-business</w:t>
      </w:r>
    </w:p>
    <w:p>
      <w:pPr>
        <w:pStyle w:val="Heading2"/>
        <w:spacing w:after="180" w:before="300" w:line="276"/>
      </w:pPr>
      <w:r>
        <w:rPr>
          <w:rFonts w:ascii="Calibri" w:cs="Calibri" w:eastAsia="Calibri" w:hAnsi="Calibri"/>
          <w:b/>
          <w:bCs/>
          <w:color w:val="15803D"/>
          <w:sz w:val="28"/>
          <w:szCs w:val="28"/>
        </w:rPr>
        <w:t xml:space="preserve">8.1 Marketplace B2B</w:t>
      </w:r>
    </w:p>
    <w:p>
      <w:pPr>
        <w:spacing w:after="120" w:before="0" w:line="276"/>
        <w:jc w:val="both"/>
      </w:pPr>
      <w:r>
        <w:rPr>
          <w:rFonts w:ascii="Calibri" w:cs="Calibri" w:eastAsia="Calibri" w:hAnsi="Calibri"/>
          <w:b w:val="false"/>
          <w:bCs w:val="false"/>
          <w:i w:val="false"/>
          <w:iCs w:val="false"/>
          <w:color w:val="0F172A"/>
          <w:sz w:val="22"/>
          <w:szCs w:val="22"/>
        </w:rPr>
        <w:t xml:space="preserve">El marketplace B2B es el componente comercial central de la plataforma. Incorpora un catálogo paginado de lotes disponibles, filtros avanzados (por producto, región geográfica, rango de precio, días de vida útil restante, certificaciones aplicables), una lógica de matching que prioriza la presentación de los lotes con menor vida útil restante para minimizar pérdidas, y un mecanismo de favoritos para que los compradores guarden los productos de su interés. El proceso de compra simulado contempla seis pasos: selección del lote, definición de cantidad, selección de método de pago, confirmación de dirección de entrega, contratación de servicio logístico aliado y confirmación final.</w:t>
      </w:r>
    </w:p>
    <w:p>
      <w:pPr>
        <w:pStyle w:val="Heading2"/>
        <w:spacing w:after="180" w:before="300" w:line="276"/>
      </w:pPr>
      <w:r>
        <w:rPr>
          <w:rFonts w:ascii="Calibri" w:cs="Calibri" w:eastAsia="Calibri" w:hAnsi="Calibri"/>
          <w:b/>
          <w:bCs/>
          <w:color w:val="15803D"/>
          <w:sz w:val="28"/>
          <w:szCs w:val="28"/>
        </w:rPr>
        <w:t xml:space="preserve">8.2 Dashboard analítico</w:t>
      </w:r>
    </w:p>
    <w:p>
      <w:pPr>
        <w:spacing w:after="120" w:before="0" w:line="276"/>
        <w:jc w:val="both"/>
      </w:pPr>
      <w:r>
        <w:rPr>
          <w:rFonts w:ascii="Calibri" w:cs="Calibri" w:eastAsia="Calibri" w:hAnsi="Calibri"/>
          <w:b w:val="false"/>
          <w:bCs w:val="false"/>
          <w:i w:val="false"/>
          <w:iCs w:val="false"/>
          <w:color w:val="0F172A"/>
          <w:sz w:val="22"/>
          <w:szCs w:val="22"/>
        </w:rPr>
        <w:t xml:space="preserve">El dashboard analítico ofrece al productor una vista consolidada de sus operaciones en tiempo real. Los componentes principales son: indicadores agregados (ventas del mes, lotes activos, alertas pendientes, porcentaje de mermas evitadas), gráficas de evolución temporal (sensores IoT, ventas semanales, precios promedio), mapa interactivo con la ubicación de almacenes y unidades de transporte, y una bandeja de alertas con clasificación por severidad (informativa, advertencia, crítica). El dashboard se personaliza según el rol del usuario: el productor ve sus propios datos, el comprador ve un dashboard de adquisiciones, el administrador ve métricas agregadas de la plataforma.</w:t>
      </w:r>
    </w:p>
    <w:p>
      <w:pPr>
        <w:pStyle w:val="Heading2"/>
        <w:spacing w:after="180" w:before="300" w:line="276"/>
      </w:pPr>
      <w:r>
        <w:rPr>
          <w:rFonts w:ascii="Calibri" w:cs="Calibri" w:eastAsia="Calibri" w:hAnsi="Calibri"/>
          <w:b/>
          <w:bCs/>
          <w:color w:val="15803D"/>
          <w:sz w:val="28"/>
          <w:szCs w:val="28"/>
        </w:rPr>
        <w:t xml:space="preserve">8.3 Trazabilidad QR</w:t>
      </w:r>
    </w:p>
    <w:p>
      <w:pPr>
        <w:spacing w:after="120" w:before="0" w:line="276"/>
        <w:jc w:val="both"/>
      </w:pPr>
      <w:r>
        <w:rPr>
          <w:rFonts w:ascii="Calibri" w:cs="Calibri" w:eastAsia="Calibri" w:hAnsi="Calibri"/>
          <w:b w:val="false"/>
          <w:bCs w:val="false"/>
          <w:i w:val="false"/>
          <w:iCs w:val="false"/>
          <w:color w:val="0F172A"/>
          <w:sz w:val="22"/>
          <w:szCs w:val="22"/>
        </w:rPr>
        <w:t xml:space="preserve">Cada lote registrado en la plataforma recibe automáticamente un identificador único y un código QR de acceso público. El QR puede imprimirse en la etiqueta del producto o en el embalaje y, al ser escaneado por un consumidor con la cámara de su teléfono, conduce a una página pública que muestra la historia completa del lote: fecha y lugar de cosecha, productor responsable, fechas y condiciones de transporte, certificaciones aplicables y, opcionalmente, una historia narrativa que el productor puede agregar manualmente para construir conexión emocional con el consumidor final.</w:t>
      </w:r>
    </w:p>
    <w:p>
      <w:pPr>
        <w:pStyle w:val="Heading2"/>
        <w:spacing w:after="180" w:before="300" w:line="276"/>
      </w:pPr>
      <w:r>
        <w:rPr>
          <w:rFonts w:ascii="Calibri" w:cs="Calibri" w:eastAsia="Calibri" w:hAnsi="Calibri"/>
          <w:b/>
          <w:bCs/>
          <w:color w:val="15803D"/>
          <w:sz w:val="28"/>
          <w:szCs w:val="28"/>
        </w:rPr>
        <w:t xml:space="preserve">8.4 Sistema de pedidos</w:t>
      </w:r>
    </w:p>
    <w:p>
      <w:pPr>
        <w:spacing w:after="120" w:before="0" w:line="276"/>
        <w:jc w:val="both"/>
      </w:pPr>
      <w:r>
        <w:rPr>
          <w:rFonts w:ascii="Calibri" w:cs="Calibri" w:eastAsia="Calibri" w:hAnsi="Calibri"/>
          <w:b w:val="false"/>
          <w:bCs w:val="false"/>
          <w:i w:val="false"/>
          <w:iCs w:val="false"/>
          <w:color w:val="0F172A"/>
          <w:sz w:val="22"/>
          <w:szCs w:val="22"/>
        </w:rPr>
        <w:t xml:space="preserve">El sistema de pedidos administra el ciclo de vida completo de cada transacción, desde la solicitud inicial del comprador hasta la confirmación de entrega y la facturación electrónica. Cada pedido pasa por seis estados (pendiente, aceptado, en preparación, en tránsito, entregado, cerrado), con notificaciones automatizadas en cada cambio de estado tanto al productor como al comprador. La simulación del prototipo permite recorrer los seis estados de forma manual desde el panel de administración.</w:t>
      </w:r>
    </w:p>
    <w:p>
      <w:pPr>
        <w:pStyle w:val="Heading2"/>
        <w:spacing w:after="180" w:before="300" w:line="276"/>
      </w:pPr>
      <w:r>
        <w:rPr>
          <w:rFonts w:ascii="Calibri" w:cs="Calibri" w:eastAsia="Calibri" w:hAnsi="Calibri"/>
          <w:b/>
          <w:bCs/>
          <w:color w:val="15803D"/>
          <w:sz w:val="28"/>
          <w:szCs w:val="28"/>
        </w:rPr>
        <w:t xml:space="preserve">8.5 Onboarding por roles</w:t>
      </w:r>
    </w:p>
    <w:p>
      <w:pPr>
        <w:spacing w:after="120" w:before="0" w:line="276"/>
        <w:jc w:val="both"/>
      </w:pPr>
      <w:r>
        <w:rPr>
          <w:rFonts w:ascii="Calibri" w:cs="Calibri" w:eastAsia="Calibri" w:hAnsi="Calibri"/>
          <w:b w:val="false"/>
          <w:bCs w:val="false"/>
          <w:i w:val="false"/>
          <w:iCs w:val="false"/>
          <w:color w:val="0F172A"/>
          <w:sz w:val="22"/>
          <w:szCs w:val="22"/>
        </w:rPr>
        <w:t xml:space="preserve">El proceso de onboarding se diferencia según el rol del nuevo usuario. Para productores, contempla cinco pasos: registro de cuenta, validación de identidad y RFC, registro de la unidad de producción (ubicación, productos, capacidad), selección de plan SaaS y entrega de los sensores IoT (en producción) o activación simulada (en el prototipo). Para compradores, contempla cuatro pasos: registro de cuenta, validación de empresa, configuración de preferencias de productos y categorías, y activación de notificaciones de disponibilidad.</w:t>
      </w:r>
    </w:p>
    <w:p>
      <w:pPr>
        <w:pStyle w:val="Heading1"/>
        <w:pageBreakBefore/>
        <w:spacing w:after="240" w:before="360" w:line="276"/>
      </w:pPr>
      <w:r>
        <w:rPr>
          <w:rFonts w:ascii="Calibri" w:cs="Calibri" w:eastAsia="Calibri" w:hAnsi="Calibri"/>
          <w:b/>
          <w:bCs/>
          <w:color w:val="15803D"/>
          <w:sz w:val="36"/>
          <w:szCs w:val="36"/>
        </w:rPr>
        <w:t xml:space="preserve">Capítulo 9. Resultados e impacto esperado</w:t>
      </w:r>
    </w:p>
    <w:p>
      <w:pPr>
        <w:spacing w:after="120" w:before="0" w:line="276"/>
        <w:jc w:val="both"/>
      </w:pPr>
      <w:r>
        <w:rPr>
          <w:rFonts w:ascii="Calibri" w:cs="Calibri" w:eastAsia="Calibri" w:hAnsi="Calibri"/>
          <w:b w:val="false"/>
          <w:bCs w:val="false"/>
          <w:i w:val="false"/>
          <w:iCs w:val="false"/>
          <w:color w:val="0F172A"/>
          <w:sz w:val="22"/>
          <w:szCs w:val="22"/>
        </w:rPr>
        <w:t xml:space="preserve">Los resultados esperados de AgroPulse se proyectan a tres años y se organizan en dos categorías: indicadores operativos del negocio y métricas de impacto socioambiental. Las cifras presentadas constituyen objetivos verificables y reportables, sustentados en la literatura comparada del sector AgriTech y en supuestos conservadores de adopción tecnológica.</w:t>
      </w:r>
    </w:p>
    <w:p>
      <w:pPr>
        <w:pStyle w:val="Heading2"/>
        <w:spacing w:after="180" w:before="300" w:line="276"/>
      </w:pPr>
      <w:r>
        <w:rPr>
          <w:rFonts w:ascii="Calibri" w:cs="Calibri" w:eastAsia="Calibri" w:hAnsi="Calibri"/>
          <w:b/>
          <w:bCs/>
          <w:color w:val="15803D"/>
          <w:sz w:val="28"/>
          <w:szCs w:val="28"/>
        </w:rPr>
        <w:t xml:space="preserve">9.1 KPIs proyectados</w:t>
      </w:r>
    </w:p>
    <w:p>
      <w:pPr>
        <w:spacing w:after="120" w:before="180" w:line="276"/>
        <w:jc w:val="center"/>
      </w:pPr>
      <w:r>
        <w:rPr>
          <w:rFonts w:ascii="Calibri" w:cs="Calibri" w:eastAsia="Calibri" w:hAnsi="Calibri"/>
          <w:b/>
          <w:bCs/>
          <w:i/>
          <w:iCs/>
          <w:color w:val="14532D"/>
          <w:sz w:val="20"/>
          <w:szCs w:val="20"/>
        </w:rPr>
        <w:t xml:space="preserve">Tabla 9. KPIs proyectados a tres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rPr>
          <w:tblHeader/>
        </w:trPr>
        <w:tc>
          <w:tcPr>
            <w:tcW w:type="dxa" w:w="32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KPI</w:t>
            </w:r>
          </w:p>
        </w:tc>
        <w:tc>
          <w:tcPr>
            <w:tcW w:type="dxa" w:w="15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Año 1</w:t>
            </w:r>
          </w:p>
        </w:tc>
        <w:tc>
          <w:tcPr>
            <w:tcW w:type="dxa" w:w="150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Año 3</w:t>
            </w:r>
          </w:p>
        </w:tc>
        <w:tc>
          <w:tcPr>
            <w:tcW w:type="dxa" w:w="3160"/>
            <w:tcBorders>
              <w:top w:val="single" w:color="14532D" w:sz="6"/>
              <w:left w:val="single" w:color="14532D" w:sz="6"/>
              <w:bottom w:val="single" w:color="14532D" w:sz="6"/>
              <w:right w:val="single" w:color="14532D" w:sz="6"/>
            </w:tcBorders>
            <w:shd w:fill="15803D"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Comentario</w:t>
            </w:r>
          </w:p>
        </w:tc>
      </w:tr>
      <w:tr>
        <w:tc>
          <w:tcPr>
            <w:tcW w:type="dxa" w:w="3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Reducción de mermas por productor</w:t>
            </w:r>
          </w:p>
        </w:tc>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30 %</w:t>
            </w:r>
          </w:p>
        </w:tc>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45 %</w:t>
            </w:r>
          </w:p>
        </w:tc>
        <w:tc>
          <w:tcPr>
            <w:tcW w:type="dxa" w:w="31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Promedio ponderado entre productores activos.</w:t>
            </w:r>
          </w:p>
        </w:tc>
      </w:tr>
      <w:tr>
        <w:tc>
          <w:tcPr>
            <w:tcW w:type="dxa" w:w="3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Productores onboarded</w:t>
            </w:r>
          </w:p>
        </w:tc>
        <w:tc>
          <w:tcPr>
            <w:tcW w:type="dxa" w:w="15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500</w:t>
            </w:r>
          </w:p>
        </w:tc>
        <w:tc>
          <w:tcPr>
            <w:tcW w:type="dxa" w:w="15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5,000</w:t>
            </w:r>
          </w:p>
        </w:tc>
        <w:tc>
          <w:tcPr>
            <w:tcW w:type="dxa" w:w="31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Crecimiento exponencial sustentado en red de promotores.</w:t>
            </w:r>
          </w:p>
        </w:tc>
      </w:tr>
      <w:tr>
        <w:tc>
          <w:tcPr>
            <w:tcW w:type="dxa" w:w="3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GMV anual transado (USD)</w:t>
            </w:r>
          </w:p>
        </w:tc>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12 millones</w:t>
            </w:r>
          </w:p>
        </w:tc>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80 millones</w:t>
            </w:r>
          </w:p>
        </w:tc>
        <w:tc>
          <w:tcPr>
            <w:tcW w:type="dxa" w:w="31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Crecimiento por mayor base y mayor ticket promedio.</w:t>
            </w:r>
          </w:p>
        </w:tc>
      </w:tr>
      <w:tr>
        <w:tc>
          <w:tcPr>
            <w:tcW w:type="dxa" w:w="3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Tasa de adopción IoT por productor</w:t>
            </w:r>
          </w:p>
        </w:tc>
        <w:tc>
          <w:tcPr>
            <w:tcW w:type="dxa" w:w="15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55 %</w:t>
            </w:r>
          </w:p>
        </w:tc>
        <w:tc>
          <w:tcPr>
            <w:tcW w:type="dxa" w:w="15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78 %</w:t>
            </w:r>
          </w:p>
        </w:tc>
        <w:tc>
          <w:tcPr>
            <w:tcW w:type="dxa" w:w="31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Mayor adopción en planes Pro y Enterprise.</w:t>
            </w:r>
          </w:p>
        </w:tc>
      </w:tr>
      <w:tr>
        <w:tc>
          <w:tcPr>
            <w:tcW w:type="dxa" w:w="32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NPS de productores</w:t>
            </w:r>
          </w:p>
        </w:tc>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+45</w:t>
            </w:r>
          </w:p>
        </w:tc>
        <w:tc>
          <w:tcPr>
            <w:tcW w:type="dxa" w:w="150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+62</w:t>
            </w:r>
          </w:p>
        </w:tc>
        <w:tc>
          <w:tcPr>
            <w:tcW w:type="dxa" w:w="3160"/>
            <w:tcBorders>
              <w:top w:val="single" w:color="14532D" w:sz="6"/>
              <w:left w:val="single" w:color="14532D" w:sz="6"/>
              <w:bottom w:val="single" w:color="14532D" w:sz="6"/>
              <w:right w:val="single" w:color="14532D" w:sz="6"/>
            </w:tcBorders>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Indicador de satisfacción y lealtad.</w:t>
            </w:r>
          </w:p>
        </w:tc>
      </w:tr>
      <w:tr>
        <w:tc>
          <w:tcPr>
            <w:tcW w:type="dxa" w:w="32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Toneladas de merma evitadas</w:t>
            </w:r>
          </w:p>
        </w:tc>
        <w:tc>
          <w:tcPr>
            <w:tcW w:type="dxa" w:w="15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8,000</w:t>
            </w:r>
          </w:p>
        </w:tc>
        <w:tc>
          <w:tcPr>
            <w:tcW w:type="dxa" w:w="150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85,000</w:t>
            </w:r>
          </w:p>
        </w:tc>
        <w:tc>
          <w:tcPr>
            <w:tcW w:type="dxa" w:w="3160"/>
            <w:tcBorders>
              <w:top w:val="single" w:color="14532D" w:sz="6"/>
              <w:left w:val="single" w:color="14532D" w:sz="6"/>
              <w:bottom w:val="single" w:color="14532D" w:sz="6"/>
              <w:right w:val="single" w:color="14532D" w:sz="6"/>
            </w:tcBorders>
            <w:shd w:fill="F1F5F9" w:val="clear"/>
            <w:tcMar>
              <w:top w:type="dxa" w:w="90"/>
              <w:left w:type="dxa" w:w="140"/>
              <w:bottom w:type="dxa" w:w="90"/>
              <w:right w:type="dxa" w:w="140"/>
            </w:tcMar>
            <w:vAlign w:val="center"/>
          </w:tcPr>
          <w:p>
            <w:pPr>
              <w:jc w:val="left"/>
            </w:pPr>
            <w:r>
              <w:rPr>
                <w:rFonts w:ascii="Calibri" w:cs="Calibri" w:eastAsia="Calibri" w:hAnsi="Calibri"/>
                <w:b w:val="false"/>
                <w:bCs w:val="false"/>
                <w:color w:val="0F172A"/>
                <w:sz w:val="20"/>
                <w:szCs w:val="20"/>
              </w:rPr>
              <w:t xml:space="preserve">Equivalente a impacto climático significativo.</w:t>
            </w:r>
          </w:p>
        </w:tc>
      </w:tr>
    </w:tbl>
    <w:p>
      <w:pPr>
        <w:spacing w:after="120"/>
      </w:pPr>
      <w:r>
        <w:t xml:space="preserve"/>
      </w:r>
    </w:p>
    <w:p>
      <w:pPr>
        <w:pStyle w:val="Heading2"/>
        <w:spacing w:after="180" w:before="300" w:line="276"/>
      </w:pPr>
      <w:r>
        <w:rPr>
          <w:rFonts w:ascii="Calibri" w:cs="Calibri" w:eastAsia="Calibri" w:hAnsi="Calibri"/>
          <w:b/>
          <w:bCs/>
          <w:color w:val="15803D"/>
          <w:sz w:val="28"/>
          <w:szCs w:val="28"/>
        </w:rPr>
        <w:t xml:space="preserve">9.2 Impacto en ODS</w:t>
      </w:r>
    </w:p>
    <w:p>
      <w:pPr>
        <w:spacing w:after="120" w:before="0" w:line="276"/>
        <w:jc w:val="both"/>
      </w:pPr>
      <w:r>
        <w:rPr>
          <w:rFonts w:ascii="Calibri" w:cs="Calibri" w:eastAsia="Calibri" w:hAnsi="Calibri"/>
          <w:b w:val="false"/>
          <w:bCs w:val="false"/>
          <w:i w:val="false"/>
          <w:iCs w:val="false"/>
          <w:color w:val="0F172A"/>
          <w:sz w:val="22"/>
          <w:szCs w:val="22"/>
        </w:rPr>
        <w:t xml:space="preserve">El proyecto AgroPulse contribuye directamente al cumplimiento de tres Objetivos de Desarrollo Sostenible de las Naciones Unidas. El ODS 2, Hambre Cero, se atiende mediante la reducción de pérdidas que aumenta la disponibilidad efectiva de alimentos sin necesidad de incrementar la producción. El ODS 12, Producción y Consumo Responsables, se aborda mediante la promoción de cadenas de suministro transparentes, eficientes y verificables. El ODS 13, Acción por el Clima, se materializa en la reducción de emisiones de gases de efecto invernadero asociadas al desperdicio alimentario; con base en la equivalencia de 2.5 toneladas de CO₂ por tonelada de alimento desperdiciado, las 85,000 toneladas de merma evitadas en el tercer año equivaldrían a evitar 212,500 toneladas de CO₂ equivalente, comparable con retirar 46,000 automóviles particulares de circulación durante un año entero.</w:t>
      </w:r>
    </w:p>
    <w:p>
      <w:pPr>
        <w:pStyle w:val="Heading1"/>
        <w:pageBreakBefore/>
        <w:spacing w:after="240" w:before="360" w:line="276"/>
      </w:pPr>
      <w:r>
        <w:rPr>
          <w:rFonts w:ascii="Calibri" w:cs="Calibri" w:eastAsia="Calibri" w:hAnsi="Calibri"/>
          <w:b/>
          <w:bCs/>
          <w:color w:val="15803D"/>
          <w:sz w:val="36"/>
          <w:szCs w:val="36"/>
        </w:rPr>
        <w:t xml:space="preserve">Conclusiones</w:t>
      </w:r>
    </w:p>
    <w:p>
      <w:pPr>
        <w:spacing w:after="120" w:before="0" w:line="276"/>
        <w:jc w:val="both"/>
      </w:pPr>
      <w:r>
        <w:rPr>
          <w:rFonts w:ascii="Calibri" w:cs="Calibri" w:eastAsia="Calibri" w:hAnsi="Calibri"/>
          <w:b w:val="false"/>
          <w:bCs w:val="false"/>
          <w:i w:val="false"/>
          <w:iCs w:val="false"/>
          <w:color w:val="0F172A"/>
          <w:sz w:val="22"/>
          <w:szCs w:val="22"/>
        </w:rPr>
        <w:t xml:space="preserve">El presente proyecto académico ha demostrado que es viable conceptualizar, diseñar e implementar un prototipo funcional de plataforma E-business orientada a la reducción de pérdidas post-cosecha en el sector agroalimentario, utilizando un stack tecnológico moderno (Next.js 16, TypeScript, Tailwind CSS 4) y un modelo de negocio diversificado que combina marketplace B2B, suscripción SaaS, servicios logísticos integrados y servicios premium de consultoría y certificación. La integración narrativa de componentes IoT y de aprendizaje automático refuerza la propuesta de valor sin sobredimensionar la escala del prototipo, manteniendo la coherencia entre lo que se promete y lo que efectivamente se entrega en la fase de demostración.</w:t>
      </w:r>
    </w:p>
    <w:p>
      <w:pPr>
        <w:spacing w:after="120" w:before="0" w:line="276"/>
        <w:jc w:val="both"/>
      </w:pPr>
      <w:r>
        <w:rPr>
          <w:rFonts w:ascii="Calibri" w:cs="Calibri" w:eastAsia="Calibri" w:hAnsi="Calibri"/>
          <w:b w:val="false"/>
          <w:bCs w:val="false"/>
          <w:i w:val="false"/>
          <w:iCs w:val="false"/>
          <w:color w:val="0F172A"/>
          <w:sz w:val="22"/>
          <w:szCs w:val="22"/>
        </w:rPr>
        <w:t xml:space="preserve">Desde la perspectiva académica de la materia de Comercio y Negocios Digitales, el proyecto ilustra la diferencia sustantiva entre comercio electrónico (transacción digital) y negocio electrónico (digitalización integral de procesos), evidenciando que las soluciones más impactantes en sectores tradicionales como el agroalimentario requieren intervenciones integrales que trascienden la sola venta en línea. AgroPulse no es simplemente un marketplace que vende productos perecederos; es una plataforma que rediseña la cadena de suministro completa, capturando valor en múltiples puntos del flujo operativo.</w:t>
      </w:r>
    </w:p>
    <w:p>
      <w:pPr>
        <w:spacing w:after="120" w:before="0" w:line="276"/>
        <w:jc w:val="both"/>
      </w:pPr>
      <w:r>
        <w:rPr>
          <w:rFonts w:ascii="Calibri" w:cs="Calibri" w:eastAsia="Calibri" w:hAnsi="Calibri"/>
          <w:b w:val="false"/>
          <w:bCs w:val="false"/>
          <w:i w:val="false"/>
          <w:iCs w:val="false"/>
          <w:color w:val="0F172A"/>
          <w:sz w:val="22"/>
          <w:szCs w:val="22"/>
        </w:rPr>
        <w:t xml:space="preserve">Desde la perspectiva del impacto, las proyecciones a tres años permiten ilustrar la magnitud del valor económico y ambiental que una solución bien diseñada puede capturar. La meta de reducir 85,000 toneladas anuales de merma al tercer año, equivalentes a 212,500 toneladas de CO₂ no emitidas, sitúa al proyecto como una palanca de impacto comparable con muchas inversiones en infraestructura energética limpia, con la ventaja de tener un retorno financiero positivo en lugar de subsidios sostenidos.</w:t>
      </w:r>
    </w:p>
    <w:p>
      <w:pPr>
        <w:spacing w:after="120" w:before="0" w:line="276"/>
        <w:jc w:val="both"/>
      </w:pPr>
      <w:r>
        <w:rPr>
          <w:rFonts w:ascii="Calibri" w:cs="Calibri" w:eastAsia="Calibri" w:hAnsi="Calibri"/>
          <w:b w:val="false"/>
          <w:bCs w:val="false"/>
          <w:i w:val="false"/>
          <w:iCs w:val="false"/>
          <w:color w:val="0F172A"/>
          <w:sz w:val="22"/>
          <w:szCs w:val="22"/>
        </w:rPr>
        <w:t xml:space="preserve">Las decisiones de diseño visual y técnico se justifican consistentemente a lo largo del documento: la elección de Querétaro como sede se sustenta en su posición estratégica del Bajío, la composición del equipo fundador refleja la complementariedad de competencias requeridas en un emprendimiento AgriTech, la paleta de colores se ancla en el simbolismo de la frescura y la sostenibilidad, y la arquitectura técnica privilegia el desacoplamiento, la idempotencia y la observabilidad como principios rectores.</w:t>
      </w:r>
    </w:p>
    <w:p>
      <w:pPr>
        <w:spacing w:after="120" w:before="0" w:line="276"/>
        <w:jc w:val="both"/>
      </w:pPr>
      <w:r>
        <w:rPr>
          <w:rFonts w:ascii="Calibri" w:cs="Calibri" w:eastAsia="Calibri" w:hAnsi="Calibri"/>
          <w:b w:val="false"/>
          <w:bCs w:val="false"/>
          <w:i w:val="false"/>
          <w:iCs w:val="false"/>
          <w:color w:val="0F172A"/>
          <w:sz w:val="22"/>
          <w:szCs w:val="22"/>
        </w:rPr>
        <w:t xml:space="preserve">Finalmente, el documento reconoce con honestidad académica las limitaciones del prototipo: ausencia de hardware IoT real, datos simulados en lugar de reales, transacciones simuladas y falta de validación con usuarios finales. Estas limitaciones no invalidan el aprendizaje conceptual, pero abren naturalmente el camino para el trabajo futuro que se describe en la sección siguiente.</w:t>
      </w:r>
    </w:p>
    <w:p>
      <w:pPr>
        <w:pStyle w:val="Heading1"/>
        <w:pageBreakBefore/>
        <w:spacing w:after="240" w:before="360" w:line="276"/>
      </w:pPr>
      <w:r>
        <w:rPr>
          <w:rFonts w:ascii="Calibri" w:cs="Calibri" w:eastAsia="Calibri" w:hAnsi="Calibri"/>
          <w:b/>
          <w:bCs/>
          <w:color w:val="15803D"/>
          <w:sz w:val="36"/>
          <w:szCs w:val="36"/>
        </w:rPr>
        <w:t xml:space="preserve">Recomendaciones para trabajo futuro</w:t>
      </w:r>
    </w:p>
    <w:p>
      <w:pPr>
        <w:spacing w:after="120" w:before="0" w:line="276"/>
        <w:jc w:val="both"/>
      </w:pPr>
      <w:r>
        <w:rPr>
          <w:rFonts w:ascii="Calibri" w:cs="Calibri" w:eastAsia="Calibri" w:hAnsi="Calibri"/>
          <w:b w:val="false"/>
          <w:bCs w:val="false"/>
          <w:i w:val="false"/>
          <w:iCs w:val="false"/>
          <w:color w:val="0F172A"/>
          <w:sz w:val="22"/>
          <w:szCs w:val="22"/>
        </w:rPr>
        <w:t xml:space="preserve">Las recomendaciones para el trabajo futuro se organizan en tres horizontes temporales. En el corto plazo (3-6 meses) se sugiere implementar pilotos de campo con un grupo selecto de productores del Bajío mexicano, integrando hardware IoT real y midiendo de manera rigurosa la reducción efectiva de mermas. Adicionalmente, se recomienda desarrollar la aplicación móvil nativa que facilite el uso de la plataforma por parte de productores con conectividad limitada, así como cerrar las primeras alianzas estratégicas con transportistas de cadena de frío y certificadoras GLOBALG.A.P. y orgánico SAGARPA.</w:t>
      </w:r>
    </w:p>
    <w:p>
      <w:pPr>
        <w:spacing w:after="120" w:before="0" w:line="276"/>
        <w:jc w:val="both"/>
      </w:pPr>
      <w:r>
        <w:rPr>
          <w:rFonts w:ascii="Calibri" w:cs="Calibri" w:eastAsia="Calibri" w:hAnsi="Calibri"/>
          <w:b w:val="false"/>
          <w:bCs w:val="false"/>
          <w:i w:val="false"/>
          <w:iCs w:val="false"/>
          <w:color w:val="0F172A"/>
          <w:sz w:val="22"/>
          <w:szCs w:val="22"/>
        </w:rPr>
        <w:t xml:space="preserve">En el mediano plazo (6-18 meses) se propone integrar pasarelas de pago reales (Conekta, OpenPay, Stripe), facturación electrónica conectada a la Plataforma de Administración Tributaria del SAT, y procesos de KYC (Know Your Customer) tanto para productores como para compradores. También se recomienda iniciar la captación de capital de riesgo en un round Seed estimado en USD 1.5 a 2 millones para acelerar la adquisición de hardware, la expansión del equipo comercial y la entrada a nuevos mercados regionales.</w:t>
      </w:r>
    </w:p>
    <w:p>
      <w:pPr>
        <w:spacing w:after="120" w:before="0" w:line="276"/>
        <w:jc w:val="both"/>
      </w:pPr>
      <w:r>
        <w:rPr>
          <w:rFonts w:ascii="Calibri" w:cs="Calibri" w:eastAsia="Calibri" w:hAnsi="Calibri"/>
          <w:b w:val="false"/>
          <w:bCs w:val="false"/>
          <w:i w:val="false"/>
          <w:iCs w:val="false"/>
          <w:color w:val="0F172A"/>
          <w:sz w:val="22"/>
          <w:szCs w:val="22"/>
        </w:rPr>
        <w:t xml:space="preserve">En el largo plazo (18-36 meses) se vislumbra la expansión geográfica hacia el sur de México y posteriormente hacia Centroamérica y la región andina, la incorporación de tecnologías de blockchain para asegurar la inmutabilidad de los registros de trazabilidad, el desarrollo de una vertical específica para exportación con conectividad a las aduanas y certificadores internacionales, y la creación de un programa de financiamiento al productor mediante alianzas con instituciones financieras especializadas que utilicen la información operativa de la plataforma como insumo de calificación crediticia.</w:t>
      </w:r>
    </w:p>
    <w:p>
      <w:pPr>
        <w:pStyle w:val="Heading1"/>
        <w:pageBreakBefore/>
        <w:spacing w:after="240" w:before="360" w:line="276"/>
      </w:pPr>
      <w:r>
        <w:rPr>
          <w:rFonts w:ascii="Calibri" w:cs="Calibri" w:eastAsia="Calibri" w:hAnsi="Calibri"/>
          <w:b/>
          <w:bCs/>
          <w:color w:val="15803D"/>
          <w:sz w:val="36"/>
          <w:szCs w:val="36"/>
        </w:rPr>
        <w:t xml:space="preserve">Referencias bibliográficas</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Atzori, L., Iera, A. y Morabito, G. (2020). The Internet of Things: A survey. Computer Networks, 54(15), 2787-2805. https://doi.org/10.1016/j.comnet.2010.05.010</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Banco Mundial (2024). Reducing food loss for sustainable food systems. Washington, D.C.: World Bank Group. Recuperado de https://www.worldbank.org/food-loss</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Chaffey, D. y Ellis-Chadwick, F. (2022). Digital Business and E-commerce Management (8a ed.). Harlow, Reino Unido: Pearson Education.</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Deloitte (2024). IoT in Agriculture: Market Outlook 2024-2030. Deloitte Insights. Recuperado de https://www2.deloitte.com/iot-agriculture</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FAO (2023). The State of Food and Agriculture: Food Loss and Waste. Roma: Organización de las Naciones Unidas para la Alimentación y la Agricultura. Recuperado de https://www.fao.org/state-of-food-agriculture</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Laudon, K. C. y Traver, C. G. (2023). E-Commerce 2023: Business, Technology, Society (18a ed.). Boston: Pearson.</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McKinsey &amp; Company (2023). Agriculture 4.0: The future of AgriTech. McKinsey Global Institute. Recuperado de https://www.mckinsey.com/industries/agriculture</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Osterwalder, A. y Pigneur, Y. (2010). Business Model Generation. Hoboken, NJ: John Wiley &amp; Sons.</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Parker, G., Van Alstyne, M. y Choudary, S. P. (2017). Platform Revolution: How Networked Markets Are Transforming the Economy. Nueva York: W. W. Norton &amp; Company.</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SADER (2024). Diagnóstico de pérdidas y desperdicios alimentarios en México 2024. Secretaría de Agricultura y Desarrollo Rural. Recuperado de https://www.gob.mx/sader</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Taylor, S. J. y Letham, B. (2018). Forecasting at scale. The American Statistician, 72(1), 37-45. https://doi.org/10.1080/00031305.2017.1380080</w:t>
      </w:r>
    </w:p>
    <w:p>
      <w:pPr>
        <w:spacing w:after="120" w:before="0" w:line="276"/>
        <w:ind w:firstLine="720"/>
        <w:jc w:val="left"/>
      </w:pPr>
      <w:r>
        <w:rPr>
          <w:rFonts w:ascii="Calibri" w:cs="Calibri" w:eastAsia="Calibri" w:hAnsi="Calibri"/>
          <w:b w:val="false"/>
          <w:bCs w:val="false"/>
          <w:i w:val="false"/>
          <w:iCs w:val="false"/>
          <w:color w:val="0F172A"/>
          <w:sz w:val="22"/>
          <w:szCs w:val="22"/>
        </w:rPr>
        <w:t xml:space="preserve">Chen, T. y Guestrin, C. (2016). XGBoost: A Scalable Tree Boosting System. Proceedings of the 22nd ACM SIGKDD International Conference on Knowledge Discovery and Data Mining, 785-794. https://doi.org/10.1145/2939672.2939785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803D" w:sz="6" w:space="1"/>
      </w:pBdr>
      <w:tabs>
        <w:tab w:val="right" w:pos="9026"/>
      </w:tabs>
    </w:pPr>
    <w:r>
      <w:rPr>
        <w:rFonts w:ascii="Calibri" w:cs="Calibri" w:eastAsia="Calibri" w:hAnsi="Calibri"/>
        <w:color w:val="64748B"/>
        <w:sz w:val="18"/>
        <w:szCs w:val="18"/>
      </w:rPr>
      <w:t xml:space="preserve">AgroPulse — Proyecto final · Comercio y Negocios Digitales</w:t>
    </w:r>
    <w:r>
      <w:rPr>
        <w:rFonts w:ascii="Calibri" w:cs="Calibri" w:eastAsia="Calibri" w:hAnsi="Calibri"/>
        <w:color w:val="64748B"/>
        <w:sz w:val="18"/>
        <w:szCs w:val="18"/>
      </w:rPr>
      <w:t xml:space="preserve">	Página </w:t>
    </w:r>
    <w:r>
      <w:rPr>
        <w:rFonts w:ascii="Calibri" w:cs="Calibri" w:eastAsia="Calibri" w:hAnsi="Calibri"/>
        <w:b/>
        <w:bCs/>
        <w:color w:val="14532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803D" w:sz="6" w:space="1"/>
      </w:pBdr>
      <w:jc w:val="right"/>
    </w:pPr>
    <w:r>
      <w:rPr>
        <w:rFonts w:ascii="Calibri" w:cs="Calibri" w:eastAsia="Calibri" w:hAnsi="Calibri"/>
        <w:i/>
        <w:iCs/>
        <w:color w:val="14532D"/>
        <w:sz w:val="18"/>
        <w:szCs w:val="18"/>
      </w:rPr>
      <w:t xml:space="preserve">AgroPulse — Plataforma E-business para Reducción de Pérdidas Post-cosecha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276"/>
      <w:outlineLvl w:val="0"/>
    </w:pPr>
    <w:rPr>
      <w:rFonts w:ascii="Calibri" w:cs="Calibri" w:eastAsia="Calibri" w:hAnsi="Calibri"/>
      <w:b/>
      <w:bCs/>
      <w:color w:val="15803D"/>
      <w:sz w:val="36"/>
      <w:szCs w:val="36"/>
    </w:rPr>
  </w:style>
  <w:style w:type="paragraph" w:styleId="Heading2">
    <w:name w:val="Heading 2"/>
    <w:basedOn w:val="Normal"/>
    <w:next w:val="Normal"/>
    <w:qFormat/>
    <w:pPr>
      <w:spacing w:after="180" w:before="300" w:line="276"/>
      <w:outlineLvl w:val="1"/>
    </w:pPr>
    <w:rPr>
      <w:rFonts w:ascii="Calibri" w:cs="Calibri" w:eastAsia="Calibri" w:hAnsi="Calibri"/>
      <w:b/>
      <w:bCs/>
      <w:color w:val="15803D"/>
      <w:sz w:val="28"/>
      <w:szCs w:val="28"/>
    </w:rPr>
  </w:style>
  <w:style w:type="paragraph" w:styleId="Heading3">
    <w:name w:val="Heading 3"/>
    <w:basedOn w:val="Normal"/>
    <w:next w:val="Normal"/>
    <w:qFormat/>
    <w:pPr>
      <w:spacing w:after="120" w:before="240" w:line="276"/>
      <w:outlineLvl w:val="2"/>
    </w:pPr>
    <w:rPr>
      <w:rFonts w:ascii="Calibri" w:cs="Calibri" w:eastAsia="Calibri" w:hAnsi="Calibri"/>
      <w:b/>
      <w:bCs/>
      <w:color w:val="1453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AgroPulse - Documentación Académica</dc:title>
  <dc:creator>Sebastián Torres</dc:creator>
  <dc:description>Plataforma E-business para la Reducción de Pérdidas Post-cosecha</dc:description>
  <cp:lastModifiedBy>Un-named</cp:lastModifiedBy>
  <cp:revision>1</cp:revision>
  <dcterms:created xsi:type="dcterms:W3CDTF">2026-05-12T21:51:37.315Z</dcterms:created>
  <dcterms:modified xsi:type="dcterms:W3CDTF">2026-05-12T21:51:37.316Z</dcterms:modified>
</cp:coreProperties>
</file>

<file path=docProps/custom.xml><?xml version="1.0" encoding="utf-8"?>
<Properties xmlns="http://schemas.openxmlformats.org/officeDocument/2006/custom-properties" xmlns:vt="http://schemas.openxmlformats.org/officeDocument/2006/docPropsVTypes"/>
</file>