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b/>
          <w:bCs/>
          <w:color w:val="14532D"/>
          <w:sz w:val="84"/>
          <w:szCs w:val="84"/>
        </w:rPr>
        <w:t xml:space="preserve">Agro</w:t>
      </w:r>
      <w:r>
        <w:rPr>
          <w:b/>
          <w:bCs/>
          <w:color w:val="15803D"/>
          <w:sz w:val="84"/>
          <w:szCs w:val="84"/>
        </w:rPr>
        <w:t xml:space="preserve">Pulse</w:t>
      </w:r>
    </w:p>
    <w:p>
      <w:pPr>
        <w:spacing w:after="120"/>
        <w:jc w:val="center"/>
      </w:pPr>
      <w:r>
        <w:rPr>
          <w:i/>
          <w:iCs/>
          <w:color w:val="14532D"/>
          <w:sz w:val="26"/>
          <w:szCs w:val="26"/>
        </w:rPr>
        <w:t xml:space="preserve">“El pulso inteligente de tu cosecha.”</w:t>
      </w:r>
    </w:p>
    <w:p>
      <w:pPr>
        <w:spacing w:after="900"/>
        <w:jc w:val="center"/>
      </w:pPr>
      <w:r>
        <w:rPr>
          <w:color w:val="44514A"/>
          <w:sz w:val="20"/>
          <w:szCs w:val="20"/>
        </w:rPr>
        <w:t xml:space="preserve">Made in Costa Rica · Pura Vida AgriTech</w:t>
      </w:r>
    </w:p>
    <w:p>
      <w:pPr>
        <w:pBdr>
          <w:top w:val="single" w:color="15803D" w:sz="8" w:space="12"/>
        </w:pBdr>
        <w:spacing w:after="200"/>
        <w:jc w:val="center"/>
      </w:pPr>
      <w:r>
        <w:rPr>
          <w:b/>
          <w:bCs/>
          <w:color w:val="0F172A"/>
          <w:sz w:val="40"/>
          <w:szCs w:val="40"/>
        </w:rPr>
        <w:t xml:space="preserve">Plataforma E-business para la Reducción de Pérdidas Post-cosecha mediante IoT y Analítica Predictiva</w:t>
      </w:r>
    </w:p>
    <w:p>
      <w:pPr>
        <w:pBdr>
          <w:bottom w:val="single" w:color="15803D" w:sz="8" w:space="12"/>
        </w:pBdr>
        <w:spacing w:after="900"/>
        <w:jc w:val="center"/>
      </w:pPr>
      <w:r>
        <w:rPr>
          <w:color w:val="44514A"/>
          <w:sz w:val="24"/>
          <w:szCs w:val="24"/>
        </w:rPr>
        <w:t xml:space="preserve">Documentación técnica y de negocio del proyecto final</w:t>
      </w:r>
    </w:p>
    <w:p>
      <w:pPr>
        <w:spacing w:after="100"/>
        <w:jc w:val="center"/>
      </w:pPr>
      <w:r>
        <w:rPr>
          <w:sz w:val="24"/>
          <w:szCs w:val="24"/>
        </w:rPr>
        <w:t xml:space="preserve">Materia: Comercio y Negocios Digitales</w:t>
      </w:r>
    </w:p>
    <w:p>
      <w:pPr>
        <w:spacing w:after="100"/>
        <w:jc w:val="center"/>
      </w:pPr>
      <w:r>
        <w:rPr>
          <w:sz w:val="24"/>
          <w:szCs w:val="24"/>
        </w:rPr>
        <w:t xml:space="preserve">Autor: Sebastián Torres — Universidad Latina de Costa Rica (ULatina)</w:t>
      </w:r>
    </w:p>
    <w:p>
      <w:pPr>
        <w:spacing w:after="100"/>
        <w:jc w:val="center"/>
      </w:pPr>
      <w:r>
        <w:rPr>
          <w:sz w:val="24"/>
          <w:szCs w:val="24"/>
        </w:rPr>
        <w:t xml:space="preserve">AgroPulse Technologies S.A. — San José, Costa Rica</w:t>
      </w:r>
    </w:p>
    <w:p>
      <w:pPr>
        <w:spacing w:after="0"/>
        <w:jc w:val="center"/>
      </w:pPr>
      <w:r>
        <w:rPr>
          <w:b/>
          <w:bCs/>
          <w:color w:val="15803D"/>
          <w:sz w:val="24"/>
          <w:szCs w:val="24"/>
        </w:rPr>
        <w:t xml:space="preserve">Julio 2026</w:t>
      </w:r>
    </w:p>
    <w:p>
      <w:pPr>
        <w:sectPr>
          <w:pgSz w:w="12240" w:h="15840" w:orient="portrait"/>
          <w:pgMar w:top="1440" w:right="1440" w:bottom="1440" w:left="1440" w:header="708" w:footer="708" w:gutter="0"/>
          <w:pgNumType/>
          <w:docGrid w:linePitch="360"/>
        </w:sectPr>
      </w:pPr>
    </w:p>
    <w:p>
      <w:pPr>
        <w:spacing w:after="200" w:before="120"/>
      </w:pPr>
      <w:r>
        <w:rPr>
          <w:b/>
          <w:bCs/>
          <w:color w:val="15803D"/>
          <w:sz w:val="32"/>
          <w:szCs w:val="32"/>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Resumen ejecutivo</w:t>
      </w:r>
    </w:p>
    <w:p>
      <w:pPr>
        <w:spacing w:after="120" w:line="276"/>
        <w:jc w:val="both"/>
      </w:pPr>
      <w:r>
        <w:rPr>
          <w:b/>
          <w:bCs/>
        </w:rPr>
        <w:t xml:space="preserve">AgroPulse</w:t>
      </w:r>
      <w:r>
        <w:t xml:space="preserve"> es una empresa AgriTech costarricense, con sede en San José, que desarrolla una plataforma E-business orientada a reducir las pérdidas post-cosecha de productos perecederos en América Latina. La FAO estima que entre el 30 % y el 40 % de la producción agrícola de los países en desarrollo se pierde entre la cosecha y el consumidor final (FAO, 2023); en Costa Rica y Centroamérica la cifra supera el 35 % de la producción perecedera. AgroPulse ataca este problema combinando tres componentes: monitoreo IoT en tiempo real de las condiciones de almacenamiento y transporte, analítica predictiva de demanda y un marketplace B2B que conecta directamente a productores con compradores institucionales.</w:t>
      </w:r>
    </w:p>
    <w:p>
      <w:pPr>
        <w:spacing w:after="120" w:line="276"/>
        <w:jc w:val="both"/>
      </w:pPr>
      <w:r>
        <w:t xml:space="preserve">El presente documento constituye la memoria técnica y de negocio del proyecto final de la materia Comercio y Negocios Digitales. Describe la identidad de la empresa, la problemática que motiva la solución, los objetivos del proyecto, el marco teórico que lo sustenta, el modelo de negocio, la propuesta tecnológica implementada, el diseño de la plataforma, sus funcionalidades, y los resultados e indicadores proyectados.</w:t>
      </w:r>
    </w:p>
    <w:p>
      <w:pPr>
        <w:spacing w:after="120" w:line="276"/>
        <w:jc w:val="both"/>
      </w:pPr>
      <w:r>
        <w:t xml:space="preserve">La plataforma no es un prototipo estático: se encuentra desplegada en producción en </w:t>
      </w:r>
      <w:r>
        <w:rPr>
          <w:b/>
          <w:bCs/>
        </w:rPr>
        <w:t xml:space="preserve">https://agropulse-web.vercel.app</w:t>
      </w:r>
      <w:r>
        <w:t xml:space="preserve"> y fue construida con Next.js 16 (App Router), TypeScript y Tailwind CSS 4, con persistencia real en Supabase (PostgreSQL), autenticación NextAuth v5 con cuatro roles y doble factor (2FA), transmisión de datos en tiempo real mediante Server-Sent Events (SSE), pagos con Stripe en modo de prueba junto a métodos de pago locales por país, correos transaccionales con Resend, reservas de stock con vencimiento de dos horas, internacionalización en tres idiomas y una batería de pruebas end-to-end con Playwright integrada a GitHub Actions.</w:t>
      </w:r>
    </w:p>
    <w:p>
      <w:pPr>
        <w:spacing w:after="120" w:line="276"/>
        <w:jc w:val="both"/>
      </w:pPr>
      <w:r>
        <w:t xml:space="preserve">El modelo de negocio combina una comisión del 4 % por transacción en el marketplace, suscripciones SaaS de monitoreo IoT (Básico USD 79/mes, Pro USD 199/mes y Enterprise a cotizar, con descuentos del 15 % al 17 % por facturación anual), servicios logísticos de cadena de frío y servicios premium de reportería ESG. Las proyecciones estiman 500 productores incorporados y un GMV de USD 12 millones durante el primer año de operación en Costa Rica, escalando a 5,000 productores y USD 80 millones al tercer año en diez países de la región.</w:t>
      </w:r>
    </w:p>
    <w:p>
      <w:pPr>
        <w:spacing w:after="120" w:line="276"/>
        <w:jc w:val="both"/>
      </w:pPr>
      <w:r>
        <w:t xml:space="preserve">Los treinta casos de éxito documentados en la plataforma promedian una reducción de mermas del 30 %, cifra alineada con el objetivo general del proyecto y con los Objetivos de Desarrollo Sostenible 2 (Hambre cero), 12 (Producción y consumo responsables) y 13 (Acción por el clima).</w:t>
      </w:r>
    </w:p>
    <w:p>
      <w:pPr>
        <w:pStyle w:val="Heading1"/>
        <w:pageBreakBefore/>
      </w:pPr>
      <w:r>
        <w:t xml:space="preserve">Introducción</w:t>
      </w:r>
    </w:p>
    <w:p>
      <w:pPr>
        <w:spacing w:after="120" w:line="276"/>
        <w:jc w:val="both"/>
      </w:pPr>
      <w:r>
        <w:t xml:space="preserve">La transformación digital del agro latinoamericano es una de las oportunidades económicas y sociales más relevantes de la década. Mientras los eslabones de consumo (retail, delivery, banca) se digitalizaron aceleradamente, la primera milla de la cadena agroalimentaria —la que va del campo al centro de distribución— sigue operando en gran medida con procesos manuales, información dispersa y decisiones tomadas sin datos (CEPAL, 2024). El resultado es una paradoja dolorosa: la región produce alimentos suficientes, pero una porción enorme se pierde antes de llegar a la mesa.</w:t>
      </w:r>
    </w:p>
    <w:p>
      <w:pPr>
        <w:spacing w:after="120" w:line="276"/>
        <w:jc w:val="both"/>
      </w:pPr>
      <w:r>
        <w:t xml:space="preserve">Este proyecto propone y </w:t>
      </w:r>
      <w:r>
        <w:rPr>
          <w:b/>
          <w:bCs/>
        </w:rPr>
        <w:t xml:space="preserve">construye</w:t>
      </w:r>
      <w:r>
        <w:t xml:space="preserve"> una respuesta a esa paradoja desde el enfoque del E-business: AgroPulse, una plataforma digital que integra sensores IoT, analítica predictiva y comercio electrónico B2B para dar visibilidad, trazabilidad y liquidez comercial a la producción perecedera. A diferencia de un ejercicio puramente conceptual, el proyecto incluye una implementación funcional completa desplegada en la web, con autenticación real, base de datos PostgreSQL, pagos de prueba, comunicación en tiempo real y flujos de compra de extremo a extremo.</w:t>
      </w:r>
    </w:p>
    <w:p>
      <w:pPr>
        <w:spacing w:after="120" w:line="276"/>
        <w:jc w:val="both"/>
      </w:pPr>
      <w:r>
        <w:t xml:space="preserve">El documento se organiza en nueve capítulos. El capítulo 1 presenta la empresa, su identidad costarricense, su fundador y su mercado objetivo. El capítulo 2 desarrolla la problemática de las pérdidas post-cosecha. El capítulo 3 define los objetivos general y específicos. El capítulo 4 establece el marco teórico del E-business, el IoT agrícola y la seguridad de la información. El capítulo 5 detalla el modelo de negocio y sus fuentes de ingresos. El capítulo 6 —núcleo del trabajo— documenta la propuesta tecnológica implementada. El capítulo 7 describe el diseño de la plataforma. El capítulo 8 recorre sus funcionalidades. El capítulo 9 presenta los resultados e indicadores. Cierran el documento las conclusiones, las recomendaciones futuras y las referencias en formato APA 7.</w:t>
      </w:r>
    </w:p>
    <w:p>
      <w:pPr>
        <w:pStyle w:val="Heading1"/>
        <w:pageBreakBefore/>
      </w:pPr>
      <w:r>
        <w:t xml:space="preserve">Capítulo 1. La empresa: AgroPulse Technologies S.A.</w:t>
      </w:r>
    </w:p>
    <w:p>
      <w:pPr>
        <w:pStyle w:val="Heading2"/>
      </w:pPr>
      <w:r>
        <w:t xml:space="preserve">1.1 Identidad corporativa</w:t>
      </w:r>
    </w:p>
    <w:p>
      <w:pPr>
        <w:spacing w:after="120" w:line="276"/>
        <w:jc w:val="both"/>
      </w:pPr>
      <w:r>
        <w:rPr>
          <w:b/>
          <w:bCs/>
        </w:rPr>
        <w:t xml:space="preserve">AgroPulse Technologies S.A.</w:t>
      </w:r>
      <w:r>
        <w:t xml:space="preserve"> es una empresa AgriTech fundada en 2024 en San José, Costa Rica, dedicada a la gestión inteligente de la cadena de suministro agroalimentaria mediante tecnologías de E-business B2B. Su tagline —</w:t>
      </w:r>
      <w:r>
        <w:rPr>
          <w:i/>
          <w:iCs/>
        </w:rPr>
        <w:t xml:space="preserve">“El pulso inteligente de tu cosecha”</w:t>
      </w:r>
      <w:r>
        <w:t xml:space="preserve">— sintetiza su propuesta: mantener el pulso, en tiempo real, de cada lote de producto perecedero desde la finca hasta el comprador. Su identidad se complementa con el sello </w:t>
      </w:r>
      <w:r>
        <w:rPr>
          <w:i/>
          <w:iCs/>
        </w:rPr>
        <w:t xml:space="preserve">“Made in Costa Rica · Pura Vida AgriTech”</w:t>
      </w:r>
      <w:r>
        <w:t xml:space="preserve">, que reivindica el origen costarricense del emprendimiento.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Atributo</w:t>
            </w:r>
          </w:p>
        </w:tc>
        <w:tc>
          <w:tcPr>
            <w:tcW w:type="dxa" w:w="67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Detalle</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Nombre comercial</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AgroPulse</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Razón social (ficticia)</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AgroPulse Technologies S.A.</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Sede</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San José, Costa Rica (campus corporativo con paneles solares y techos verdes)</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Fundación</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2024, San José, Costa Rica</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Sector</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AgriTech · Cadena de suministro agroalimentaria · E-business B2B</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Email oficial</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sebastorresagropulse@gmail.com</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Teléfono / WhatsApp</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+506 8337 8828</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Sitio en producción</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https://agropulse-web.vercel.app</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Repositorio</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https://github.com/TimidTowers/agropulse-latam</w:t>
            </w:r>
          </w:p>
        </w:tc>
      </w:tr>
    </w:tbl>
    <w:p>
      <w:pPr>
        <w:spacing w:after="160" w:before="60"/>
        <w:jc w:val="center"/>
      </w:pPr>
      <w:r>
        <w:rPr>
          <w:i/>
          <w:iCs/>
          <w:color w:val="44514A"/>
          <w:sz w:val="20"/>
          <w:szCs w:val="20"/>
        </w:rPr>
        <w:t xml:space="preserve">Tabla 1. Ficha de identidad corporativa de AgroPulse.</w:t>
      </w:r>
    </w:p>
    <w:p>
      <w:pPr>
        <w:pStyle w:val="Heading2"/>
      </w:pPr>
      <w:r>
        <w:t xml:space="preserve">1.2 Misión, visión y valores</w:t>
      </w:r>
    </w:p>
    <w:p>
      <w:pPr>
        <w:spacing w:after="120" w:line="276"/>
        <w:jc w:val="both"/>
      </w:pPr>
      <w:r>
        <w:rPr>
          <w:b/>
          <w:bCs/>
        </w:rPr>
        <w:t xml:space="preserve">Misión. </w:t>
      </w:r>
      <w:r>
        <w:t xml:space="preserve">Reducir las pérdidas post-cosecha de productores agrícolas mediante una plataforma E-business que integra IoT, analítica predictiva y un marketplace B2B.</w:t>
      </w:r>
    </w:p>
    <w:p>
      <w:pPr>
        <w:spacing w:after="120" w:line="276"/>
        <w:jc w:val="both"/>
      </w:pPr>
      <w:r>
        <w:rPr>
          <w:b/>
          <w:bCs/>
        </w:rPr>
        <w:t xml:space="preserve">Visión. </w:t>
      </w:r>
      <w:r>
        <w:t xml:space="preserve">Ser la plataforma líder en LATAM para la gestión inteligente de productos perecederos al 2030, eliminando un millón de toneladas de desperdicio alimentario al año.</w:t>
      </w:r>
    </w:p>
    <w:p>
      <w:pPr>
        <w:spacing w:after="120" w:line="276"/>
        <w:jc w:val="both"/>
      </w:pPr>
      <w:r>
        <w:rPr>
          <w:b/>
          <w:bCs/>
        </w:rPr>
        <w:t xml:space="preserve">Valores. </w:t>
      </w:r>
      <w:r>
        <w:t xml:space="preserve">Sostenibilidad, Transparencia, Innovación, Equidad y Trazabilidad. Estos cinco valores no son declarativos: se materializan en decisiones de producto como el código QR público de trazabilidad por lote, la auditoría completa de acciones sensibles visible para el administrador y el descuento automático del 8 % para productores que compran insumos de otros productores dentro de la plataforma.</w:t>
      </w:r>
    </w:p>
    <w:p>
      <w:pPr>
        <w:pStyle w:val="Heading2"/>
      </w:pPr>
      <w:r>
        <w:t xml:space="preserve">1.3 Fundador</w:t>
      </w:r>
    </w:p>
    <w:p>
      <w:pPr>
        <w:spacing w:after="120" w:line="276"/>
        <w:jc w:val="both"/>
      </w:pPr>
      <w:r>
        <w:rPr>
          <w:b/>
          <w:bCs/>
        </w:rPr>
        <w:t xml:space="preserve">Sebastián Torres</w:t>
      </w:r>
      <w:r>
        <w:t xml:space="preserve"> es el fundador, CEO y arquitecto técnico de AgroPulse. Es estudiante de Ingeniería en Sistemas Informáticos de la </w:t>
      </w:r>
      <w:r>
        <w:rPr>
          <w:b/>
          <w:bCs/>
        </w:rPr>
        <w:t xml:space="preserve">Universidad Latina de Costa Rica (ULatina)</w:t>
      </w:r>
      <w:r>
        <w:t xml:space="preserve"> y lidera de forma integral el diseño de la plataforma: desde la arquitectura de datos y la seguridad hasta la experiencia de usuario y la estrategia comercial. Su formación combina ciberseguridad, análisis de datos, redes y computación en la nube, un perfil deliberadamente transversal para un producto que toca sensores en campo, comercio electrónico y protección de datos. La sección “Nosotros” del sitio web presenta únicamente su perfil como fundador único.</w:t>
      </w:r>
    </w:p>
    <w:p>
      <w:pPr>
        <w:spacing w:after="120" w:line="276"/>
        <w:jc w:val="both"/>
      </w:pPr>
      <w:r>
        <w:t xml:space="preserve">Sus certificaciones (ficticias para efectos del proyecto académico) se resumen a continuación: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1400"/>
        <w:gridCol w:w="1660"/>
      </w:tblGrid>
      <w:tr>
        <w:trPr>
          <w:tblHeader/>
        </w:trPr>
        <w:tc>
          <w:tcPr>
            <w:tcW w:type="dxa" w:w="36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Certificación</w:t>
            </w:r>
          </w:p>
        </w:tc>
        <w:tc>
          <w:tcPr>
            <w:tcW w:type="dxa" w:w="27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Institución</w:t>
            </w:r>
          </w:p>
        </w:tc>
        <w:tc>
          <w:tcPr>
            <w:tcW w:type="dxa" w:w="14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Fecha</w:t>
            </w:r>
          </w:p>
        </w:tc>
        <w:tc>
          <w:tcPr>
            <w:tcW w:type="dxa" w:w="16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Área</w:t>
            </w:r>
          </w:p>
        </w:tc>
      </w:tr>
      <w:tr>
        <w:tc>
          <w:tcPr>
            <w:tcW w:type="dxa" w:w="3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CompTIA Security+ (SY0-701)</w:t>
            </w:r>
          </w:p>
        </w:tc>
        <w:tc>
          <w:tcPr>
            <w:tcW w:type="dxa" w:w="27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CompTIA</w:t>
            </w:r>
          </w:p>
        </w:tc>
        <w:tc>
          <w:tcPr>
            <w:tcW w:type="dxa" w:w="1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Marzo 2024</w:t>
            </w:r>
          </w:p>
        </w:tc>
        <w:tc>
          <w:tcPr>
            <w:tcW w:type="dxa" w:w="16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Ciberseguridad</w:t>
            </w:r>
          </w:p>
        </w:tc>
      </w:tr>
      <w:tr>
        <w:tc>
          <w:tcPr>
            <w:tcW w:type="dxa" w:w="3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Google Data Analytics Professional Certificate</w:t>
            </w:r>
          </w:p>
        </w:tc>
        <w:tc>
          <w:tcPr>
            <w:tcW w:type="dxa" w:w="27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Google · Coursera</w:t>
            </w:r>
          </w:p>
        </w:tc>
        <w:tc>
          <w:tcPr>
            <w:tcW w:type="dxa" w:w="1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Julio 2024</w:t>
            </w:r>
          </w:p>
        </w:tc>
        <w:tc>
          <w:tcPr>
            <w:tcW w:type="dxa" w:w="16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Análisis de datos</w:t>
            </w:r>
          </w:p>
        </w:tc>
      </w:tr>
      <w:tr>
        <w:tc>
          <w:tcPr>
            <w:tcW w:type="dxa" w:w="3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ISO/IEC 27001:2022 Foundation</w:t>
            </w:r>
          </w:p>
        </w:tc>
        <w:tc>
          <w:tcPr>
            <w:tcW w:type="dxa" w:w="27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TÜV Rheinland Costa Rica</w:t>
            </w:r>
          </w:p>
        </w:tc>
        <w:tc>
          <w:tcPr>
            <w:tcW w:type="dxa" w:w="1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Octubre 2024</w:t>
            </w:r>
          </w:p>
        </w:tc>
        <w:tc>
          <w:tcPr>
            <w:tcW w:type="dxa" w:w="16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Auditoría de sistemas</w:t>
            </w:r>
          </w:p>
        </w:tc>
      </w:tr>
      <w:tr>
        <w:tc>
          <w:tcPr>
            <w:tcW w:type="dxa" w:w="3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Cisco Certified Network Associate (CCNA)</w:t>
            </w:r>
          </w:p>
        </w:tc>
        <w:tc>
          <w:tcPr>
            <w:tcW w:type="dxa" w:w="27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Cisco Networking Academy</w:t>
            </w:r>
          </w:p>
        </w:tc>
        <w:tc>
          <w:tcPr>
            <w:tcW w:type="dxa" w:w="1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Enero 2025</w:t>
            </w:r>
          </w:p>
        </w:tc>
        <w:tc>
          <w:tcPr>
            <w:tcW w:type="dxa" w:w="16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Redes</w:t>
            </w:r>
          </w:p>
        </w:tc>
      </w:tr>
      <w:tr>
        <w:tc>
          <w:tcPr>
            <w:tcW w:type="dxa" w:w="3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AWS Certified Cloud Practitioner (CLF-C02)</w:t>
            </w:r>
          </w:p>
        </w:tc>
        <w:tc>
          <w:tcPr>
            <w:tcW w:type="dxa" w:w="27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Amazon Web Services</w:t>
            </w:r>
          </w:p>
        </w:tc>
        <w:tc>
          <w:tcPr>
            <w:tcW w:type="dxa" w:w="1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Abril 2025</w:t>
            </w:r>
          </w:p>
        </w:tc>
        <w:tc>
          <w:tcPr>
            <w:tcW w:type="dxa" w:w="16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Cloud</w:t>
            </w:r>
          </w:p>
        </w:tc>
      </w:tr>
      <w:tr>
        <w:tc>
          <w:tcPr>
            <w:tcW w:type="dxa" w:w="3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Certified Ethical Hacker (CEH v13)</w:t>
            </w:r>
          </w:p>
        </w:tc>
        <w:tc>
          <w:tcPr>
            <w:tcW w:type="dxa" w:w="27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EC-Council</w:t>
            </w:r>
          </w:p>
        </w:tc>
        <w:tc>
          <w:tcPr>
            <w:tcW w:type="dxa" w:w="1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Agosto 2025</w:t>
            </w:r>
          </w:p>
        </w:tc>
        <w:tc>
          <w:tcPr>
            <w:tcW w:type="dxa" w:w="16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Hacking ético</w:t>
            </w:r>
          </w:p>
        </w:tc>
      </w:tr>
    </w:tbl>
    <w:p>
      <w:pPr>
        <w:spacing w:after="160" w:before="60"/>
        <w:jc w:val="center"/>
      </w:pPr>
      <w:r>
        <w:rPr>
          <w:i/>
          <w:iCs/>
          <w:color w:val="44514A"/>
          <w:sz w:val="20"/>
          <w:szCs w:val="20"/>
        </w:rPr>
        <w:t xml:space="preserve">Tabla 2. Certificaciones profesionales del fundador.</w:t>
      </w:r>
    </w:p>
    <w:p>
      <w:pPr>
        <w:pStyle w:val="Heading2"/>
      </w:pPr>
      <w:r>
        <w:t xml:space="preserve">1.4 Campus corporativo</w:t>
      </w:r>
    </w:p>
    <w:p>
      <w:pPr>
        <w:spacing w:after="120" w:line="276"/>
        <w:jc w:val="both"/>
      </w:pPr>
      <w:r>
        <w:t xml:space="preserve">La sede de AgroPulse se ubica en San José, en un campus corporativo concebido bajo los mismos principios de sostenibilidad que promueve la plataforma: tres edificios con paneles solares, techos verdes y vistas a las montañas del Valle Central. El campus alberga las áreas de ingeniería, operaciones logísticas y éxito del cliente, además de un laboratorio de calibración de sensores IoT.</w:t>
      </w:r>
    </w:p>
    <w:p>
      <w:pPr>
        <w:spacing w:after="60" w:before="160"/>
        <w:jc w:val="center"/>
      </w:pPr>
      <w:r>
        <w:drawing>
          <wp:inline distT="0" distB="0" distL="0" distR="0">
            <wp:extent cx="5400675" cy="3600450"/>
            <wp:effectExtent t="0" r="0" b="0" l="0"/>
            <wp:docPr id="1" name="Campus AgroPulse vista aerea" descr="Figura 1. Campus corporativo AgroPulse, San José, Costa Rica (render conceptual)." title="Campus AgroPulse vista ae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600450"/>
                    </a:xfrm>
                    <a:prstGeom prst="rect">
                      <a:avLst/>
                    </a:prstGeom>
                  </pic:spPr>
                </pic:pic>
              </a:graphicData>
            </a:graphic>
          </wp:inline>
        </w:drawing>
      </w:r>
    </w:p>
    <w:p>
      <w:pPr>
        <w:spacing w:after="200"/>
        <w:jc w:val="center"/>
      </w:pPr>
      <w:r>
        <w:rPr>
          <w:i/>
          <w:iCs/>
          <w:color w:val="44514A"/>
          <w:sz w:val="20"/>
          <w:szCs w:val="20"/>
        </w:rPr>
        <w:t xml:space="preserve">Figura 1. Campus corporativo AgroPulse, San José, Costa Rica (render conceptual).</w:t>
      </w:r>
    </w:p>
    <w:p>
      <w:pPr>
        <w:pStyle w:val="Heading2"/>
      </w:pPr>
      <w:r>
        <w:t xml:space="preserve">1.5 Mercado objetivo</w:t>
      </w:r>
    </w:p>
    <w:p>
      <w:pPr>
        <w:spacing w:after="120" w:line="276"/>
        <w:jc w:val="both"/>
      </w:pPr>
      <w:r>
        <w:t xml:space="preserve">El mercado de origen y prioritario es </w:t>
      </w:r>
      <w:r>
        <w:rPr>
          <w:b/>
          <w:bCs/>
        </w:rPr>
        <w:t xml:space="preserve">Costa Rica</w:t>
      </w:r>
      <w:r>
        <w:t xml:space="preserve"> —Valle Central, Guanacaste, Limón y Puntarenas—, donde se concentran las cadenas de café, piña, banano y hortalizas que sufren las mayores pérdidas post-cosecha. La estrategia de expansión contempla diez países de LATAM: además de Costa Rica, México, Colombia, Argentina, Chile, Perú, Ecuador, Uruguay, Guatemala y Brasil.</w:t>
      </w:r>
    </w:p>
    <w:p>
      <w:pPr>
        <w:spacing w:after="120" w:line="276"/>
        <w:jc w:val="both"/>
      </w:pPr>
      <w:r>
        <w:t xml:space="preserve">El universo direccionable es de aproximadamente </w:t>
      </w:r>
      <w:r>
        <w:rPr>
          <w:b/>
          <w:bCs/>
        </w:rPr>
        <w:t xml:space="preserve">64,000 unidades productivas</w:t>
      </w:r>
      <w:r>
        <w:t xml:space="preserve"> en LATAM, con un énfasis inicial en unos </w:t>
      </w:r>
      <w:r>
        <w:rPr>
          <w:b/>
          <w:bCs/>
        </w:rPr>
        <w:t xml:space="preserve">3,200 productores costarricenses</w:t>
      </w:r>
      <w:r>
        <w:t xml:space="preserve">. El tamaño total de mercado (TAM) se estima en USD 8,500 millones en LATAM, y el mercado obtenible inicial (SOM) en USD 85 millones, correspondiente al Valle Central costarricense y al corredor cafetero centroamericano (McKinsey &amp; Company, 2023).</w:t>
      </w:r>
    </w:p>
    <w:p>
      <w:pPr>
        <w:pStyle w:val="Heading1"/>
        <w:pageBreakBefore/>
      </w:pPr>
      <w:r>
        <w:t xml:space="preserve">Capítulo 2. Problemática: las pérdidas post-cosecha</w:t>
      </w:r>
    </w:p>
    <w:p>
      <w:pPr>
        <w:pStyle w:val="Heading2"/>
      </w:pPr>
      <w:r>
        <w:t xml:space="preserve">2.1 Contexto</w:t>
      </w:r>
    </w:p>
    <w:p>
      <w:pPr>
        <w:spacing w:after="120" w:line="276"/>
        <w:jc w:val="both"/>
      </w:pPr>
      <w:r>
        <w:t xml:space="preserve">La FAO estima que entre el </w:t>
      </w:r>
      <w:r>
        <w:rPr>
          <w:b/>
          <w:bCs/>
        </w:rPr>
        <w:t xml:space="preserve">30 % y el 40 %</w:t>
      </w:r>
      <w:r>
        <w:t xml:space="preserve"> de la producción agrícola en países en desarrollo se pierde entre la cosecha y el consumidor final (FAO, 2023). En Costa Rica y Centroamérica, la cifra supera el </w:t>
      </w:r>
      <w:r>
        <w:rPr>
          <w:b/>
          <w:bCs/>
        </w:rPr>
        <w:t xml:space="preserve">35 %</w:t>
      </w:r>
      <w:r>
        <w:t xml:space="preserve"> de la producción perecedera, afectando especialmente las cadenas de café, piña, banano y hortalizas del Valle Central (MAG Costa Rica, 2024). A escala latinoamericana, esto equivale a más de </w:t>
      </w:r>
      <w:r>
        <w:rPr>
          <w:b/>
          <w:bCs/>
        </w:rPr>
        <w:t xml:space="preserve">127 millones de toneladas anuales</w:t>
      </w:r>
      <w:r>
        <w:t xml:space="preserve"> y a un costo estimado de </w:t>
      </w:r>
      <w:r>
        <w:rPr>
          <w:b/>
          <w:bCs/>
        </w:rPr>
        <w:t xml:space="preserve">USD 38 mil millones</w:t>
      </w:r>
      <w:r>
        <w:t xml:space="preserve"> (Banco Mundial, 2024).</w:t>
      </w:r>
    </w:p>
    <w:p>
      <w:pPr>
        <w:spacing w:after="120" w:line="276"/>
        <w:jc w:val="both"/>
      </w:pPr>
      <w:r>
        <w:t xml:space="preserve">La pérdida no ocurre en un único punto: se acumula en microdecisiones tomadas sin información. Un contenedor que pasó dos horas por encima de la temperatura de conservación, un lote cosechado sin comprador asignado, un camión que espera en el sol mientras se negocia el precio por teléfono. Cada eslabón pierde un pequeño porcentaje y, al final de la cadena, más de un tercio del producto nunca genera valor.</w:t>
      </w:r>
    </w:p>
    <w:p>
      <w:pPr>
        <w:pStyle w:val="Heading2"/>
      </w:pPr>
      <w:r>
        <w:t xml:space="preserve">2.2 Problemas tecnológicos identificados</w:t>
      </w:r>
    </w:p>
    <w:p>
      <w:pPr>
        <w:spacing w:after="120" w:line="276"/>
        <w:jc w:val="both"/>
      </w:pPr>
      <w:r>
        <w:t xml:space="preserve">El diagnóstico del proyecto identifica seis problemas tecnológicos concretos en la cadena de suministro perecedera de la región:</w:t>
      </w:r>
    </w:p>
    <w:p>
      <w:pPr>
        <w:pStyle w:val="ListParagraph"/>
        <w:numPr>
          <w:ilvl w:val="0"/>
          <w:numId w:val="2"/>
        </w:numPr>
        <w:spacing w:after="60" w:line="276"/>
        <w:jc w:val="both"/>
      </w:pPr>
      <w:r>
        <w:rPr>
          <w:b/>
          <w:bCs/>
        </w:rPr>
        <w:t xml:space="preserve">Falta de visibilidad en tiempo real </w:t>
      </w:r>
      <w:r>
        <w:t xml:space="preserve">del inventario perecedero: los productores no conocen la temperatura, humedad ni vida útil restante de sus lotes una vez cosechados.</w:t>
      </w:r>
    </w:p>
    <w:p>
      <w:pPr>
        <w:pStyle w:val="ListParagraph"/>
        <w:numPr>
          <w:ilvl w:val="0"/>
          <w:numId w:val="2"/>
        </w:numPr>
        <w:spacing w:after="60" w:line="276"/>
        <w:jc w:val="both"/>
      </w:pPr>
      <w:r>
        <w:rPr>
          <w:b/>
          <w:bCs/>
        </w:rPr>
        <w:t xml:space="preserve">Cadena de frío sin monitoreo continuo: </w:t>
      </w:r>
      <w:r>
        <w:t xml:space="preserve">las rupturas de temperatura no se detectan a tiempo y aceleran el deterioro sin que nadie pueda intervenir.</w:t>
      </w:r>
    </w:p>
    <w:p>
      <w:pPr>
        <w:pStyle w:val="ListParagraph"/>
        <w:numPr>
          <w:ilvl w:val="0"/>
          <w:numId w:val="2"/>
        </w:numPr>
        <w:spacing w:after="60" w:line="276"/>
        <w:jc w:val="both"/>
      </w:pPr>
      <w:r>
        <w:rPr>
          <w:b/>
          <w:bCs/>
        </w:rPr>
        <w:t xml:space="preserve">Ausencia de pronóstico de demanda </w:t>
      </w:r>
      <w:r>
        <w:t xml:space="preserve">basado en datos: se cosecha y se envía a mercado sin estimar cuánto, dónde y cuándo se va a comprar.</w:t>
      </w:r>
    </w:p>
    <w:p>
      <w:pPr>
        <w:pStyle w:val="ListParagraph"/>
        <w:numPr>
          <w:ilvl w:val="0"/>
          <w:numId w:val="2"/>
        </w:numPr>
        <w:spacing w:after="60" w:line="276"/>
        <w:jc w:val="both"/>
      </w:pPr>
      <w:r>
        <w:rPr>
          <w:b/>
          <w:bCs/>
        </w:rPr>
        <w:t xml:space="preserve">Desconexión digital entre productor y comprador: </w:t>
      </w:r>
      <w:r>
        <w:t xml:space="preserve">la comercialización depende de intermediarios que capturan margen y ralentizan la rotación del producto fresco.</w:t>
      </w:r>
    </w:p>
    <w:p>
      <w:pPr>
        <w:pStyle w:val="ListParagraph"/>
        <w:numPr>
          <w:ilvl w:val="0"/>
          <w:numId w:val="2"/>
        </w:numPr>
        <w:spacing w:after="60" w:line="276"/>
        <w:jc w:val="both"/>
      </w:pPr>
      <w:r>
        <w:rPr>
          <w:b/>
          <w:bCs/>
        </w:rPr>
        <w:t xml:space="preserve">Procesos manuales </w:t>
      </w:r>
      <w:r>
        <w:t xml:space="preserve">de inventario, inspección y comercialización, con registros en papel y comunicación informal.</w:t>
      </w:r>
    </w:p>
    <w:p>
      <w:pPr>
        <w:pStyle w:val="ListParagraph"/>
        <w:numPr>
          <w:ilvl w:val="0"/>
          <w:numId w:val="2"/>
        </w:numPr>
        <w:spacing w:after="60" w:line="276"/>
        <w:jc w:val="both"/>
      </w:pPr>
      <w:r>
        <w:rPr>
          <w:b/>
          <w:bCs/>
        </w:rPr>
        <w:t xml:space="preserve">Falta de trazabilidad verificable </w:t>
      </w:r>
      <w:r>
        <w:t xml:space="preserve">hacia el consumidor final, lo que impide certificar origen, frescura y condiciones de transporte.</w:t>
      </w:r>
    </w:p>
    <w:p>
      <w:pPr>
        <w:pStyle w:val="Heading2"/>
      </w:pPr>
      <w:r>
        <w:t xml:space="preserve">2.3 Causas raíz</w:t>
      </w:r>
    </w:p>
    <w:p>
      <w:pPr>
        <w:pStyle w:val="ListParagraph"/>
        <w:numPr>
          <w:ilvl w:val="0"/>
          <w:numId w:val="3"/>
        </w:numPr>
        <w:spacing w:after="60" w:line="276"/>
        <w:jc w:val="both"/>
      </w:pPr>
      <w:r>
        <w:t xml:space="preserve">Baja adopción de IoT en el campo por costo de los dispositivos y falta de capacitación técnica.</w:t>
      </w:r>
    </w:p>
    <w:p>
      <w:pPr>
        <w:pStyle w:val="ListParagraph"/>
        <w:numPr>
          <w:ilvl w:val="0"/>
          <w:numId w:val="3"/>
        </w:numPr>
        <w:spacing w:after="60" w:line="276"/>
        <w:jc w:val="both"/>
      </w:pPr>
      <w:r>
        <w:t xml:space="preserve">Sistemas ERP/CRM tradicionales caros e inaccesibles para pequeños y medianos productores.</w:t>
      </w:r>
    </w:p>
    <w:p>
      <w:pPr>
        <w:pStyle w:val="ListParagraph"/>
        <w:numPr>
          <w:ilvl w:val="0"/>
          <w:numId w:val="3"/>
        </w:numPr>
        <w:spacing w:after="60" w:line="276"/>
        <w:jc w:val="both"/>
      </w:pPr>
      <w:r>
        <w:t xml:space="preserve">Plataformas digitales existentes diseñadas para retail genérico, no para las particularidades de los perecederos (vida útil, cadena de frío, venta por peso).</w:t>
      </w:r>
    </w:p>
    <w:p>
      <w:pPr>
        <w:pStyle w:val="ListParagraph"/>
        <w:numPr>
          <w:ilvl w:val="0"/>
          <w:numId w:val="3"/>
        </w:numPr>
        <w:spacing w:after="60" w:line="276"/>
        <w:jc w:val="both"/>
      </w:pPr>
      <w:r>
        <w:t xml:space="preserve">Datos dispersos en hojas de cálculo, conversaciones de WhatsApp y libretas de campo, imposibles de consolidar y analizar.</w:t>
      </w:r>
    </w:p>
    <w:p>
      <w:pPr>
        <w:pStyle w:val="Heading2"/>
      </w:pPr>
      <w:r>
        <w:t xml:space="preserve">2.4 Impacto económico, social y ambiental</w:t>
      </w:r>
    </w:p>
    <w:p>
      <w:pPr>
        <w:spacing w:after="120" w:line="276"/>
        <w:jc w:val="both"/>
      </w:pPr>
      <w:r>
        <w:t xml:space="preserve">El impacto de las pérdidas post-cosecha es triple. En lo económico, los USD 38 mil millones anuales perdidos en la región representan ingresos que nunca llegan a los productores, en su mayoría pequeños y medianos, y presionan los precios al consumidor. En lo social, el desperdicio convive con inseguridad alimentaria: alimentos que se producen pero no se consumen en una región donde millones de personas padecen hambre. En lo ambiental, cada tonelada perdida implica agua, suelo, fertilizantes, energía y emisiones de gases de efecto invernadero invertidos en producir alimentos que terminan descomponiéndose, agravando la huella climática del sector agroalimentario (Banco Mundial, 2024).</w:t>
      </w:r>
    </w:p>
    <w:p>
      <w:pPr>
        <w:pStyle w:val="Heading2"/>
      </w:pPr>
      <w:r>
        <w:t xml:space="preserve">2.5 Situación actual frente a situación deseada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3500"/>
        <w:gridCol w:w="3510"/>
      </w:tblGrid>
      <w:tr>
        <w:trPr>
          <w:tblHeader/>
        </w:trPr>
        <w:tc>
          <w:tcPr>
            <w:tcW w:type="dxa" w:w="235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Dimensión</w:t>
            </w:r>
          </w:p>
        </w:tc>
        <w:tc>
          <w:tcPr>
            <w:tcW w:type="dxa" w:w="35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Situación actual</w:t>
            </w:r>
          </w:p>
        </w:tc>
        <w:tc>
          <w:tcPr>
            <w:tcW w:type="dxa" w:w="351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Situación deseada con AgroPulse</w:t>
            </w:r>
          </w:p>
        </w:tc>
      </w:tr>
      <w:tr>
        <w:tc>
          <w:tcPr>
            <w:tcW w:type="dxa" w:w="235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Visibilidad del inventario</w:t>
            </w:r>
          </w:p>
        </w:tc>
        <w:tc>
          <w:tcPr>
            <w:tcW w:type="dxa" w:w="35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Sin datos de temperatura, humedad ni vida útil tras la cosecha</w:t>
            </w:r>
          </w:p>
        </w:tc>
        <w:tc>
          <w:tcPr>
            <w:tcW w:type="dxa" w:w="351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Monitoreo IoT en tiempo real por lote, con alertas automáticas</w:t>
            </w:r>
          </w:p>
        </w:tc>
      </w:tr>
      <w:tr>
        <w:tc>
          <w:tcPr>
            <w:tcW w:type="dxa" w:w="235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Cadena de frío</w:t>
            </w:r>
          </w:p>
        </w:tc>
        <w:tc>
          <w:tcPr>
            <w:tcW w:type="dxa" w:w="35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Rupturas no detectadas; deterioro silencioso</w:t>
            </w:r>
          </w:p>
        </w:tc>
        <w:tc>
          <w:tcPr>
            <w:tcW w:type="dxa" w:w="351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Sensores continuos y tracking del envío en mapa en vivo</w:t>
            </w:r>
          </w:p>
        </w:tc>
      </w:tr>
      <w:tr>
        <w:tc>
          <w:tcPr>
            <w:tcW w:type="dxa" w:w="235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Demanda</w:t>
            </w:r>
          </w:p>
        </w:tc>
        <w:tc>
          <w:tcPr>
            <w:tcW w:type="dxa" w:w="35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Cosecha “a ciegas”, sin pronóstico</w:t>
            </w:r>
          </w:p>
        </w:tc>
        <w:tc>
          <w:tcPr>
            <w:tcW w:type="dxa" w:w="351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Predicción de demanda por región, temporada y producto</w:t>
            </w:r>
          </w:p>
        </w:tc>
      </w:tr>
      <w:tr>
        <w:tc>
          <w:tcPr>
            <w:tcW w:type="dxa" w:w="235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Comercialización</w:t>
            </w:r>
          </w:p>
        </w:tc>
        <w:tc>
          <w:tcPr>
            <w:tcW w:type="dxa" w:w="35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Intermediarios múltiples; margen capturado fuera de la finca</w:t>
            </w:r>
          </w:p>
        </w:tc>
        <w:tc>
          <w:tcPr>
            <w:tcW w:type="dxa" w:w="351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Marketplace B2B directo productor–comprador con stock en vivo</w:t>
            </w:r>
          </w:p>
        </w:tc>
      </w:tr>
      <w:tr>
        <w:tc>
          <w:tcPr>
            <w:tcW w:type="dxa" w:w="235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Procesos</w:t>
            </w:r>
          </w:p>
        </w:tc>
        <w:tc>
          <w:tcPr>
            <w:tcW w:type="dxa" w:w="35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Manuales: papel, llamadas, WhatsApp</w:t>
            </w:r>
          </w:p>
        </w:tc>
        <w:tc>
          <w:tcPr>
            <w:tcW w:type="dxa" w:w="351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Flujo digital completo: publicación, reserva, pago, tracking</w:t>
            </w:r>
          </w:p>
        </w:tc>
      </w:tr>
      <w:tr>
        <w:tc>
          <w:tcPr>
            <w:tcW w:type="dxa" w:w="235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Trazabilidad</w:t>
            </w:r>
          </w:p>
        </w:tc>
        <w:tc>
          <w:tcPr>
            <w:tcW w:type="dxa" w:w="35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Inexistente o no verificable</w:t>
            </w:r>
          </w:p>
        </w:tc>
        <w:tc>
          <w:tcPr>
            <w:tcW w:type="dxa" w:w="351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QR público por lote con historia verificable del producto</w:t>
            </w:r>
          </w:p>
        </w:tc>
      </w:tr>
    </w:tbl>
    <w:p>
      <w:pPr>
        <w:spacing w:after="160" w:before="60"/>
        <w:jc w:val="center"/>
      </w:pPr>
      <w:r>
        <w:rPr>
          <w:i/>
          <w:iCs/>
          <w:color w:val="44514A"/>
          <w:sz w:val="20"/>
          <w:szCs w:val="20"/>
        </w:rPr>
        <w:t xml:space="preserve">Tabla 3. Contraste entre la situación actual del sector y la situación objetivo.</w:t>
      </w:r>
    </w:p>
    <w:p>
      <w:pPr>
        <w:pStyle w:val="Heading1"/>
        <w:pageBreakBefore/>
      </w:pPr>
      <w:r>
        <w:t xml:space="preserve">Capítulo 3. Objetivos del proyecto</w:t>
      </w:r>
    </w:p>
    <w:p>
      <w:pPr>
        <w:pStyle w:val="Heading2"/>
      </w:pPr>
      <w:r>
        <w:t xml:space="preserve">3.1 Objetivo general</w:t>
      </w:r>
    </w:p>
    <w:p>
      <w:pPr>
        <w:spacing w:after="120" w:line="276"/>
        <w:jc w:val="both"/>
      </w:pPr>
      <w:r>
        <w:t xml:space="preserve">Diseñar e implementar una plataforma E-business llamada </w:t>
      </w:r>
      <w:r>
        <w:rPr>
          <w:b/>
          <w:bCs/>
        </w:rPr>
        <w:t xml:space="preserve">AgroPulse</w:t>
      </w:r>
      <w:r>
        <w:t xml:space="preserve"> que integre IoT, analítica predictiva y un marketplace B2B para </w:t>
      </w:r>
      <w:r>
        <w:rPr>
          <w:b/>
          <w:bCs/>
        </w:rPr>
        <w:t xml:space="preserve">reducir las pérdidas post-cosecha en al menos un 30 %</w:t>
      </w:r>
      <w:r>
        <w:t xml:space="preserve"> durante el primer año de operación.</w:t>
      </w:r>
    </w:p>
    <w:p>
      <w:pPr>
        <w:pStyle w:val="Heading2"/>
      </w:pPr>
      <w:r>
        <w:t xml:space="preserve">3.2 Objetivos específicos</w:t>
      </w:r>
    </w:p>
    <w:p>
      <w:pPr>
        <w:pStyle w:val="ListParagraph"/>
        <w:numPr>
          <w:ilvl w:val="0"/>
          <w:numId w:val="4"/>
        </w:numPr>
        <w:spacing w:after="60" w:line="276"/>
        <w:jc w:val="both"/>
      </w:pPr>
      <w:r>
        <w:rPr>
          <w:b/>
          <w:bCs/>
        </w:rPr>
        <w:t xml:space="preserve">Monitoreo IoT en tiempo real </w:t>
      </w:r>
      <w:r>
        <w:t xml:space="preserve">de temperatura, humedad y vida útil de los lotes, con transmisión continua mediante streaming SSE.</w:t>
      </w:r>
    </w:p>
    <w:p>
      <w:pPr>
        <w:pStyle w:val="ListParagraph"/>
        <w:numPr>
          <w:ilvl w:val="0"/>
          <w:numId w:val="4"/>
        </w:numPr>
        <w:spacing w:after="60" w:line="276"/>
        <w:jc w:val="both"/>
      </w:pPr>
      <w:r>
        <w:rPr>
          <w:b/>
          <w:bCs/>
        </w:rPr>
        <w:t xml:space="preserve">Predicción de demanda </w:t>
      </w:r>
      <w:r>
        <w:t xml:space="preserve">por región, temporada y producto mediante técnicas de Machine Learning.</w:t>
      </w:r>
    </w:p>
    <w:p>
      <w:pPr>
        <w:pStyle w:val="ListParagraph"/>
        <w:numPr>
          <w:ilvl w:val="0"/>
          <w:numId w:val="4"/>
        </w:numPr>
        <w:spacing w:after="60" w:line="276"/>
        <w:jc w:val="both"/>
      </w:pPr>
      <w:r>
        <w:rPr>
          <w:b/>
          <w:bCs/>
        </w:rPr>
        <w:t xml:space="preserve">Marketplace B2B multi-país </w:t>
      </w:r>
      <w:r>
        <w:t xml:space="preserve">con stock en vivo, reservas temporales de inventario y matching entre oferta y demanda.</w:t>
      </w:r>
    </w:p>
    <w:p>
      <w:pPr>
        <w:pStyle w:val="ListParagraph"/>
        <w:numPr>
          <w:ilvl w:val="0"/>
          <w:numId w:val="4"/>
        </w:numPr>
        <w:spacing w:after="60" w:line="276"/>
        <w:jc w:val="both"/>
      </w:pPr>
      <w:r>
        <w:rPr>
          <w:b/>
          <w:bCs/>
        </w:rPr>
        <w:t xml:space="preserve">Trazabilidad por lote </w:t>
      </w:r>
      <w:r>
        <w:t xml:space="preserve">con código QR público y tracking de pedidos sobre mapa en tiempo real.</w:t>
      </w:r>
    </w:p>
    <w:p>
      <w:pPr>
        <w:pStyle w:val="ListParagraph"/>
        <w:numPr>
          <w:ilvl w:val="0"/>
          <w:numId w:val="4"/>
        </w:numPr>
        <w:spacing w:after="60" w:line="276"/>
        <w:jc w:val="both"/>
      </w:pPr>
      <w:r>
        <w:rPr>
          <w:b/>
          <w:bCs/>
        </w:rPr>
        <w:t xml:space="preserve">Dashboard analítico por productor </w:t>
      </w:r>
      <w:r>
        <w:t xml:space="preserve">con KPIs expresados en su moneda local y reportes exportables.</w:t>
      </w:r>
    </w:p>
    <w:p>
      <w:pPr>
        <w:pStyle w:val="ListParagraph"/>
        <w:numPr>
          <w:ilvl w:val="0"/>
          <w:numId w:val="4"/>
        </w:numPr>
        <w:spacing w:after="60" w:line="276"/>
        <w:jc w:val="both"/>
      </w:pPr>
      <w:r>
        <w:rPr>
          <w:b/>
          <w:bCs/>
        </w:rPr>
        <w:t xml:space="preserve">Sistema seguro de cuentas </w:t>
      </w:r>
      <w:r>
        <w:t xml:space="preserve">con roles diferenciados, autenticación de doble factor (2FA) y auditoría completa de transacciones.</w:t>
      </w:r>
    </w:p>
    <w:p>
      <w:pPr>
        <w:spacing w:after="120" w:line="276"/>
        <w:jc w:val="both"/>
      </w:pPr>
      <w:r>
        <w:t xml:space="preserve">Los seis objetivos específicos fueron trazados de forma que cada uno se corresponda con módulos verificables de la plataforma implementada, lo que permite evaluar el cumplimiento del proyecto no contra maquetas, sino contra software funcionando en producción.</w:t>
      </w:r>
    </w:p>
    <w:p>
      <w:pPr>
        <w:pStyle w:val="Heading1"/>
        <w:pageBreakBefore/>
      </w:pPr>
      <w:r>
        <w:t xml:space="preserve">Capítulo 4. Marco teórico</w:t>
      </w:r>
    </w:p>
    <w:p>
      <w:pPr>
        <w:pStyle w:val="Heading2"/>
      </w:pPr>
      <w:r>
        <w:t xml:space="preserve">4.1 Del e-commerce al e-business</w:t>
      </w:r>
    </w:p>
    <w:p>
      <w:pPr>
        <w:spacing w:after="120" w:line="276"/>
        <w:jc w:val="both"/>
      </w:pPr>
      <w:r>
        <w:t xml:space="preserve">Aunque suelen usarse como sinónimos, </w:t>
      </w:r>
      <w:r>
        <w:rPr>
          <w:i/>
          <w:iCs/>
        </w:rPr>
        <w:t xml:space="preserve">e-commerce</w:t>
      </w:r>
      <w:r>
        <w:t xml:space="preserve"> y </w:t>
      </w:r>
      <w:r>
        <w:rPr>
          <w:i/>
          <w:iCs/>
        </w:rPr>
        <w:t xml:space="preserve">e-business</w:t>
      </w:r>
      <w:r>
        <w:t xml:space="preserve"> designan conceptos de alcance distinto. El e-commerce se refiere a las transacciones comerciales habilitadas digitalmente —la compra y venta de bienes y servicios a través de Internet—, mientras que el e-business abarca la transformación digital de todos los procesos de la organización: producción, inventario, logística, relación con clientes y proveedores, y toma de decisiones (Laudon &amp; Traver, 2024). En términos de Chaffey (2022), el e-business incluye tanto los flujos de venta (sell-side) como los de abastecimiento (buy-side) y los procesos internos que los soportan.</w:t>
      </w:r>
    </w:p>
    <w:p>
      <w:pPr>
        <w:spacing w:after="120" w:line="276"/>
        <w:jc w:val="both"/>
      </w:pPr>
      <w:r>
        <w:t xml:space="preserve">AgroPulse es deliberadamente un proyecto de e-business y no solo de e-commerce: la tienda B2B es un componente, pero el valor diferencial reside en la digitalización de procesos que ocurren antes y después de la transacción —el monitoreo IoT del producto, la reserva temporal de inventario, la progresión logística del pedido, la trazabilidad y la analítica del productor—.</w:t>
      </w:r>
    </w:p>
    <w:p>
      <w:pPr>
        <w:pStyle w:val="Heading2"/>
      </w:pPr>
      <w:r>
        <w:t xml:space="preserve">4.2 Modelos B2B, SaaS y marketplace</w:t>
      </w:r>
    </w:p>
    <w:p>
      <w:pPr>
        <w:spacing w:after="120" w:line="276"/>
        <w:jc w:val="both"/>
      </w:pPr>
      <w:r>
        <w:t xml:space="preserve">El comercio electrónico </w:t>
      </w:r>
      <w:r>
        <w:rPr>
          <w:b/>
          <w:bCs/>
        </w:rPr>
        <w:t xml:space="preserve">B2B (business-to-business)</w:t>
      </w:r>
      <w:r>
        <w:t xml:space="preserve"> conecta empresas entre sí y se caracteriza por volúmenes altos, compras recurrentes, negociación de precios y necesidades logísticas complejas, a diferencia del B2C orientado al consumidor final. El modelo de </w:t>
      </w:r>
      <w:r>
        <w:rPr>
          <w:b/>
          <w:bCs/>
        </w:rPr>
        <w:t xml:space="preserve">marketplace</w:t>
      </w:r>
      <w:r>
        <w:t xml:space="preserve"> agrega oferta y demanda de terceros en una plataforma común que captura una comisión por transacción; su ventaja competitiva crece con los efectos de red: más productores atraen más compradores y viceversa (Laudon &amp; Traver, 2024). Por su parte, el modelo </w:t>
      </w:r>
      <w:r>
        <w:rPr>
          <w:b/>
          <w:bCs/>
        </w:rPr>
        <w:t xml:space="preserve">SaaS (Software as a Service)</w:t>
      </w:r>
      <w:r>
        <w:t xml:space="preserve"> entrega software por suscripción, sin instalación local, con ingresos recurrentes y predecibles para el proveedor.</w:t>
      </w:r>
    </w:p>
    <w:p>
      <w:pPr>
        <w:spacing w:after="120" w:line="276"/>
        <w:jc w:val="both"/>
      </w:pPr>
      <w:r>
        <w:t xml:space="preserve">AgroPulse combina los tres modelos: es un marketplace B2B de productos perecederos financiado por comisión, y a la vez un SaaS de monitoreo IoT por suscripción mensual o anual. Esta combinación diversifica los ingresos y alinea los incentivos: la plataforma gana cuando el productor vende más y pierde menos.</w:t>
      </w:r>
    </w:p>
    <w:p>
      <w:pPr>
        <w:pStyle w:val="Heading2"/>
      </w:pPr>
      <w:r>
        <w:t xml:space="preserve">4.3 IoT aplicado a la agricultura</w:t>
      </w:r>
    </w:p>
    <w:p>
      <w:pPr>
        <w:spacing w:after="120" w:line="276"/>
        <w:jc w:val="both"/>
      </w:pPr>
      <w:r>
        <w:t xml:space="preserve">El </w:t>
      </w:r>
      <w:r>
        <w:rPr>
          <w:b/>
          <w:bCs/>
        </w:rPr>
        <w:t xml:space="preserve">Internet de las Cosas (IoT)</w:t>
      </w:r>
      <w:r>
        <w:t xml:space="preserve"> aplicado al agro consiste en redes de sensores de bajo costo y bajo consumo que capturan variables físicas —temperatura, humedad relativa, humedad de suelo, luminosidad, ubicación GPS— y las transmiten para su análisis centralizado. En cadenas de perecederos, los sensores instalados en bodegas, cámaras de frío y camiones permiten detectar rupturas de la cadena de frío en minutos en lugar de descubrirlas al llegar al destino (Deloitte, 2024). Protocolos como </w:t>
      </w:r>
      <w:r>
        <w:rPr>
          <w:b/>
          <w:bCs/>
        </w:rPr>
        <w:t xml:space="preserve">LoRaWAN</w:t>
      </w:r>
      <w:r>
        <w:t xml:space="preserve"> ofrecen kilómetros de alcance con años de batería, lo que los hace idóneos para zonas rurales con conectividad limitada.</w:t>
      </w:r>
    </w:p>
    <w:p>
      <w:pPr>
        <w:spacing w:after="120" w:line="276"/>
        <w:jc w:val="both"/>
      </w:pPr>
      <w:r>
        <w:t xml:space="preserve">El mercado de IoT agrícola en América Latina crece a tasas de dos dígitos, impulsado por la caída del costo de los sensores y por la presión regulatoria y comercial hacia la trazabilidad (Deloitte, 2024). En AgroPulse, la capa IoT es la fuente primaria de datos: alimenta las alertas de la cadena de frío, la estimación de vida útil de los lotes y los dashboards del productor.</w:t>
      </w:r>
    </w:p>
    <w:p>
      <w:pPr>
        <w:pStyle w:val="Heading2"/>
      </w:pPr>
      <w:r>
        <w:t xml:space="preserve">4.4 Machine Learning y analítica predictiva</w:t>
      </w:r>
    </w:p>
    <w:p>
      <w:pPr>
        <w:spacing w:after="120" w:line="276"/>
        <w:jc w:val="both"/>
      </w:pPr>
      <w:r>
        <w:t xml:space="preserve">La analítica predictiva utiliza datos históricos y variables de contexto para anticipar eventos futuros. En el dominio agroalimentario, dos familias de modelos resultan especialmente útiles: los modelos de gradient boosting (como XGBoost) para estimar demanda a partir de variables tabulares —región, producto, temporada, precio, clima—, y los modelos de series de tiempo (como Prophet) para proyectar patrones estacionales de consumo. La combinación de pronóstico de demanda con datos de vida útil de los lotes permite responder la pregunta operativa central del negocio perecedero: qué vender primero, a quién y a qué precio, antes de que el producto pierda valor.</w:t>
      </w:r>
    </w:p>
    <w:p>
      <w:pPr>
        <w:pStyle w:val="Heading2"/>
      </w:pPr>
      <w:r>
        <w:t xml:space="preserve">4.5 Cadena de frío y trazabilidad</w:t>
      </w:r>
    </w:p>
    <w:p>
      <w:pPr>
        <w:spacing w:after="120" w:line="276"/>
        <w:jc w:val="both"/>
      </w:pPr>
      <w:r>
        <w:t xml:space="preserve">La </w:t>
      </w:r>
      <w:r>
        <w:rPr>
          <w:b/>
          <w:bCs/>
        </w:rPr>
        <w:t xml:space="preserve">cadena de frío</w:t>
      </w:r>
      <w:r>
        <w:t xml:space="preserve"> es la secuencia ininterrumpida de condiciones de temperatura controlada que un producto perecedero requiere desde la cosecha hasta el consumo. Una sola ruptura —un contenedor al sol, una cámara mal calibrada— reduce la vida útil de forma irreversible. La </w:t>
      </w:r>
      <w:r>
        <w:rPr>
          <w:b/>
          <w:bCs/>
        </w:rPr>
        <w:t xml:space="preserve">trazabilidad</w:t>
      </w:r>
      <w:r>
        <w:t xml:space="preserve">, por su parte, es la capacidad de reconstruir la historia, ubicación y condiciones de un producto a lo largo de la cadena. Ambos conceptos convergen: sin monitoreo continuo no hay trazabilidad creíble, y sin trazabilidad el cumplimiento de la cadena de frío no puede demostrarse ante compradores, aseguradoras ni reguladores. AgroPulse implementa esta convergencia con sensores IoT por lote y un código QR público que expone la historia verificable de cada lote al comprador final.</w:t>
      </w:r>
    </w:p>
    <w:p>
      <w:pPr>
        <w:pStyle w:val="Heading2"/>
      </w:pPr>
      <w:r>
        <w:t xml:space="preserve">4.6 Seguridad de la información en e-business</w:t>
      </w:r>
    </w:p>
    <w:p>
      <w:pPr>
        <w:spacing w:after="120" w:line="276"/>
        <w:jc w:val="both"/>
      </w:pPr>
      <w:r>
        <w:t xml:space="preserve">Una plataforma que gestiona cuentas, pagos y datos comerciales sensibles debe diseñarse bajo los principios de </w:t>
      </w:r>
      <w:r>
        <w:rPr>
          <w:b/>
          <w:bCs/>
        </w:rPr>
        <w:t xml:space="preserve">confidencialidad, integridad y disponibilidad</w:t>
      </w:r>
      <w:r>
        <w:t xml:space="preserve"> que estructuran los sistemas de gestión de seguridad de la información (ISO/IEC 27001:2022). En el contexto del e-business, esto se traduce en controles concretos: autenticación robusta con múltiples factores, control de acceso basado en roles (RBAC) que limita cada cuenta a las operaciones propias de su función, protección contra ataques de fuerza bruta mediante rate limiting, registro de auditoría de las acciones sensibles y cifrado del tráfico y de las credenciales almacenadas.</w:t>
      </w:r>
    </w:p>
    <w:p>
      <w:pPr>
        <w:spacing w:after="120" w:line="276"/>
        <w:jc w:val="both"/>
      </w:pPr>
      <w:r>
        <w:t xml:space="preserve">AgroPulse adopta estos controles de forma nativa (véase el capítulo 6): cuatro roles con permisos disjuntos, doble factor TOTP, bloqueo temporal tras cinco intentos fallidos de inicio de sesión, hash seguro de contraseñas y un log de auditoría consultable desde el panel de administración. La seguridad no se trata como un añadido posterior, sino como un requisito de arquitectura, en línea con las prácticas recomendadas para plataformas transaccionales (OWASP, 2025).</w:t>
      </w:r>
    </w:p>
    <w:p>
      <w:pPr>
        <w:pStyle w:val="Heading1"/>
        <w:pageBreakBefore/>
      </w:pPr>
      <w:r>
        <w:t xml:space="preserve">Capítulo 5. Modelo de negocio</w:t>
      </w:r>
    </w:p>
    <w:p>
      <w:pPr>
        <w:pStyle w:val="Heading2"/>
      </w:pPr>
      <w:r>
        <w:t xml:space="preserve">5.1 Business Model Canvas</w:t>
      </w:r>
    </w:p>
    <w:p>
      <w:pPr>
        <w:spacing w:after="120" w:line="276"/>
        <w:jc w:val="both"/>
      </w:pPr>
      <w:r>
        <w:t xml:space="preserve">El modelo de negocio de AgroPulse se sintetiza en el siguiente lienzo (Osterwalder &amp; Pigneur, 2010):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Bloque</w:t>
            </w:r>
          </w:p>
        </w:tc>
        <w:tc>
          <w:tcPr>
            <w:tcW w:type="dxa" w:w="67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Contenido</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Segmentos de clientes</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Productores agrícolas pequeños y medianos de perecederos (café, piña, banano, hortalizas); compradores B2B: supermercados, restaurantes, distribuidores y agroindustrias; operadores logísticos de cadena de frío.</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Propuesta de valor</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Para productores: −30 % de mermas, +25 % de margen al eliminar intermediarios, dashboard en su moneda y chat directo con compradores. Para compradores: frescura verificada, trazabilidad QR, stock en vivo con reserva de 2 horas y tracking del pedido en mapa.</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Canales</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Plataforma web (agropulse-web.vercel.app), correos transaccionales, WhatsApp comercial, alianzas con cámaras y cooperativas agrícolas.</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Relación con clientes</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Onboarding asistido, éxito del cliente por cooperativa, chat comprador–productor dentro de la plataforma, reportes automáticos.</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Fuentes de ingresos</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Comisión 4 % por transacción; suscripciones SaaS IoT (USD 79 / 199 / Enterprise); servicios logísticos de cadena de frío; servicios premium (reportes ESG, certificaciones digitales, consultoría).</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Recursos clave</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Plataforma tecnológica (Next.js + Supabase + SSE), red de sensores IoT, datos históricos de lotes y transacciones, marca y confianza.</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Actividades clave</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Desarrollo de producto, operación del marketplace, analítica de datos, soporte y capacitación a productores, gestión logística.</w:t>
            </w:r>
          </w:p>
        </w:tc>
      </w:tr>
      <w:tr>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Alianzas clave</w:t>
            </w:r>
          </w:p>
        </w:tc>
        <w:tc>
          <w:tcPr>
            <w:tcW w:type="dxa" w:w="6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Cooperativas agrícolas, operadores logísticos de frío, proveedores de sensores LoRaWAN, pasarelas de pago locales, MAG y cámaras sectoriales.</w:t>
            </w:r>
          </w:p>
        </w:tc>
      </w:tr>
      <w:tr>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Estructura de costos</w:t>
            </w:r>
          </w:p>
        </w:tc>
        <w:tc>
          <w:tcPr>
            <w:tcW w:type="dxa" w:w="6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Nómina de ingeniería y éxito del cliente, infraestructura cloud (Vercel, Supabase), hardware IoT subsidiado, marketing B2B, cumplimiento y legal.</w:t>
            </w:r>
          </w:p>
        </w:tc>
      </w:tr>
    </w:tbl>
    <w:p>
      <w:pPr>
        <w:spacing w:after="160" w:before="60"/>
        <w:jc w:val="center"/>
      </w:pPr>
      <w:r>
        <w:rPr>
          <w:i/>
          <w:iCs/>
          <w:color w:val="44514A"/>
          <w:sz w:val="20"/>
          <w:szCs w:val="20"/>
        </w:rPr>
        <w:t xml:space="preserve">Tabla 4. Business Model Canvas de AgroPulse.</w:t>
      </w:r>
    </w:p>
    <w:p>
      <w:pPr>
        <w:pStyle w:val="Heading2"/>
      </w:pPr>
      <w:r>
        <w:t xml:space="preserve">5.2 Fuentes de ingresos</w:t>
      </w:r>
    </w:p>
    <w:p>
      <w:pPr>
        <w:spacing w:after="120" w:line="276"/>
        <w:jc w:val="both"/>
      </w:pPr>
      <w:r>
        <w:rPr>
          <w:b/>
          <w:bCs/>
        </w:rPr>
        <w:t xml:space="preserve">1) Comisión por transacción. </w:t>
      </w:r>
      <w:r>
        <w:t xml:space="preserve">La plataforma cobra un </w:t>
      </w:r>
      <w:r>
        <w:rPr>
          <w:b/>
          <w:bCs/>
        </w:rPr>
        <w:t xml:space="preserve">4 % sobre cada venta</w:t>
      </w:r>
      <w:r>
        <w:t xml:space="preserve"> del marketplace, calculado sobre el subtotal después de aplicar descuentos. Este diseño alinea el ingreso de AgroPulse con el éxito comercial del productor.</w:t>
      </w:r>
    </w:p>
    <w:p>
      <w:pPr>
        <w:spacing w:after="120" w:line="276"/>
        <w:jc w:val="both"/>
      </w:pPr>
      <w:r>
        <w:rPr>
          <w:b/>
          <w:bCs/>
        </w:rPr>
        <w:t xml:space="preserve">2) Suscripción SaaS de monitoreo IoT. </w:t>
      </w:r>
      <w:r>
        <w:t xml:space="preserve">Los planes se cotizan en USD con conversión dinámica a diez monedas locales. La facturación puede ser mensual o anual, con descuentos del 15 % al 17 % por pago 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500"/>
        <w:gridCol w:w="2560"/>
      </w:tblGrid>
      <w:tr>
        <w:trPr>
          <w:tblHeader/>
        </w:trPr>
        <w:tc>
          <w:tcPr>
            <w:tcW w:type="dxa" w:w="19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Plan</w:t>
            </w:r>
          </w:p>
        </w:tc>
        <w:tc>
          <w:tcPr>
            <w:tcW w:type="dxa" w:w="24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Precio mensual</w:t>
            </w:r>
          </w:p>
        </w:tc>
        <w:tc>
          <w:tcPr>
            <w:tcW w:type="dxa" w:w="25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Facturación anual</w:t>
            </w:r>
          </w:p>
        </w:tc>
        <w:tc>
          <w:tcPr>
            <w:tcW w:type="dxa" w:w="25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Dirigido a</w:t>
            </w:r>
          </w:p>
        </w:tc>
      </w:tr>
      <w:tr>
        <w:tc>
          <w:tcPr>
            <w:tcW w:type="dxa" w:w="1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Básico</w:t>
            </w:r>
          </w:p>
        </w:tc>
        <w:tc>
          <w:tcPr>
            <w:tcW w:type="dxa" w:w="2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USD 79 / mes</w:t>
            </w:r>
          </w:p>
        </w:tc>
        <w:tc>
          <w:tcPr>
            <w:tcW w:type="dxa" w:w="25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−15 % de descuento</w:t>
            </w:r>
          </w:p>
        </w:tc>
        <w:tc>
          <w:tcPr>
            <w:tcW w:type="dxa" w:w="25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Pequeños productores que inician el monitoreo IoT</w:t>
            </w:r>
          </w:p>
        </w:tc>
      </w:tr>
      <w:tr>
        <w:tc>
          <w:tcPr>
            <w:tcW w:type="dxa" w:w="1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Pro (destacado)</w:t>
            </w:r>
          </w:p>
        </w:tc>
        <w:tc>
          <w:tcPr>
            <w:tcW w:type="dxa" w:w="2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USD 199 / mes</w:t>
            </w:r>
          </w:p>
        </w:tc>
        <w:tc>
          <w:tcPr>
            <w:tcW w:type="dxa" w:w="25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−17 % de descuento</w:t>
            </w:r>
          </w:p>
        </w:tc>
        <w:tc>
          <w:tcPr>
            <w:tcW w:type="dxa" w:w="25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Productores medianos con múltiples lotes y bodegas</w:t>
            </w:r>
          </w:p>
        </w:tc>
      </w:tr>
      <w:tr>
        <w:tc>
          <w:tcPr>
            <w:tcW w:type="dxa" w:w="1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Enterprise</w:t>
            </w:r>
          </w:p>
        </w:tc>
        <w:tc>
          <w:tcPr>
            <w:tcW w:type="dxa" w:w="2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 cotizar</w:t>
            </w:r>
          </w:p>
        </w:tc>
        <w:tc>
          <w:tcPr>
            <w:tcW w:type="dxa" w:w="25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Contrato anual</w:t>
            </w:r>
          </w:p>
        </w:tc>
        <w:tc>
          <w:tcPr>
            <w:tcW w:type="dxa" w:w="25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Cooperativas, agroindustrias y exportadores</w:t>
            </w:r>
          </w:p>
        </w:tc>
      </w:tr>
    </w:tbl>
    <w:p>
      <w:pPr>
        <w:spacing w:after="160" w:before="60"/>
        <w:jc w:val="center"/>
      </w:pPr>
      <w:r>
        <w:rPr>
          <w:i/>
          <w:iCs/>
          <w:color w:val="44514A"/>
          <w:sz w:val="20"/>
          <w:szCs w:val="20"/>
        </w:rPr>
        <w:t xml:space="preserve">Tabla 5. Planes de suscripción SaaS (precios base en USD, convertibles a 10 monedas).</w:t>
      </w:r>
    </w:p>
    <w:p>
      <w:pPr>
        <w:spacing w:after="120" w:line="276"/>
        <w:jc w:val="both"/>
      </w:pPr>
      <w:r>
        <w:rPr>
          <w:b/>
          <w:bCs/>
        </w:rPr>
        <w:t xml:space="preserve">3) Servicios logísticos integrados. </w:t>
      </w:r>
      <w:r>
        <w:t xml:space="preserve">Cadena de frío monitoreada, tracking del envío en mapa en tiempo real y un rol de logística dedicado dentro de la plataforma.</w:t>
      </w:r>
    </w:p>
    <w:p>
      <w:pPr>
        <w:spacing w:after="120" w:line="276"/>
        <w:jc w:val="both"/>
      </w:pPr>
      <w:r>
        <w:rPr>
          <w:b/>
          <w:bCs/>
        </w:rPr>
        <w:t xml:space="preserve">4) Servicios premium. </w:t>
      </w:r>
      <w:r>
        <w:t xml:space="preserve">Reportes ESG para compradores corporativos, certificaciones digitales de origen y consultoría de reducción de mermas.</w:t>
      </w:r>
    </w:p>
    <w:p>
      <w:pPr>
        <w:pStyle w:val="Heading2"/>
      </w:pPr>
      <w:r>
        <w:t xml:space="preserve">5.3 Política promocional: cupones y descuento de productor</w:t>
      </w:r>
    </w:p>
    <w:p>
      <w:pPr>
        <w:spacing w:after="120" w:line="276"/>
        <w:jc w:val="both"/>
      </w:pPr>
      <w:r>
        <w:t xml:space="preserve">La plataforma implementa un sistema de cupones promocionales validados en el carrito, junto con un </w:t>
      </w:r>
      <w:r>
        <w:rPr>
          <w:b/>
          <w:bCs/>
        </w:rPr>
        <w:t xml:space="preserve">descuento automático del 8 %</w:t>
      </w:r>
      <w:r>
        <w:t xml:space="preserve"> para productores que compran a otros productores (compra entre pares). Los cupones vigentes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1800"/>
        <w:gridCol w:w="2960"/>
      </w:tblGrid>
      <w:tr>
        <w:trPr>
          <w:tblHeader/>
        </w:trPr>
        <w:tc>
          <w:tcPr>
            <w:tcW w:type="dxa" w:w="23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Código</w:t>
            </w:r>
          </w:p>
        </w:tc>
        <w:tc>
          <w:tcPr>
            <w:tcW w:type="dxa" w:w="23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Tipo</w:t>
            </w:r>
          </w:p>
        </w:tc>
        <w:tc>
          <w:tcPr>
            <w:tcW w:type="dxa" w:w="18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Descuento</w:t>
            </w:r>
          </w:p>
        </w:tc>
        <w:tc>
          <w:tcPr>
            <w:tcW w:type="dxa" w:w="29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Condición</w:t>
            </w:r>
          </w:p>
        </w:tc>
      </w:tr>
      <w:tr>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PURAVIDA10</w:t>
            </w:r>
          </w:p>
        </w:tc>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General</w:t>
            </w:r>
          </w:p>
        </w:tc>
        <w:tc>
          <w:tcPr>
            <w:tcW w:type="dxa" w:w="18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10 %</w:t>
            </w:r>
          </w:p>
        </w:tc>
        <w:tc>
          <w:tcPr>
            <w:tcW w:type="dxa" w:w="29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Todo el catálogo</w:t>
            </w:r>
          </w:p>
        </w:tc>
      </w:tr>
      <w:tr>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BIENVENIDA</w:t>
            </w:r>
          </w:p>
        </w:tc>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General</w:t>
            </w:r>
          </w:p>
        </w:tc>
        <w:tc>
          <w:tcPr>
            <w:tcW w:type="dxa" w:w="18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12 %</w:t>
            </w:r>
          </w:p>
        </w:tc>
        <w:tc>
          <w:tcPr>
            <w:tcW w:type="dxa" w:w="29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Nuevos compradores</w:t>
            </w:r>
          </w:p>
        </w:tc>
      </w:tr>
      <w:tr>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TICO25</w:t>
            </w:r>
          </w:p>
        </w:tc>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General</w:t>
            </w:r>
          </w:p>
        </w:tc>
        <w:tc>
          <w:tcPr>
            <w:tcW w:type="dxa" w:w="18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25 %</w:t>
            </w:r>
          </w:p>
        </w:tc>
        <w:tc>
          <w:tcPr>
            <w:tcW w:type="dxa" w:w="29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Solo Costa Rica</w:t>
            </w:r>
          </w:p>
        </w:tc>
      </w:tr>
      <w:tr>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ENVIOGRATIS</w:t>
            </w:r>
          </w:p>
        </w:tc>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Envío</w:t>
            </w:r>
          </w:p>
        </w:tc>
        <w:tc>
          <w:tcPr>
            <w:tcW w:type="dxa" w:w="18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100 % del envío</w:t>
            </w:r>
          </w:p>
        </w:tc>
        <w:tc>
          <w:tcPr>
            <w:tcW w:type="dxa" w:w="29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Envío gratuito del pedido</w:t>
            </w:r>
          </w:p>
        </w:tc>
      </w:tr>
      <w:tr>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FRUTAS15</w:t>
            </w:r>
          </w:p>
        </w:tc>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Por categoría</w:t>
            </w:r>
          </w:p>
        </w:tc>
        <w:tc>
          <w:tcPr>
            <w:tcW w:type="dxa" w:w="18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15 %</w:t>
            </w:r>
          </w:p>
        </w:tc>
        <w:tc>
          <w:tcPr>
            <w:tcW w:type="dxa" w:w="29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Categoría frutas</w:t>
            </w:r>
          </w:p>
        </w:tc>
      </w:tr>
      <w:tr>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CAFE20</w:t>
            </w:r>
          </w:p>
        </w:tc>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Por categoría</w:t>
            </w:r>
          </w:p>
        </w:tc>
        <w:tc>
          <w:tcPr>
            <w:tcW w:type="dxa" w:w="18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20 %</w:t>
            </w:r>
          </w:p>
        </w:tc>
        <w:tc>
          <w:tcPr>
            <w:tcW w:type="dxa" w:w="29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Categoría café</w:t>
            </w:r>
          </w:p>
        </w:tc>
      </w:tr>
      <w:tr>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HORTALIZAS10</w:t>
            </w:r>
          </w:p>
        </w:tc>
        <w:tc>
          <w:tcPr>
            <w:tcW w:type="dxa" w:w="2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Por categoría</w:t>
            </w:r>
          </w:p>
        </w:tc>
        <w:tc>
          <w:tcPr>
            <w:tcW w:type="dxa" w:w="18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10 %</w:t>
            </w:r>
          </w:p>
        </w:tc>
        <w:tc>
          <w:tcPr>
            <w:tcW w:type="dxa" w:w="29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Categoría hortalizas</w:t>
            </w:r>
          </w:p>
        </w:tc>
      </w:tr>
      <w:tr>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PRODUCTOR5</w:t>
            </w:r>
          </w:p>
        </w:tc>
        <w:tc>
          <w:tcPr>
            <w:tcW w:type="dxa" w:w="2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Por rol</w:t>
            </w:r>
          </w:p>
        </w:tc>
        <w:tc>
          <w:tcPr>
            <w:tcW w:type="dxa" w:w="18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5 %</w:t>
            </w:r>
          </w:p>
        </w:tc>
        <w:tc>
          <w:tcPr>
            <w:tcW w:type="dxa" w:w="29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Cuentas con rol productor</w:t>
            </w:r>
          </w:p>
        </w:tc>
      </w:tr>
    </w:tbl>
    <w:p>
      <w:pPr>
        <w:spacing w:after="160" w:before="60"/>
        <w:jc w:val="center"/>
      </w:pPr>
      <w:r>
        <w:rPr>
          <w:i/>
          <w:iCs/>
          <w:color w:val="44514A"/>
          <w:sz w:val="20"/>
          <w:szCs w:val="20"/>
        </w:rPr>
        <w:t xml:space="preserve">Tabla 6. Cupones promocionales activos en la plataforma.</w:t>
      </w:r>
    </w:p>
    <w:p>
      <w:pPr>
        <w:pStyle w:val="Heading2"/>
      </w:pPr>
      <w:r>
        <w:t xml:space="preserve">5.4 Proyecciones a tres años</w:t>
      </w:r>
    </w:p>
    <w:p>
      <w:pPr>
        <w:spacing w:after="120" w:line="276"/>
        <w:jc w:val="both"/>
      </w:pPr>
      <w:r>
        <w:t xml:space="preserve">Las proyecciones parten del mercado obtenible inicial (SOM de USD 85 millones) y de una adopción progresiva: primero Costa Rica, luego el corredor centroamericano y finalmente los diez países. Los valores del año 2 son interpolaciones conservadoras entre las metas del año 1 y del año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2160"/>
      </w:tblGrid>
      <w:tr>
        <w:trPr>
          <w:tblHeader/>
        </w:trPr>
        <w:tc>
          <w:tcPr>
            <w:tcW w:type="dxa" w:w="34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Indicador</w:t>
            </w:r>
          </w:p>
        </w:tc>
        <w:tc>
          <w:tcPr>
            <w:tcW w:type="dxa" w:w="19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Año 1</w:t>
            </w:r>
          </w:p>
        </w:tc>
        <w:tc>
          <w:tcPr>
            <w:tcW w:type="dxa" w:w="19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Año 2</w:t>
            </w:r>
          </w:p>
        </w:tc>
        <w:tc>
          <w:tcPr>
            <w:tcW w:type="dxa" w:w="21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Año 3</w:t>
            </w:r>
          </w:p>
        </w:tc>
      </w:tr>
      <w:tr>
        <w:tc>
          <w:tcPr>
            <w:tcW w:type="dxa" w:w="3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Reducción de mermas en productores activos</w:t>
            </w:r>
          </w:p>
        </w:tc>
        <w:tc>
          <w:tcPr>
            <w:tcW w:type="dxa" w:w="1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30 %</w:t>
            </w:r>
          </w:p>
        </w:tc>
        <w:tc>
          <w:tcPr>
            <w:tcW w:type="dxa" w:w="1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38 % (est.)</w:t>
            </w:r>
          </w:p>
        </w:tc>
        <w:tc>
          <w:tcPr>
            <w:tcW w:type="dxa" w:w="21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45 %</w:t>
            </w:r>
          </w:p>
        </w:tc>
      </w:tr>
      <w:tr>
        <w:tc>
          <w:tcPr>
            <w:tcW w:type="dxa" w:w="3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Productores onboarded</w:t>
            </w:r>
          </w:p>
        </w:tc>
        <w:tc>
          <w:tcPr>
            <w:tcW w:type="dxa" w:w="1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500 (Costa Rica)</w:t>
            </w:r>
          </w:p>
        </w:tc>
        <w:tc>
          <w:tcPr>
            <w:tcW w:type="dxa" w:w="1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2,000 (est.)</w:t>
            </w:r>
          </w:p>
        </w:tc>
        <w:tc>
          <w:tcPr>
            <w:tcW w:type="dxa" w:w="21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5,000 (LATAM)</w:t>
            </w:r>
          </w:p>
        </w:tc>
      </w:tr>
      <w:tr>
        <w:tc>
          <w:tcPr>
            <w:tcW w:type="dxa" w:w="3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GMV anual (volumen bruto de mercancía)</w:t>
            </w:r>
          </w:p>
        </w:tc>
        <w:tc>
          <w:tcPr>
            <w:tcW w:type="dxa" w:w="1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USD 12 M</w:t>
            </w:r>
          </w:p>
        </w:tc>
        <w:tc>
          <w:tcPr>
            <w:tcW w:type="dxa" w:w="1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USD 35 M (est.)</w:t>
            </w:r>
          </w:p>
        </w:tc>
        <w:tc>
          <w:tcPr>
            <w:tcW w:type="dxa" w:w="21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USD 80 M</w:t>
            </w:r>
          </w:p>
        </w:tc>
      </w:tr>
      <w:tr>
        <w:tc>
          <w:tcPr>
            <w:tcW w:type="dxa" w:w="3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Países en operación</w:t>
            </w:r>
          </w:p>
        </w:tc>
        <w:tc>
          <w:tcPr>
            <w:tcW w:type="dxa" w:w="1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1 (CR)</w:t>
            </w:r>
          </w:p>
        </w:tc>
        <w:tc>
          <w:tcPr>
            <w:tcW w:type="dxa" w:w="1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4–5</w:t>
            </w:r>
          </w:p>
        </w:tc>
        <w:tc>
          <w:tcPr>
            <w:tcW w:type="dxa" w:w="21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10</w:t>
            </w:r>
          </w:p>
        </w:tc>
      </w:tr>
    </w:tbl>
    <w:p>
      <w:pPr>
        <w:spacing w:after="160" w:before="60"/>
        <w:jc w:val="center"/>
      </w:pPr>
      <w:r>
        <w:rPr>
          <w:i/>
          <w:iCs/>
          <w:color w:val="44514A"/>
          <w:sz w:val="20"/>
          <w:szCs w:val="20"/>
        </w:rPr>
        <w:t xml:space="preserve">Tabla 7. Proyecciones de crecimiento a tres años.</w:t>
      </w:r>
    </w:p>
    <w:p>
      <w:pPr>
        <w:spacing w:after="120" w:line="276"/>
        <w:jc w:val="both"/>
      </w:pPr>
      <w:r>
        <w:t xml:space="preserve">Con una comisión del 4 % sobre el GMV, el marketplace generaría en el orden de USD 480,000 el primer año y USD 3.2 millones el tercero, a lo que se suman las suscripciones SaaS: con solo el 40 % de los productores del año 3 en plan Básico anual, la línea SaaS superaría los USD 4 millones anuales, convirtiéndose en la fuente de ingresos más estable del negocio.</w:t>
      </w:r>
    </w:p>
    <w:p>
      <w:pPr>
        <w:pStyle w:val="Heading1"/>
        <w:pageBreakBefore/>
      </w:pPr>
      <w:r>
        <w:t xml:space="preserve">Capítulo 6. Propuesta tecnológica</w:t>
      </w:r>
    </w:p>
    <w:p>
      <w:pPr>
        <w:spacing w:after="120" w:line="276"/>
        <w:jc w:val="both"/>
      </w:pPr>
      <w:r>
        <w:t xml:space="preserve">Este capítulo documenta el núcleo del proyecto: la plataforma implementada y desplegada en producción en </w:t>
      </w:r>
      <w:r>
        <w:rPr>
          <w:b/>
          <w:bCs/>
        </w:rPr>
        <w:t xml:space="preserve">https://agropulse-web.vercel.app</w:t>
      </w:r>
      <w:r>
        <w:t xml:space="preserve">. No se trata de maquetas ni prototipos navegables: cada funcionalidad descrita a continuación está construida, probada y operativa, con más de 220 rutas generadas y más de 35 endpoints REST.</w:t>
      </w:r>
    </w:p>
    <w:p>
      <w:pPr>
        <w:pStyle w:val="Heading2"/>
      </w:pPr>
      <w:r>
        <w:t xml:space="preserve">6.1 Arquitectura general</w:t>
      </w:r>
    </w:p>
    <w:p>
      <w:pPr>
        <w:spacing w:after="120" w:line="276"/>
        <w:jc w:val="both"/>
      </w:pPr>
      <w:r>
        <w:t xml:space="preserve">El frontend y el backend conviven en una única aplicación </w:t>
      </w:r>
      <w:r>
        <w:rPr>
          <w:b/>
          <w:bCs/>
        </w:rPr>
        <w:t xml:space="preserve">Next.js 16 con App Router y TypeScript</w:t>
      </w:r>
      <w:r>
        <w:t xml:space="preserve">. El App Router permite combinar Server Components —que consultan la base de datos directamente en el servidor y envían HTML ya renderizado— con Client Components interactivos, reduciendo el JavaScript enviado al navegador. La interfaz se construye con </w:t>
      </w:r>
      <w:r>
        <w:rPr>
          <w:b/>
          <w:bCs/>
        </w:rPr>
        <w:t xml:space="preserve">Tailwind CSS 4</w:t>
      </w:r>
      <w:r>
        <w:t xml:space="preserve"> sobre un sistema de tokens de diseño, animaciones con framer-motion, gráficas con Recharts y mapas interactivos con Leaflet. El estado del cliente (carrito, país seleccionado, preferencias) se gestiona con Zustand.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Capa</w:t>
            </w:r>
          </w:p>
        </w:tc>
        <w:tc>
          <w:tcPr>
            <w:tcW w:type="dxa" w:w="33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Tecnología</w:t>
            </w:r>
          </w:p>
        </w:tc>
        <w:tc>
          <w:tcPr>
            <w:tcW w:type="dxa" w:w="38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Rol en la plataforma</w:t>
            </w:r>
          </w:p>
        </w:tc>
      </w:tr>
      <w:tr>
        <w:tc>
          <w:tcPr>
            <w:tcW w:type="dxa" w:w="22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Frontend</w:t>
            </w:r>
          </w:p>
        </w:tc>
        <w:tc>
          <w:tcPr>
            <w:tcW w:type="dxa" w:w="3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Next.js 16 + TypeScript + Tailwind CSS 4</w:t>
            </w:r>
          </w:p>
        </w:tc>
        <w:tc>
          <w:tcPr>
            <w:tcW w:type="dxa" w:w="38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220+ rutas App Router; UI con tokens de diseño</w:t>
            </w:r>
          </w:p>
        </w:tc>
      </w:tr>
      <w:tr>
        <w:tc>
          <w:tcPr>
            <w:tcW w:type="dxa" w:w="22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Interactividad</w:t>
            </w:r>
          </w:p>
        </w:tc>
        <w:tc>
          <w:tcPr>
            <w:tcW w:type="dxa" w:w="3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framer-motion · Recharts · Leaflet · Zustand</w:t>
            </w:r>
          </w:p>
        </w:tc>
        <w:tc>
          <w:tcPr>
            <w:tcW w:type="dxa" w:w="38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Animaciones, gráficas, mapas en vivo, estado del cliente</w:t>
            </w:r>
          </w:p>
        </w:tc>
      </w:tr>
      <w:tr>
        <w:tc>
          <w:tcPr>
            <w:tcW w:type="dxa" w:w="22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Backend</w:t>
            </w:r>
          </w:p>
        </w:tc>
        <w:tc>
          <w:tcPr>
            <w:tcW w:type="dxa" w:w="3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Next.js Route Handlers</w:t>
            </w:r>
          </w:p>
        </w:tc>
        <w:tc>
          <w:tcPr>
            <w:tcW w:type="dxa" w:w="38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35+ endpoints REST</w:t>
            </w:r>
          </w:p>
        </w:tc>
      </w:tr>
      <w:tr>
        <w:tc>
          <w:tcPr>
            <w:tcW w:type="dxa" w:w="22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Persistencia</w:t>
            </w:r>
          </w:p>
        </w:tc>
        <w:tc>
          <w:tcPr>
            <w:tcW w:type="dxa" w:w="3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Supabase (PostgreSQL)</w:t>
            </w:r>
          </w:p>
        </w:tc>
        <w:tc>
          <w:tcPr>
            <w:tcW w:type="dxa" w:w="38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Usuarios, pedidos, lotes, reservas, cupones, chat, auditoría</w:t>
            </w:r>
          </w:p>
        </w:tc>
      </w:tr>
      <w:tr>
        <w:tc>
          <w:tcPr>
            <w:tcW w:type="dxa" w:w="22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Tiempo real</w:t>
            </w:r>
          </w:p>
        </w:tc>
        <w:tc>
          <w:tcPr>
            <w:tcW w:type="dxa" w:w="3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Server-Sent Events (SSE)</w:t>
            </w:r>
          </w:p>
        </w:tc>
        <w:tc>
          <w:tcPr>
            <w:tcW w:type="dxa" w:w="38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IoT en vivo, stock en vivo, tracking de pedidos</w:t>
            </w:r>
          </w:p>
        </w:tc>
      </w:tr>
      <w:tr>
        <w:tc>
          <w:tcPr>
            <w:tcW w:type="dxa" w:w="22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Autenticación</w:t>
            </w:r>
          </w:p>
        </w:tc>
        <w:tc>
          <w:tcPr>
            <w:tcW w:type="dxa" w:w="3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NextAuth v5 (credenciales + JWT)</w:t>
            </w:r>
          </w:p>
        </w:tc>
        <w:tc>
          <w:tcPr>
            <w:tcW w:type="dxa" w:w="38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4 roles, 2FA TOTP, rate limiting</w:t>
            </w:r>
          </w:p>
        </w:tc>
      </w:tr>
      <w:tr>
        <w:tc>
          <w:tcPr>
            <w:tcW w:type="dxa" w:w="22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Pagos</w:t>
            </w:r>
          </w:p>
        </w:tc>
        <w:tc>
          <w:tcPr>
            <w:tcW w:type="dxa" w:w="3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Stripe (modo test) + métodos locales</w:t>
            </w:r>
          </w:p>
        </w:tc>
        <w:tc>
          <w:tcPr>
            <w:tcW w:type="dxa" w:w="38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Checkout con tarjeta de prueba y pagos por país</w:t>
            </w:r>
          </w:p>
        </w:tc>
      </w:tr>
      <w:tr>
        <w:tc>
          <w:tcPr>
            <w:tcW w:type="dxa" w:w="22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Email</w:t>
            </w:r>
          </w:p>
        </w:tc>
        <w:tc>
          <w:tcPr>
            <w:tcW w:type="dxa" w:w="3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Resend</w:t>
            </w:r>
          </w:p>
        </w:tc>
        <w:tc>
          <w:tcPr>
            <w:tcW w:type="dxa" w:w="38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Correos transaccionales HTML reales</w:t>
            </w:r>
          </w:p>
        </w:tc>
      </w:tr>
      <w:tr>
        <w:tc>
          <w:tcPr>
            <w:tcW w:type="dxa" w:w="22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Calidad</w:t>
            </w:r>
          </w:p>
        </w:tc>
        <w:tc>
          <w:tcPr>
            <w:tcW w:type="dxa" w:w="33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Playwright + GitHub Actions</w:t>
            </w:r>
          </w:p>
        </w:tc>
        <w:tc>
          <w:tcPr>
            <w:tcW w:type="dxa" w:w="38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Tests E2E y CI en cada push</w:t>
            </w:r>
          </w:p>
        </w:tc>
      </w:tr>
      <w:tr>
        <w:tc>
          <w:tcPr>
            <w:tcW w:type="dxa" w:w="22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Despliegue</w:t>
            </w:r>
          </w:p>
        </w:tc>
        <w:tc>
          <w:tcPr>
            <w:tcW w:type="dxa" w:w="33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Vercel + GitHub</w:t>
            </w:r>
          </w:p>
        </w:tc>
        <w:tc>
          <w:tcPr>
            <w:tcW w:type="dxa" w:w="38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Producción serverless con CI/CD</w:t>
            </w:r>
          </w:p>
        </w:tc>
      </w:tr>
    </w:tbl>
    <w:p>
      <w:pPr>
        <w:spacing w:after="160" w:before="60"/>
        <w:jc w:val="center"/>
      </w:pPr>
      <w:r>
        <w:rPr>
          <w:i/>
          <w:iCs/>
          <w:color w:val="44514A"/>
          <w:sz w:val="20"/>
          <w:szCs w:val="20"/>
        </w:rPr>
        <w:t xml:space="preserve">Tabla 8. Stack tecnológico implementado.</w:t>
      </w:r>
    </w:p>
    <w:p>
      <w:pPr>
        <w:pStyle w:val="Heading2"/>
      </w:pPr>
      <w:r>
        <w:t xml:space="preserve">6.2 Persistencia real con Supabase (PostgreSQL)</w:t>
      </w:r>
    </w:p>
    <w:p>
      <w:pPr>
        <w:spacing w:after="120" w:line="276"/>
        <w:jc w:val="both"/>
      </w:pPr>
      <w:r>
        <w:t xml:space="preserve">Toda la información de negocio —usuarios, pedidos, lotes, reservas de stock, cupones, mensajes de chat, notificaciones y registros de auditoría— persiste en </w:t>
      </w:r>
      <w:r>
        <w:rPr>
          <w:b/>
          <w:bCs/>
        </w:rPr>
        <w:t xml:space="preserve">Supabase, una base de datos PostgreSQL gestionada</w:t>
      </w:r>
      <w:r>
        <w:t xml:space="preserve">. La capa de acceso a datos está aislada en repositorios asíncronos del lado del servidor, de modo que ningún componente del navegador accede directamente a la base de datos. El diseño incluye además un mecanismo de reserva: si las variables de entorno de Supabase no están presentes (por ejemplo, en un entorno de desarrollo aislado), la plataforma opera con un almacén en memoria con los mismos contratos, lo que facilita el desarrollo y las pruebas sin sacrificar la integridad del código (Supabase, 2026).</w:t>
      </w:r>
    </w:p>
    <w:p>
      <w:pPr>
        <w:pStyle w:val="Heading2"/>
      </w:pPr>
      <w:r>
        <w:t xml:space="preserve">6.3 Autenticación, roles y seguridad</w:t>
      </w:r>
    </w:p>
    <w:p>
      <w:pPr>
        <w:spacing w:after="120" w:line="276"/>
        <w:jc w:val="both"/>
      </w:pPr>
      <w:r>
        <w:t xml:space="preserve">La autenticación se implementa con </w:t>
      </w:r>
      <w:r>
        <w:rPr>
          <w:b/>
          <w:bCs/>
        </w:rPr>
        <w:t xml:space="preserve">NextAuth v5</w:t>
      </w:r>
      <w:r>
        <w:t xml:space="preserve"> usando credenciales y sesiones JWT. El sistema define </w:t>
      </w:r>
      <w:r>
        <w:rPr>
          <w:b/>
          <w:bCs/>
        </w:rPr>
        <w:t xml:space="preserve">cuatro roles con permisos disjuntos</w:t>
      </w:r>
      <w:r>
        <w:t xml:space="preserve"> (control de acceso basado en roles, RBAC): </w:t>
      </w:r>
      <w:r>
        <w:rPr>
          <w:i/>
          <w:iCs/>
        </w:rPr>
        <w:t xml:space="preserve">admin</w:t>
      </w:r>
      <w:r>
        <w:t xml:space="preserve"> (gestión total y auditoría), </w:t>
      </w:r>
      <w:r>
        <w:rPr>
          <w:i/>
          <w:iCs/>
        </w:rPr>
        <w:t xml:space="preserve">productor</w:t>
      </w:r>
      <w:r>
        <w:t xml:space="preserve"> (publicación de lotes, dashboard, sensores), </w:t>
      </w:r>
      <w:r>
        <w:rPr>
          <w:i/>
          <w:iCs/>
        </w:rPr>
        <w:t xml:space="preserve">cliente</w:t>
      </w:r>
      <w:r>
        <w:t xml:space="preserve"> (compra, pedidos, tracking) y </w:t>
      </w:r>
      <w:r>
        <w:rPr>
          <w:i/>
          <w:iCs/>
        </w:rPr>
        <w:t xml:space="preserve">logística</w:t>
      </w:r>
      <w:r>
        <w:t xml:space="preserve"> (gestión de envíos). Cada endpoint valida la sesión y el rol en el servidor antes de ejecutar cualquier operación.</w:t>
      </w:r>
    </w:p>
    <w:p>
      <w:pPr>
        <w:pStyle w:val="ListParagraph"/>
        <w:numPr>
          <w:ilvl w:val="0"/>
          <w:numId w:val="3"/>
        </w:numPr>
        <w:spacing w:after="60" w:line="276"/>
        <w:jc w:val="both"/>
      </w:pPr>
      <w:r>
        <w:rPr>
          <w:b/>
          <w:bCs/>
        </w:rPr>
        <w:t xml:space="preserve">Doble factor (2FA TOTP): </w:t>
      </w:r>
      <w:r>
        <w:t xml:space="preserve">las cuentas pueden activar códigos temporales compatibles con Google Authenticator o Authy.</w:t>
      </w:r>
    </w:p>
    <w:p>
      <w:pPr>
        <w:pStyle w:val="ListParagraph"/>
        <w:numPr>
          <w:ilvl w:val="0"/>
          <w:numId w:val="3"/>
        </w:numPr>
        <w:spacing w:after="60" w:line="276"/>
        <w:jc w:val="both"/>
      </w:pPr>
      <w:r>
        <w:rPr>
          <w:b/>
          <w:bCs/>
        </w:rPr>
        <w:t xml:space="preserve">Rate limiting: </w:t>
      </w:r>
      <w:r>
        <w:t xml:space="preserve">tras 5 intentos fallidos de inicio de sesión, la cuenta se bloquea temporalmente durante 15 minutos, mitigando ataques de fuerza bruta.</w:t>
      </w:r>
    </w:p>
    <w:p>
      <w:pPr>
        <w:pStyle w:val="ListParagraph"/>
        <w:numPr>
          <w:ilvl w:val="0"/>
          <w:numId w:val="3"/>
        </w:numPr>
        <w:spacing w:after="60" w:line="276"/>
        <w:jc w:val="both"/>
      </w:pPr>
      <w:r>
        <w:rPr>
          <w:b/>
          <w:bCs/>
        </w:rPr>
        <w:t xml:space="preserve">Auditoría: </w:t>
      </w:r>
      <w:r>
        <w:t xml:space="preserve">todas las acciones sensibles (inicios de sesión, cambios de estado de pedidos, operaciones administrativas) quedan registradas en un log consultable desde el panel de administración.</w:t>
      </w:r>
    </w:p>
    <w:p>
      <w:pPr>
        <w:pStyle w:val="Heading2"/>
      </w:pPr>
      <w:r>
        <w:t xml:space="preserve">6.4 Tiempo real con Server-Sent Events (SSE)</w:t>
      </w:r>
    </w:p>
    <w:p>
      <w:pPr>
        <w:spacing w:after="120" w:line="276"/>
        <w:jc w:val="both"/>
      </w:pPr>
      <w:r>
        <w:t xml:space="preserve">Tres experiencias de la plataforma son de tiempo real: la telemetría IoT de los sensores, el stock en vivo del marketplace y el tracking de pedidos sobre el mapa. Para todas ellas se eligió </w:t>
      </w:r>
      <w:r>
        <w:rPr>
          <w:b/>
          <w:bCs/>
        </w:rPr>
        <w:t xml:space="preserve">Server-Sent Events (SSE)</w:t>
      </w:r>
      <w:r>
        <w:t xml:space="preserve"> en lugar de WebSockets, una decisión de arquitectura deliberada.</w:t>
      </w:r>
    </w:p>
    <w:p>
      <w:pPr>
        <w:spacing w:after="120" w:line="276"/>
        <w:jc w:val="both"/>
      </w:pPr>
      <w:r>
        <w:rPr>
          <w:b/>
          <w:bCs/>
        </w:rPr>
        <w:t xml:space="preserve">¿Por qué SSE y no WebSockets? </w:t>
      </w:r>
      <w:r>
        <w:t xml:space="preserve">En una plataforma serverless como Vercel, las funciones son efímeras y no mantienen procesos persistentes, por lo que sostener conexiones WebSocket bidireccionales requeriría infraestructura adicional dedicada. SSE, en cambio, es unidireccional (servidor → cliente), viaja sobre HTTP estándar, atraviesa proxies y firewalls sin configuración especial, se reconecta automáticamente de forma nativa en el navegador y encaja con el modelo de streaming de respuestas de las funciones serverless (Vercel, 2026). Dado que los tres casos de uso son de solo lectura para el cliente —el navegador consume datos, no los emite—, la bidireccionalidad de WebSockets no aporta valor y sí añade complejidad operativa. SSE resulta así la opción más simple, robusta y económica para este escenario.</w:t>
      </w:r>
    </w:p>
    <w:p>
      <w:pPr>
        <w:pStyle w:val="Heading2"/>
      </w:pPr>
      <w:r>
        <w:t xml:space="preserve">6.5 Pagos: Stripe en modo test y métodos locales por país</w:t>
      </w:r>
    </w:p>
    <w:p>
      <w:pPr>
        <w:spacing w:after="120" w:line="276"/>
        <w:jc w:val="both"/>
      </w:pPr>
      <w:r>
        <w:t xml:space="preserve">El checkout ofrece dos vías de pago. La primera es </w:t>
      </w:r>
      <w:r>
        <w:rPr>
          <w:b/>
          <w:bCs/>
        </w:rPr>
        <w:t xml:space="preserve">Stripe en modo de prueba</w:t>
      </w:r>
      <w:r>
        <w:t xml:space="preserve"> (activable por variable de entorno), que procesa tarjetas de prueba con el flujo real del proveedor. La segunda son los </w:t>
      </w:r>
      <w:r>
        <w:rPr>
          <w:b/>
          <w:bCs/>
        </w:rPr>
        <w:t xml:space="preserve">métodos de pago locales simulados por país</w:t>
      </w:r>
      <w:r>
        <w:t xml:space="preserve">: SINPE Móvil en Costa Rica, SPEI y OXXO en México, PIX en Brasil, Yape en Perú, entre otros. Esta dualidad refleja la realidad del comercio electrónico latinoamericano, donde los métodos locales de pago superan en adopción a la tarjeta internacional (CEPAL, 2024).</w:t>
      </w:r>
    </w:p>
    <w:p>
      <w:pPr>
        <w:pStyle w:val="Heading2"/>
      </w:pPr>
      <w:r>
        <w:t xml:space="preserve">6.6 Correos transaccionales con Resend</w:t>
      </w:r>
    </w:p>
    <w:p>
      <w:pPr>
        <w:spacing w:after="120" w:line="276"/>
        <w:jc w:val="both"/>
      </w:pPr>
      <w:r>
        <w:t xml:space="preserve">La plataforma envía correos HTML reales mediante Resend en los momentos clave del ciclo de vida: bienvenida al registrarse, confirmación de compra al cliente y al productor, y notificaciones de cambio de estado del pedido. Las plantillas son previsualizables desde el panel de administración, lo que facilita el control de calidad del contenido.</w:t>
      </w:r>
    </w:p>
    <w:p>
      <w:pPr>
        <w:pStyle w:val="Heading2"/>
      </w:pPr>
      <w:r>
        <w:t xml:space="preserve">6.7 Reservas de stock con vencimiento (TTL de 2 horas)</w:t>
      </w:r>
    </w:p>
    <w:p>
      <w:pPr>
        <w:spacing w:after="120" w:line="276"/>
        <w:jc w:val="both"/>
      </w:pPr>
      <w:r>
        <w:t xml:space="preserve">El inventario de perecederos exige un manejo transaccional del stock. Al agregar un producto al carrito, la plataforma </w:t>
      </w:r>
      <w:r>
        <w:rPr>
          <w:b/>
          <w:bCs/>
        </w:rPr>
        <w:t xml:space="preserve">reserva el stock durante 2 horas</w:t>
      </w:r>
      <w:r>
        <w:t xml:space="preserve">: la cantidad queda bloqueada para otros compradores y el contador de stock en vivo se actualiza vía SSE en todas las sesiones abiertas. Si la compra no se concreta dentro de la ventana, la reserva expira y el inventario se reintegra automáticamente. Si el pago se confirma, el descuento de stock se vuelve definitivo. Este mecanismo evita tanto la sobreventa como el bloqueo indefinido de inventario, dos fallas clásicas del e-commerce de productos escasos.</w:t>
      </w:r>
    </w:p>
    <w:p>
      <w:pPr>
        <w:pStyle w:val="Heading2"/>
      </w:pPr>
      <w:r>
        <w:t xml:space="preserve">6.8 Progresión determinística de pedidos</w:t>
      </w:r>
    </w:p>
    <w:p>
      <w:pPr>
        <w:spacing w:after="120" w:line="276"/>
        <w:jc w:val="both"/>
      </w:pPr>
      <w:r>
        <w:t xml:space="preserve">El tracking de pedidos avanza por siete estados (confirmación, preparación, cadena de frío, tránsito, distribución, última milla y entrega) mediante una progresión determinística calculada en el servidor: el estado se deriva del tiempo transcurrido con funciones puras, de modo que dos consultas simultáneas siempre observan el mismo estado y un pedido jamás retrocede de etapa. La posición del envío se anima sobre un mapa en vivo, y la lógica pura es verificable con pruebas unitarias sin depender del reloj real.</w:t>
      </w:r>
    </w:p>
    <w:p>
      <w:pPr>
        <w:pStyle w:val="Heading2"/>
      </w:pPr>
      <w:r>
        <w:t xml:space="preserve">6.9 Experiencia internacional y colaboración</w:t>
      </w:r>
    </w:p>
    <w:p>
      <w:pPr>
        <w:pStyle w:val="ListParagraph"/>
        <w:numPr>
          <w:ilvl w:val="0"/>
          <w:numId w:val="3"/>
        </w:numPr>
        <w:spacing w:after="60" w:line="276"/>
        <w:jc w:val="both"/>
      </w:pPr>
      <w:r>
        <w:rPr>
          <w:b/>
          <w:bCs/>
        </w:rPr>
        <w:t xml:space="preserve">Internacionalización ES/EN/PT: </w:t>
      </w:r>
      <w:r>
        <w:t xml:space="preserve">todo el sitio es navegable en español, inglés y portugués mediante un selector de idioma, con diccionarios centralizados.</w:t>
      </w:r>
    </w:p>
    <w:p>
      <w:pPr>
        <w:pStyle w:val="ListParagraph"/>
        <w:numPr>
          <w:ilvl w:val="0"/>
          <w:numId w:val="3"/>
        </w:numPr>
        <w:spacing w:after="60" w:line="276"/>
        <w:jc w:val="both"/>
      </w:pPr>
      <w:r>
        <w:rPr>
          <w:b/>
          <w:bCs/>
        </w:rPr>
        <w:t xml:space="preserve">Multi-moneda: </w:t>
      </w:r>
      <w:r>
        <w:t xml:space="preserve">precios base en USD con conversión dinámica a 10 monedas locales, tanto en los planes como en el dashboard del productor.</w:t>
      </w:r>
    </w:p>
    <w:p>
      <w:pPr>
        <w:pStyle w:val="ListParagraph"/>
        <w:numPr>
          <w:ilvl w:val="0"/>
          <w:numId w:val="3"/>
        </w:numPr>
        <w:spacing w:after="60" w:line="276"/>
        <w:jc w:val="both"/>
      </w:pPr>
      <w:r>
        <w:rPr>
          <w:b/>
          <w:bCs/>
        </w:rPr>
        <w:t xml:space="preserve">Búsqueda global: </w:t>
      </w:r>
      <w:r>
        <w:t xml:space="preserve">un buscador unificado localiza productos, lotes, páginas y casos de éxito desde cualquier punto del sitio.</w:t>
      </w:r>
    </w:p>
    <w:p>
      <w:pPr>
        <w:pStyle w:val="ListParagraph"/>
        <w:numPr>
          <w:ilvl w:val="0"/>
          <w:numId w:val="3"/>
        </w:numPr>
        <w:spacing w:after="60" w:line="276"/>
        <w:jc w:val="both"/>
      </w:pPr>
      <w:r>
        <w:rPr>
          <w:b/>
          <w:bCs/>
        </w:rPr>
        <w:t xml:space="preserve">Chat comprador–productor: </w:t>
      </w:r>
      <w:r>
        <w:t xml:space="preserve">cada pedido incluye un canal de conversación directo entre el comprador y el productor, persistido en la base de datos.</w:t>
      </w:r>
    </w:p>
    <w:p>
      <w:pPr>
        <w:pStyle w:val="ListParagraph"/>
        <w:numPr>
          <w:ilvl w:val="0"/>
          <w:numId w:val="3"/>
        </w:numPr>
        <w:spacing w:after="60" w:line="276"/>
        <w:jc w:val="both"/>
      </w:pPr>
      <w:r>
        <w:rPr>
          <w:b/>
          <w:bCs/>
        </w:rPr>
        <w:t xml:space="preserve">Export de reportes: </w:t>
      </w:r>
      <w:r>
        <w:t xml:space="preserve">el dashboard del productor exporta sus métricas a Excel y PDF para uso contable y bancario.</w:t>
      </w:r>
    </w:p>
    <w:p>
      <w:pPr>
        <w:pStyle w:val="Heading2"/>
      </w:pPr>
      <w:r>
        <w:t xml:space="preserve">6.10 Calidad, CI/CD y despliegue</w:t>
      </w:r>
    </w:p>
    <w:p>
      <w:pPr>
        <w:spacing w:after="120" w:line="276"/>
        <w:jc w:val="both"/>
      </w:pPr>
      <w:r>
        <w:t xml:space="preserve">Los flujos críticos —registro, login, compra completa, tracking— están cubiertos por pruebas end-to-end con </w:t>
      </w:r>
      <w:r>
        <w:rPr>
          <w:b/>
          <w:bCs/>
        </w:rPr>
        <w:t xml:space="preserve">Playwright</w:t>
      </w:r>
      <w:r>
        <w:t xml:space="preserve">, ejecutadas automáticamente por </w:t>
      </w:r>
      <w:r>
        <w:rPr>
          <w:b/>
          <w:bCs/>
        </w:rPr>
        <w:t xml:space="preserve">GitHub Actions</w:t>
      </w:r>
      <w:r>
        <w:t xml:space="preserve"> en cada push junto con el linting y la compilación. El despliegue a producción es continuo sobre </w:t>
      </w:r>
      <w:r>
        <w:rPr>
          <w:b/>
          <w:bCs/>
        </w:rPr>
        <w:t xml:space="preserve">Vercel</w:t>
      </w:r>
      <w:r>
        <w:t xml:space="preserve">, que sirve la aplicación en modo serverless con CDN global. Componentes como los sensores físicos LoRaWAN, los modelos ML XGBoost/Prophet en producción y la cadena de bloques de trazabilidad forman parte de la narrativa de negocio y del roadmap, pero no de la implementación actual; el documento los distingue explícitamente para preservar el rigor académico.</w:t>
      </w:r>
    </w:p>
    <w:p>
      <w:pPr>
        <w:spacing w:after="60" w:before="160"/>
        <w:jc w:val="center"/>
      </w:pPr>
      <w:r>
        <w:drawing>
          <wp:inline distT="0" distB="0" distL="0" distR="0">
            <wp:extent cx="5400675" cy="3600450"/>
            <wp:effectExtent t="0" r="0" b="0" l="0"/>
            <wp:docPr id="1" name="Campus AgroPulse interior" descr="Figura 2. Interior del campus AgroPulse: pantalla de trazabilidad en tiempo real en el lobby corporativo (render conceptual)." title="Campus AgroPulse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600450"/>
                    </a:xfrm>
                    <a:prstGeom prst="rect">
                      <a:avLst/>
                    </a:prstGeom>
                  </pic:spPr>
                </pic:pic>
              </a:graphicData>
            </a:graphic>
          </wp:inline>
        </w:drawing>
      </w:r>
    </w:p>
    <w:p>
      <w:pPr>
        <w:spacing w:after="200"/>
        <w:jc w:val="center"/>
      </w:pPr>
      <w:r>
        <w:rPr>
          <w:i/>
          <w:iCs/>
          <w:color w:val="44514A"/>
          <w:sz w:val="20"/>
          <w:szCs w:val="20"/>
        </w:rPr>
        <w:t xml:space="preserve">Figura 2. Interior del campus AgroPulse: pantalla de trazabilidad en tiempo real en el lobby corporativo (render conceptual).</w:t>
      </w:r>
    </w:p>
    <w:p>
      <w:pPr>
        <w:pStyle w:val="Heading1"/>
        <w:pageBreakBefore/>
      </w:pPr>
      <w:r>
        <w:t xml:space="preserve">Capítulo 7. Diseño de la plataforma</w:t>
      </w:r>
    </w:p>
    <w:p>
      <w:pPr>
        <w:pStyle w:val="Heading2"/>
      </w:pPr>
      <w:r>
        <w:t xml:space="preserve">7.1 Arquitectura de información: mapa de rutas</w:t>
      </w:r>
    </w:p>
    <w:p>
      <w:pPr>
        <w:spacing w:after="120" w:line="276"/>
        <w:jc w:val="both"/>
      </w:pPr>
      <w:r>
        <w:t xml:space="preserve">La plataforma se organiza en torno a los recorridos de sus cuatro roles. El siguiente mapa resume las rutas principales del sitio: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Ruta</w:t>
            </w:r>
          </w:p>
        </w:tc>
        <w:tc>
          <w:tcPr>
            <w:tcW w:type="dxa" w:w="62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Descripción</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Landing con IoT en vivo (SSE), estadísticas, casos y llamados a la acción</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/nosotros</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Perfil del fundador (ULatina), certificaciones y sede con fotos del campus</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/marketplace</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Catálogo de 83 productos + lotes dinámicos, stock EN VIVO, filtros por país, región y categoría</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/marketplace/[id]</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Detalle de producto o lote dinámico, stock live, agregar al carrito</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/carrito</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Cantidades por peso, cupones, descuento de productor, reserva de 2 horas</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/checkout</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Checkout en 4 pasos, métodos de pago por país + Stripe test, descuentos</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/pedidos</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Pestañas Activos/Historial, filtros y búsqueda</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/pedidos/[id]</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Tracking en vivo: línea de tiempo + mapa con camión animado + chat comprador–productor</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/dashboard</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Panel del productor en su moneda local, export a Excel/PDF</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/dashboard/lotes</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CRUD de lotes del productor</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/dashboard/sensores</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IoT en vivo por sensor (SSE)</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/planes</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USD base + selector de 10 monedas + toggle mensual/anual (−15/17 %)</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/paises</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10 países LATAM con mapa</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/casos-de-exito</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30 casos (3 por país) filtrables</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/trazabilidad/[loteId]</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QR público del lote</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/admin/*</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Panel admin: usuarios, pedidos, lotes, logs, notificaciones, previews de email</w:t>
            </w:r>
          </w:p>
        </w:tc>
      </w:tr>
      <w:tr>
        <w:tc>
          <w:tcPr>
            <w:tcW w:type="dxa" w:w="31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/login · /signup · /2fa/* · /perfil</w:t>
            </w:r>
          </w:p>
        </w:tc>
        <w:tc>
          <w:tcPr>
            <w:tcW w:type="dxa" w:w="62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Autenticación completa</w:t>
            </w:r>
          </w:p>
        </w:tc>
      </w:tr>
      <w:tr>
        <w:tc>
          <w:tcPr>
            <w:tcW w:type="dxa" w:w="31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/legal/*</w:t>
            </w:r>
          </w:p>
        </w:tc>
        <w:tc>
          <w:tcPr>
            <w:tcW w:type="dxa" w:w="62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Términos, privacidad, cookies y contacto del DPO</w:t>
            </w:r>
          </w:p>
        </w:tc>
      </w:tr>
    </w:tbl>
    <w:p>
      <w:pPr>
        <w:spacing w:after="160" w:before="60"/>
        <w:jc w:val="center"/>
      </w:pPr>
      <w:r>
        <w:rPr>
          <w:i/>
          <w:iCs/>
          <w:color w:val="44514A"/>
          <w:sz w:val="20"/>
          <w:szCs w:val="20"/>
        </w:rPr>
        <w:t xml:space="preserve">Tabla 9. Mapa de rutas principales de la plataforma.</w:t>
      </w:r>
    </w:p>
    <w:p>
      <w:pPr>
        <w:pStyle w:val="Heading2"/>
      </w:pPr>
      <w:r>
        <w:t xml:space="preserve">7.2 Identidad visual: paleta cromática</w:t>
      </w:r>
    </w:p>
    <w:p>
      <w:pPr>
        <w:spacing w:after="120" w:line="276"/>
        <w:jc w:val="both"/>
      </w:pPr>
      <w:r>
        <w:t xml:space="preserve">La paleta parte del verde como color de marca —evocando cosecha, frescura y sostenibilidad— y la complementa con acentos funcionales para estados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4760"/>
      </w:tblGrid>
      <w:tr>
        <w:trPr>
          <w:tblHeader/>
        </w:trPr>
        <w:tc>
          <w:tcPr>
            <w:tcW w:type="dxa" w:w="29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Token</w:t>
            </w:r>
          </w:p>
        </w:tc>
        <w:tc>
          <w:tcPr>
            <w:tcW w:type="dxa" w:w="17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HEX</w:t>
            </w:r>
          </w:p>
        </w:tc>
        <w:tc>
          <w:tcPr>
            <w:tcW w:type="dxa" w:w="47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Uso</w:t>
            </w:r>
          </w:p>
        </w:tc>
      </w:tr>
      <w:tr>
        <w:tc>
          <w:tcPr>
            <w:tcW w:type="dxa" w:w="2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--brand-primary</w:t>
            </w:r>
          </w:p>
        </w:tc>
        <w:tc>
          <w:tcPr>
            <w:tcW w:type="dxa" w:w="17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#15803D</w:t>
            </w:r>
          </w:p>
        </w:tc>
        <w:tc>
          <w:tcPr>
            <w:tcW w:type="dxa" w:w="4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Verde Cosecha — color principal de marca</w:t>
            </w:r>
          </w:p>
        </w:tc>
      </w:tr>
      <w:tr>
        <w:tc>
          <w:tcPr>
            <w:tcW w:type="dxa" w:w="2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--brand-primary-dark</w:t>
            </w:r>
          </w:p>
        </w:tc>
        <w:tc>
          <w:tcPr>
            <w:tcW w:type="dxa" w:w="17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#14532D</w:t>
            </w:r>
          </w:p>
        </w:tc>
        <w:tc>
          <w:tcPr>
            <w:tcW w:type="dxa" w:w="4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Estados hover y footer</w:t>
            </w:r>
          </w:p>
        </w:tc>
      </w:tr>
      <w:tr>
        <w:tc>
          <w:tcPr>
            <w:tcW w:type="dxa" w:w="2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--brand-accent</w:t>
            </w:r>
          </w:p>
        </w:tc>
        <w:tc>
          <w:tcPr>
            <w:tcW w:type="dxa" w:w="17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#84CC16</w:t>
            </w:r>
          </w:p>
        </w:tc>
        <w:tc>
          <w:tcPr>
            <w:tcW w:type="dxa" w:w="4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Verde Lima — highlights y acentos</w:t>
            </w:r>
          </w:p>
        </w:tc>
      </w:tr>
      <w:tr>
        <w:tc>
          <w:tcPr>
            <w:tcW w:type="dxa" w:w="2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--brand-warm</w:t>
            </w:r>
          </w:p>
        </w:tc>
        <w:tc>
          <w:tcPr>
            <w:tcW w:type="dxa" w:w="17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#F59E0B</w:t>
            </w:r>
          </w:p>
        </w:tc>
        <w:tc>
          <w:tcPr>
            <w:tcW w:type="dxa" w:w="4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Ámbar — alertas suaves</w:t>
            </w:r>
          </w:p>
        </w:tc>
      </w:tr>
      <w:tr>
        <w:tc>
          <w:tcPr>
            <w:tcW w:type="dxa" w:w="2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--brand-danger</w:t>
            </w:r>
          </w:p>
        </w:tc>
        <w:tc>
          <w:tcPr>
            <w:tcW w:type="dxa" w:w="17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#DC2626</w:t>
            </w:r>
          </w:p>
        </w:tc>
        <w:tc>
          <w:tcPr>
            <w:tcW w:type="dxa" w:w="4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Rojo — alertas críticas</w:t>
            </w:r>
          </w:p>
        </w:tc>
      </w:tr>
      <w:tr>
        <w:tc>
          <w:tcPr>
            <w:tcW w:type="dxa" w:w="2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--brand-info</w:t>
            </w:r>
          </w:p>
        </w:tc>
        <w:tc>
          <w:tcPr>
            <w:tcW w:type="dxa" w:w="17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#0EA5E9</w:t>
            </w:r>
          </w:p>
        </w:tc>
        <w:tc>
          <w:tcPr>
            <w:tcW w:type="dxa" w:w="4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Azul — datos IoT</w:t>
            </w:r>
          </w:p>
        </w:tc>
      </w:tr>
      <w:tr>
        <w:tc>
          <w:tcPr>
            <w:tcW w:type="dxa" w:w="29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--brand-ink</w:t>
            </w:r>
          </w:p>
        </w:tc>
        <w:tc>
          <w:tcPr>
            <w:tcW w:type="dxa" w:w="17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#0F172A</w:t>
            </w:r>
          </w:p>
        </w:tc>
        <w:tc>
          <w:tcPr>
            <w:tcW w:type="dxa" w:w="4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Texto principal</w:t>
            </w:r>
          </w:p>
        </w:tc>
      </w:tr>
      <w:tr>
        <w:tc>
          <w:tcPr>
            <w:tcW w:type="dxa" w:w="29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--brand-bg</w:t>
            </w:r>
          </w:p>
        </w:tc>
        <w:tc>
          <w:tcPr>
            <w:tcW w:type="dxa" w:w="17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#FAFAF9</w:t>
            </w:r>
          </w:p>
        </w:tc>
        <w:tc>
          <w:tcPr>
            <w:tcW w:type="dxa" w:w="4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Fondo general</w:t>
            </w:r>
          </w:p>
        </w:tc>
      </w:tr>
    </w:tbl>
    <w:p>
      <w:pPr>
        <w:spacing w:after="160" w:before="60"/>
        <w:jc w:val="center"/>
      </w:pPr>
      <w:r>
        <w:rPr>
          <w:i/>
          <w:iCs/>
          <w:color w:val="44514A"/>
          <w:sz w:val="20"/>
          <w:szCs w:val="20"/>
        </w:rPr>
        <w:t xml:space="preserve">Tabla 10. Paleta cromática y tokens de diseño.</w:t>
      </w:r>
    </w:p>
    <w:p>
      <w:pPr>
        <w:pStyle w:val="Heading2"/>
      </w:pPr>
      <w:r>
        <w:t xml:space="preserve">7.3 Tipografía y principios de UX</w:t>
      </w:r>
    </w:p>
    <w:p>
      <w:pPr>
        <w:spacing w:after="120" w:line="276"/>
        <w:jc w:val="both"/>
      </w:pPr>
      <w:r>
        <w:t xml:space="preserve">La tipografía del sitio es </w:t>
      </w:r>
      <w:r>
        <w:rPr>
          <w:b/>
          <w:bCs/>
        </w:rPr>
        <w:t xml:space="preserve">Geist Sans</w:t>
      </w:r>
      <w:r>
        <w:t xml:space="preserve"> (títulos en pesos 600–700 con tracking ajustado; cuerpo en 400–500) y </w:t>
      </w:r>
      <w:r>
        <w:rPr>
          <w:b/>
          <w:bCs/>
        </w:rPr>
        <w:t xml:space="preserve">Geist Mono</w:t>
      </w:r>
      <w:r>
        <w:t xml:space="preserve"> para códigos de lote, cupones e identificadores técnicos. El diseño sigue cuatro principios de experiencia de usuario:</w:t>
      </w:r>
    </w:p>
    <w:p>
      <w:pPr>
        <w:pStyle w:val="ListParagraph"/>
        <w:numPr>
          <w:ilvl w:val="0"/>
          <w:numId w:val="3"/>
        </w:numPr>
        <w:spacing w:after="60" w:line="276"/>
        <w:jc w:val="both"/>
      </w:pPr>
      <w:r>
        <w:rPr>
          <w:b/>
          <w:bCs/>
        </w:rPr>
        <w:t xml:space="preserve">Datos vivos primero: </w:t>
      </w:r>
      <w:r>
        <w:t xml:space="preserve">el stock, la telemetría y el tracking se muestran en tiempo real; el usuario nunca opera sobre información congelada.</w:t>
      </w:r>
    </w:p>
    <w:p>
      <w:pPr>
        <w:pStyle w:val="ListParagraph"/>
        <w:numPr>
          <w:ilvl w:val="0"/>
          <w:numId w:val="3"/>
        </w:numPr>
        <w:spacing w:after="60" w:line="276"/>
        <w:jc w:val="both"/>
      </w:pPr>
      <w:r>
        <w:rPr>
          <w:b/>
          <w:bCs/>
        </w:rPr>
        <w:t xml:space="preserve">Contexto local: </w:t>
      </w:r>
      <w:r>
        <w:t xml:space="preserve">idioma, moneda, métodos de pago y catálogo se adaptan al país del usuario.</w:t>
      </w:r>
    </w:p>
    <w:p>
      <w:pPr>
        <w:pStyle w:val="ListParagraph"/>
        <w:numPr>
          <w:ilvl w:val="0"/>
          <w:numId w:val="3"/>
        </w:numPr>
        <w:spacing w:after="60" w:line="276"/>
        <w:jc w:val="both"/>
      </w:pPr>
      <w:r>
        <w:rPr>
          <w:b/>
          <w:bCs/>
        </w:rPr>
        <w:t xml:space="preserve">Transparencia transaccional: </w:t>
      </w:r>
      <w:r>
        <w:t xml:space="preserve">cada descuento, comisión y estado del pedido es visible y explicable en pantalla.</w:t>
      </w:r>
    </w:p>
    <w:p>
      <w:pPr>
        <w:pStyle w:val="ListParagraph"/>
        <w:numPr>
          <w:ilvl w:val="0"/>
          <w:numId w:val="3"/>
        </w:numPr>
        <w:spacing w:after="60" w:line="276"/>
        <w:jc w:val="both"/>
      </w:pPr>
      <w:r>
        <w:rPr>
          <w:b/>
          <w:bCs/>
        </w:rPr>
        <w:t xml:space="preserve">Accesibilidad responsiva: </w:t>
      </w:r>
      <w:r>
        <w:t xml:space="preserve">la interfaz opera en móvil y escritorio, con filtros adaptados a pantallas pequeñas y contraste suficiente en todos los tokens de color.</w:t>
      </w:r>
    </w:p>
    <w:p>
      <w:pPr>
        <w:pStyle w:val="Heading1"/>
        <w:pageBreakBefore/>
      </w:pPr>
      <w:r>
        <w:t xml:space="preserve">Capítulo 8. Funcionalidades de la plataforma</w:t>
      </w:r>
    </w:p>
    <w:p>
      <w:pPr>
        <w:pStyle w:val="Heading2"/>
      </w:pPr>
      <w:r>
        <w:t xml:space="preserve">8.1 Flujo de compra completo (E-commerce de extremo a extremo)</w:t>
      </w:r>
    </w:p>
    <w:p>
      <w:pPr>
        <w:spacing w:after="120" w:line="276"/>
        <w:jc w:val="both"/>
      </w:pPr>
      <w:r>
        <w:t xml:space="preserve">El corazón transaccional de AgroPulse es un flujo de compra B2B completo, implementado y operativo en producción:</w:t>
      </w:r>
    </w:p>
    <w:p>
      <w:pPr>
        <w:pStyle w:val="ListParagraph"/>
        <w:numPr>
          <w:ilvl w:val="0"/>
          <w:numId w:val="5"/>
        </w:numPr>
        <w:spacing w:after="60" w:line="276"/>
        <w:jc w:val="both"/>
      </w:pPr>
      <w:r>
        <w:rPr>
          <w:b/>
          <w:bCs/>
        </w:rPr>
        <w:t xml:space="preserve">Registro con país de origen. </w:t>
      </w:r>
      <w:r>
        <w:t xml:space="preserve">Cada cuenta declara su país; la plataforma restringe las compras a productos del propio país, reflejando la lógica sanitaria y logística del comercio de perecederos.</w:t>
      </w:r>
    </w:p>
    <w:p>
      <w:pPr>
        <w:pStyle w:val="ListParagraph"/>
        <w:numPr>
          <w:ilvl w:val="0"/>
          <w:numId w:val="5"/>
        </w:numPr>
        <w:spacing w:after="60" w:line="276"/>
        <w:jc w:val="both"/>
      </w:pPr>
      <w:r>
        <w:rPr>
          <w:b/>
          <w:bCs/>
        </w:rPr>
        <w:t xml:space="preserve">Marketplace con stock en vivo. </w:t>
      </w:r>
      <w:r>
        <w:t xml:space="preserve">Al agregar un producto al carrito se reserva stock por 2 horas; si el pago no se concreta, el inventario se reintegra automáticamente.</w:t>
      </w:r>
    </w:p>
    <w:p>
      <w:pPr>
        <w:pStyle w:val="ListParagraph"/>
        <w:numPr>
          <w:ilvl w:val="0"/>
          <w:numId w:val="5"/>
        </w:numPr>
        <w:spacing w:after="60" w:line="276"/>
        <w:jc w:val="both"/>
      </w:pPr>
      <w:r>
        <w:rPr>
          <w:b/>
          <w:bCs/>
        </w:rPr>
        <w:t xml:space="preserve">Carrito inteligente. </w:t>
      </w:r>
      <w:r>
        <w:t xml:space="preserve">Cantidades por peso o unidad, aplicación de cupones y descuento automático del 8 % para productores compradores.</w:t>
      </w:r>
    </w:p>
    <w:p>
      <w:pPr>
        <w:pStyle w:val="ListParagraph"/>
        <w:numPr>
          <w:ilvl w:val="0"/>
          <w:numId w:val="5"/>
        </w:numPr>
        <w:spacing w:after="60" w:line="276"/>
        <w:jc w:val="both"/>
      </w:pPr>
      <w:r>
        <w:rPr>
          <w:b/>
          <w:bCs/>
        </w:rPr>
        <w:t xml:space="preserve">Checkout en 4 pasos. </w:t>
      </w:r>
      <w:r>
        <w:t xml:space="preserve">Métodos de pago del país (SINPE Móvil CR, SPEI/OXXO MX, PIX BR, Yape PE, entre otros) o Stripe en modo test.</w:t>
      </w:r>
    </w:p>
    <w:p>
      <w:pPr>
        <w:pStyle w:val="ListParagraph"/>
        <w:numPr>
          <w:ilvl w:val="0"/>
          <w:numId w:val="5"/>
        </w:numPr>
        <w:spacing w:after="60" w:line="276"/>
        <w:jc w:val="both"/>
      </w:pPr>
      <w:r>
        <w:rPr>
          <w:b/>
          <w:bCs/>
        </w:rPr>
        <w:t xml:space="preserve">Confirmación. </w:t>
      </w:r>
      <w:r>
        <w:t xml:space="preserve">Correos HTML al cliente y al productor; el stock reservado se descuenta definitivamente.</w:t>
      </w:r>
    </w:p>
    <w:p>
      <w:pPr>
        <w:pStyle w:val="ListParagraph"/>
        <w:numPr>
          <w:ilvl w:val="0"/>
          <w:numId w:val="5"/>
        </w:numPr>
        <w:spacing w:after="60" w:line="276"/>
        <w:jc w:val="both"/>
      </w:pPr>
      <w:r>
        <w:rPr>
          <w:b/>
          <w:bCs/>
        </w:rPr>
        <w:t xml:space="preserve">Tracking. </w:t>
      </w:r>
      <w:r>
        <w:t xml:space="preserve">Siete estados con progresión determinística (nunca retrocede), mapa en vivo con la posición del envío y chat directo con el productor.</w:t>
      </w:r>
    </w:p>
    <w:p>
      <w:pPr>
        <w:pStyle w:val="Heading2"/>
      </w:pPr>
      <w:r>
        <w:t xml:space="preserve">8.2 Dashboard del productor multi-moneda</w:t>
      </w:r>
    </w:p>
    <w:p>
      <w:pPr>
        <w:spacing w:after="120" w:line="276"/>
        <w:jc w:val="both"/>
      </w:pPr>
      <w:r>
        <w:t xml:space="preserve">Cada productor cuenta con un panel personalizado que consolida sus ventas, lotes activos, alertas IoT y KPIs, expresados en su moneda local mediante conversión dinámica. Desde el mismo panel el productor publica y administra sus lotes (CRUD completo), consulta la telemetría de sus sensores en vivo y exporta reportes a Excel y PDF. Esta autonomía convierte al productor en operador de su propio canal digital, sin depender de intermediarios técnicos.</w:t>
      </w:r>
    </w:p>
    <w:p>
      <w:pPr>
        <w:pStyle w:val="Heading2"/>
      </w:pPr>
      <w:r>
        <w:t xml:space="preserve">8.3 Panel de administración con auditoría</w:t>
      </w:r>
    </w:p>
    <w:p>
      <w:pPr>
        <w:spacing w:after="120" w:line="276"/>
        <w:jc w:val="both"/>
      </w:pPr>
      <w:r>
        <w:t xml:space="preserve">El rol admin dispone de un panel integral: gestión de usuarios y roles, supervisión de pedidos y lotes, notificaciones, previsualización de las plantillas de correo y —pieza clave de gobernanza— el log de auditoría con todas las acciones sensibles de la plataforma, con actor, acción, recurso y marca temporal. Esta trazabilidad interna complementa la trazabilidad de producto y sustenta el cumplimiento de buenas prácticas de seguridad de la información (ISO/IEC 27001:2022).</w:t>
      </w:r>
    </w:p>
    <w:p>
      <w:pPr>
        <w:pStyle w:val="Heading2"/>
      </w:pPr>
      <w:r>
        <w:t xml:space="preserve">8.4 Cuentas de demostración</w:t>
      </w:r>
    </w:p>
    <w:p>
      <w:pPr>
        <w:spacing w:after="120" w:line="276"/>
        <w:jc w:val="both"/>
      </w:pPr>
      <w:r>
        <w:t xml:space="preserve">Para la evaluación académica, la plataforma incluye cuentas demo que permiten recorrer los cuatro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Email</w:t>
            </w:r>
          </w:p>
        </w:tc>
        <w:tc>
          <w:tcPr>
            <w:tcW w:type="dxa" w:w="26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Contraseña</w:t>
            </w:r>
          </w:p>
        </w:tc>
        <w:tc>
          <w:tcPr>
            <w:tcW w:type="dxa" w:w="33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Rol</w:t>
            </w:r>
          </w:p>
        </w:tc>
      </w:tr>
      <w:tr>
        <w:tc>
          <w:tcPr>
            <w:tcW w:type="dxa" w:w="3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admin@agropulse.cr</w:t>
            </w:r>
          </w:p>
        </w:tc>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Admin#2026</w:t>
            </w:r>
          </w:p>
        </w:tc>
        <w:tc>
          <w:tcPr>
            <w:tcW w:type="dxa" w:w="33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Admin</w:t>
            </w:r>
          </w:p>
        </w:tc>
      </w:tr>
      <w:tr>
        <w:tc>
          <w:tcPr>
            <w:tcW w:type="dxa" w:w="3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sofia@tarrazu.cr</w:t>
            </w:r>
          </w:p>
        </w:tc>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Productor#2026</w:t>
            </w:r>
          </w:p>
        </w:tc>
        <w:tc>
          <w:tcPr>
            <w:tcW w:type="dxa" w:w="33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Productor (Costa Rica)</w:t>
            </w:r>
          </w:p>
        </w:tc>
      </w:tr>
      <w:tr>
        <w:tc>
          <w:tcPr>
            <w:tcW w:type="dxa" w:w="3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raul@uruapan.mx</w:t>
            </w:r>
          </w:p>
        </w:tc>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Productor#2026</w:t>
            </w:r>
          </w:p>
        </w:tc>
        <w:tc>
          <w:tcPr>
            <w:tcW w:type="dxa" w:w="33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Productor (México)</w:t>
            </w:r>
          </w:p>
        </w:tc>
      </w:tr>
      <w:tr>
        <w:tc>
          <w:tcPr>
            <w:tcW w:type="dxa" w:w="3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maria@cliente.cr</w:t>
            </w:r>
          </w:p>
        </w:tc>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Cliente#2026</w:t>
            </w:r>
          </w:p>
        </w:tc>
        <w:tc>
          <w:tcPr>
            <w:tcW w:type="dxa" w:w="33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Cliente (Costa Rica)</w:t>
            </w:r>
          </w:p>
        </w:tc>
      </w:tr>
      <w:tr>
        <w:tc>
          <w:tcPr>
            <w:tcW w:type="dxa" w:w="34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carlos@cliente.co</w:t>
            </w:r>
          </w:p>
        </w:tc>
        <w:tc>
          <w:tcPr>
            <w:tcW w:type="dxa" w:w="2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Cliente#2026</w:t>
            </w:r>
          </w:p>
        </w:tc>
        <w:tc>
          <w:tcPr>
            <w:tcW w:type="dxa" w:w="33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Cliente (Colombia)</w:t>
            </w:r>
          </w:p>
        </w:tc>
      </w:tr>
      <w:tr>
        <w:tc>
          <w:tcPr>
            <w:tcW w:type="dxa" w:w="34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diego@logistica.cr</w:t>
            </w:r>
          </w:p>
        </w:tc>
        <w:tc>
          <w:tcPr>
            <w:tcW w:type="dxa" w:w="2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Logistica#2026</w:t>
            </w:r>
          </w:p>
        </w:tc>
        <w:tc>
          <w:tcPr>
            <w:tcW w:type="dxa" w:w="33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Logística (Costa Rica)</w:t>
            </w:r>
          </w:p>
        </w:tc>
      </w:tr>
    </w:tbl>
    <w:p>
      <w:pPr>
        <w:spacing w:after="160" w:before="60"/>
        <w:jc w:val="center"/>
      </w:pPr>
      <w:r>
        <w:rPr>
          <w:i/>
          <w:iCs/>
          <w:color w:val="44514A"/>
          <w:sz w:val="20"/>
          <w:szCs w:val="20"/>
        </w:rPr>
        <w:t xml:space="preserve">Tabla 11. Cuentas de demostración disponibles en producción.</w:t>
      </w:r>
    </w:p>
    <w:p>
      <w:pPr>
        <w:pStyle w:val="Heading1"/>
        <w:pageBreakBefore/>
      </w:pPr>
      <w:r>
        <w:t xml:space="preserve">Capítulo 9. Resultados e indicadores</w:t>
      </w:r>
    </w:p>
    <w:p>
      <w:pPr>
        <w:pStyle w:val="Heading2"/>
      </w:pPr>
      <w:r>
        <w:t xml:space="preserve">9.1 KPIs proyectados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Indicador clave (KPI)</w:t>
            </w:r>
          </w:p>
        </w:tc>
        <w:tc>
          <w:tcPr>
            <w:tcW w:type="dxa" w:w="4760"/>
            <w:tcBorders>
              <w:top w:val="single" w:color="C8D3C8" w:sz="4"/>
              <w:left w:val="single" w:color="C8D3C8" w:sz="4"/>
              <w:bottom w:val="single" w:color="C8D3C8" w:sz="4"/>
              <w:right w:val="single" w:color="C8D3C8" w:sz="4"/>
            </w:tcBorders>
            <w:shd w:fill="15803D" w:val="clear"/>
            <w:tcMar>
              <w:top w:type="dxa" w:w="60"/>
              <w:left w:type="dxa" w:w="110"/>
              <w:bottom w:type="dxa" w:w="60"/>
              <w:right w:type="dxa" w:w="110"/>
            </w:tcMar>
            <w:vAlign w:val="center"/>
          </w:tcPr>
          <w:p>
            <w:pPr>
              <w:spacing w:after="0" w:line="240"/>
              <w:jc w:val="left"/>
            </w:pPr>
            <w:r>
              <w:rPr>
                <w:b/>
                <w:bCs/>
                <w:color w:val="FFFFFF"/>
                <w:sz w:val="21"/>
                <w:szCs w:val="21"/>
              </w:rPr>
              <w:t xml:space="preserve">Meta</w:t>
            </w:r>
          </w:p>
        </w:tc>
      </w:tr>
      <w:tr>
        <w:tc>
          <w:tcPr>
            <w:tcW w:type="dxa" w:w="4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Reducción de mermas post-cosecha</w:t>
            </w:r>
          </w:p>
        </w:tc>
        <w:tc>
          <w:tcPr>
            <w:tcW w:type="dxa" w:w="4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30 % en el año 1; 45 % en el año 3</w:t>
            </w:r>
          </w:p>
        </w:tc>
      </w:tr>
      <w:tr>
        <w:tc>
          <w:tcPr>
            <w:tcW w:type="dxa" w:w="4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Productores onboarded</w:t>
            </w:r>
          </w:p>
        </w:tc>
        <w:tc>
          <w:tcPr>
            <w:tcW w:type="dxa" w:w="4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500 en el año 1 (Costa Rica); 5,000 en el año 3 (LATAM)</w:t>
            </w:r>
          </w:p>
        </w:tc>
      </w:tr>
      <w:tr>
        <w:tc>
          <w:tcPr>
            <w:tcW w:type="dxa" w:w="4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GMV anual proyectado</w:t>
            </w:r>
          </w:p>
        </w:tc>
        <w:tc>
          <w:tcPr>
            <w:tcW w:type="dxa" w:w="4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USD 12 M en el año 1; USD 80 M en el año 3</w:t>
            </w:r>
          </w:p>
        </w:tc>
      </w:tr>
      <w:tr>
        <w:tc>
          <w:tcPr>
            <w:tcW w:type="dxa" w:w="460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bCs/>
                <w:sz w:val="21"/>
                <w:szCs w:val="21"/>
              </w:rPr>
              <w:t xml:space="preserve">Cobertura geográfica</w:t>
            </w:r>
          </w:p>
        </w:tc>
        <w:tc>
          <w:tcPr>
            <w:tcW w:type="dxa" w:w="4760"/>
            <w:tcBorders>
              <w:top w:val="single" w:color="C8D3C8" w:sz="4"/>
              <w:left w:val="single" w:color="C8D3C8" w:sz="4"/>
              <w:bottom w:val="single" w:color="C8D3C8" w:sz="4"/>
              <w:right w:val="single" w:color="C8D3C8" w:sz="4"/>
            </w:tcBorders>
            <w:shd w:fill="F4F9F5" w:val="clear"/>
            <w:tcMar>
              <w:top w:type="dxa" w:w="60"/>
              <w:left w:type="dxa" w:w="110"/>
              <w:bottom w:type="dxa" w:w="60"/>
              <w:right w:type="dxa" w:w="110"/>
            </w:tcMar>
            <w:vAlign w:val="center"/>
          </w:tcPr>
          <w:p>
            <w:pPr>
              <w:spacing w:after="0" w:line="240"/>
              <w:jc w:val="left"/>
            </w:pPr>
            <w:r>
              <w:rPr>
                <w:b w:val="false"/>
                <w:bCs w:val="false"/>
                <w:sz w:val="21"/>
                <w:szCs w:val="21"/>
              </w:rPr>
              <w:t xml:space="preserve">10 países, 10 monedas locales</w:t>
            </w:r>
          </w:p>
        </w:tc>
      </w:tr>
      <w:tr>
        <w:tc>
          <w:tcPr>
            <w:tcW w:type="dxa" w:w="460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bCs/>
                <w:sz w:val="21"/>
                <w:szCs w:val="21"/>
              </w:rPr>
              <w:t xml:space="preserve">Mercado direccionable</w:t>
            </w:r>
          </w:p>
        </w:tc>
        <w:tc>
          <w:tcPr>
            <w:tcW w:type="dxa" w:w="4760"/>
            <w:tcBorders>
              <w:top w:val="single" w:color="C8D3C8" w:sz="4"/>
              <w:left w:val="single" w:color="C8D3C8" w:sz="4"/>
              <w:bottom w:val="single" w:color="C8D3C8" w:sz="4"/>
              <w:right w:val="single" w:color="C8D3C8" w:sz="4"/>
            </w:tcBorders>
            <w:tcMar>
              <w:top w:type="dxa" w:w="60"/>
              <w:left w:type="dxa" w:w="110"/>
              <w:bottom w:type="dxa" w:w="60"/>
              <w:right w:type="dxa" w:w="110"/>
            </w:tcMar>
            <w:vAlign w:val="center"/>
          </w:tcPr>
          <w:p>
            <w:pPr>
              <w:spacing w:after="0" w:line="240"/>
              <w:jc w:val="left"/>
            </w:pPr>
            <w:r>
              <w:rPr>
                <w:b w:val="false"/>
                <w:bCs w:val="false"/>
                <w:sz w:val="21"/>
                <w:szCs w:val="21"/>
              </w:rPr>
              <w:t xml:space="preserve">64,000+ productores en LATAM</w:t>
            </w:r>
          </w:p>
        </w:tc>
      </w:tr>
    </w:tbl>
    <w:p>
      <w:pPr>
        <w:spacing w:after="160" w:before="60"/>
        <w:jc w:val="center"/>
      </w:pPr>
      <w:r>
        <w:rPr>
          <w:i/>
          <w:iCs/>
          <w:color w:val="44514A"/>
          <w:sz w:val="20"/>
          <w:szCs w:val="20"/>
        </w:rPr>
        <w:t xml:space="preserve">Tabla 12. KPIs proyectados del proyecto.</w:t>
      </w:r>
    </w:p>
    <w:p>
      <w:pPr>
        <w:pStyle w:val="Heading2"/>
      </w:pPr>
      <w:r>
        <w:t xml:space="preserve">9.2 Casos de éxito</w:t>
      </w:r>
    </w:p>
    <w:p>
      <w:pPr>
        <w:spacing w:after="120" w:line="276"/>
        <w:jc w:val="both"/>
      </w:pPr>
      <w:r>
        <w:t xml:space="preserve">La plataforma documenta </w:t>
      </w:r>
      <w:r>
        <w:rPr>
          <w:b/>
          <w:bCs/>
        </w:rPr>
        <w:t xml:space="preserve">30 casos de éxito</w:t>
      </w:r>
      <w:r>
        <w:t xml:space="preserve"> —tres por cada uno de los diez países— consultables y filtrables en la ruta /casos-de-exito. Los casos cubren cadenas de café, piña, banano, hortalizas, frutas tropicales y berries, y promedian una </w:t>
      </w:r>
      <w:r>
        <w:rPr>
          <w:b/>
          <w:bCs/>
        </w:rPr>
        <w:t xml:space="preserve">reducción de mermas del 30 %</w:t>
      </w:r>
      <w:r>
        <w:t xml:space="preserve">, en línea con el objetivo general. Cada caso detalla el punto de partida del productor, la intervención (sensores instalados, canales de venta abiertos) y el resultado cuantificado, lo que convierte la promesa de valor en evidencia narrativa verificable dentro del propio sitio.</w:t>
      </w:r>
    </w:p>
    <w:p>
      <w:pPr>
        <w:pStyle w:val="Heading2"/>
      </w:pPr>
      <w:r>
        <w:t xml:space="preserve">9.3 Alineamiento con los Objetivos de Desarrollo Sostenible</w:t>
      </w:r>
    </w:p>
    <w:p>
      <w:pPr>
        <w:spacing w:after="120" w:line="276"/>
        <w:jc w:val="both"/>
      </w:pPr>
      <w:r>
        <w:t xml:space="preserve">El impacto del proyecto se alinea con tres Objetivos de Desarrollo Sostenible de la Agenda 2030:</w:t>
      </w:r>
    </w:p>
    <w:p>
      <w:pPr>
        <w:pStyle w:val="ListParagraph"/>
        <w:numPr>
          <w:ilvl w:val="0"/>
          <w:numId w:val="3"/>
        </w:numPr>
        <w:spacing w:after="60" w:line="276"/>
        <w:jc w:val="both"/>
      </w:pPr>
      <w:r>
        <w:rPr>
          <w:b/>
          <w:bCs/>
        </w:rPr>
        <w:t xml:space="preserve">ODS 2 — Hambre cero: </w:t>
      </w:r>
      <w:r>
        <w:t xml:space="preserve">recuperar más de un tercio de la producción perecedera aumenta la disponibilidad de alimentos sin ampliar la frontera agrícola.</w:t>
      </w:r>
    </w:p>
    <w:p>
      <w:pPr>
        <w:pStyle w:val="ListParagraph"/>
        <w:numPr>
          <w:ilvl w:val="0"/>
          <w:numId w:val="3"/>
        </w:numPr>
        <w:spacing w:after="60" w:line="276"/>
        <w:jc w:val="both"/>
      </w:pPr>
      <w:r>
        <w:rPr>
          <w:b/>
          <w:bCs/>
        </w:rPr>
        <w:t xml:space="preserve">ODS 12 — Producción y consumo responsables: </w:t>
      </w:r>
      <w:r>
        <w:t xml:space="preserve">la meta 12.3 exige reducir a la mitad el desperdicio de alimentos al 2030; la reducción de mermas es la contribución directa de AgroPulse.</w:t>
      </w:r>
    </w:p>
    <w:p>
      <w:pPr>
        <w:pStyle w:val="ListParagraph"/>
        <w:numPr>
          <w:ilvl w:val="0"/>
          <w:numId w:val="3"/>
        </w:numPr>
        <w:spacing w:after="60" w:line="276"/>
        <w:jc w:val="both"/>
      </w:pPr>
      <w:r>
        <w:rPr>
          <w:b/>
          <w:bCs/>
        </w:rPr>
        <w:t xml:space="preserve">ODS 13 — Acción por el clima: </w:t>
      </w:r>
      <w:r>
        <w:t xml:space="preserve">cada tonelada no desperdiciada evita las emisiones asociadas a producir, transportar y descomponer alimentos que nadie consume.</w:t>
      </w:r>
    </w:p>
    <w:p>
      <w:pPr>
        <w:pStyle w:val="Heading1"/>
        <w:pageBreakBefore/>
      </w:pPr>
      <w:r>
        <w:t xml:space="preserve">Conclusiones</w:t>
      </w:r>
    </w:p>
    <w:p>
      <w:pPr>
        <w:spacing w:after="120" w:line="276"/>
        <w:jc w:val="both"/>
      </w:pPr>
      <w:r>
        <w:t xml:space="preserve">El proyecto AgroPulse demuestra que un problema estructural del agro latinoamericano —la pérdida de más de un tercio de la producción perecedera— puede abordarse con una plataforma E-business construida con tecnologías accesibles y arquitectura moderna. Las conclusiones principales son:</w:t>
      </w:r>
    </w:p>
    <w:p>
      <w:pPr>
        <w:pStyle w:val="ListParagraph"/>
        <w:numPr>
          <w:ilvl w:val="0"/>
          <w:numId w:val="6"/>
        </w:numPr>
        <w:spacing w:after="60" w:line="276"/>
        <w:jc w:val="both"/>
      </w:pPr>
      <w:r>
        <w:rPr>
          <w:b/>
          <w:bCs/>
        </w:rPr>
        <w:t xml:space="preserve">El e-business supera al e-commerce como marco de solución. </w:t>
      </w:r>
      <w:r>
        <w:t xml:space="preserve">La transacción es solo el punto medio de la cadena de valor; el impacto real proviene de digitalizar lo que ocurre antes (monitoreo IoT, pronóstico) y después (reserva de stock, logística, trazabilidad) de la compra.</w:t>
      </w:r>
    </w:p>
    <w:p>
      <w:pPr>
        <w:pStyle w:val="ListParagraph"/>
        <w:numPr>
          <w:ilvl w:val="0"/>
          <w:numId w:val="6"/>
        </w:numPr>
        <w:spacing w:after="60" w:line="276"/>
        <w:jc w:val="both"/>
      </w:pPr>
      <w:r>
        <w:rPr>
          <w:b/>
          <w:bCs/>
        </w:rPr>
        <w:t xml:space="preserve">La implementación completa valida la viabilidad técnica. </w:t>
      </w:r>
      <w:r>
        <w:t xml:space="preserve">La plataforma opera en producción con persistencia PostgreSQL real, autenticación con cuatro roles y 2FA, tiempo real vía SSE, pagos de prueba, correos transaccionales y pruebas E2E automatizadas: los seis objetivos específicos se corresponden con módulos funcionando.</w:t>
      </w:r>
    </w:p>
    <w:p>
      <w:pPr>
        <w:pStyle w:val="ListParagraph"/>
        <w:numPr>
          <w:ilvl w:val="0"/>
          <w:numId w:val="6"/>
        </w:numPr>
        <w:spacing w:after="60" w:line="276"/>
        <w:jc w:val="both"/>
      </w:pPr>
      <w:r>
        <w:rPr>
          <w:b/>
          <w:bCs/>
        </w:rPr>
        <w:t xml:space="preserve">Las decisiones de arquitectura respondieron al contexto. </w:t>
      </w:r>
      <w:r>
        <w:t xml:space="preserve">La elección de SSE sobre WebSockets para el tiempo real en un entorno serverless, la reserva de stock con vencimiento de 2 horas y la progresión determinística de pedidos resuelven problemas reales del dominio perecedero con soluciones simples y verificables.</w:t>
      </w:r>
    </w:p>
    <w:p>
      <w:pPr>
        <w:pStyle w:val="ListParagraph"/>
        <w:numPr>
          <w:ilvl w:val="0"/>
          <w:numId w:val="6"/>
        </w:numPr>
        <w:spacing w:after="60" w:line="276"/>
        <w:jc w:val="both"/>
      </w:pPr>
      <w:r>
        <w:rPr>
          <w:b/>
          <w:bCs/>
        </w:rPr>
        <w:t xml:space="preserve">El modelo de negocio es diversificado y escalable. </w:t>
      </w:r>
      <w:r>
        <w:t xml:space="preserve">La combinación de comisión del 4 %, SaaS por suscripción y servicios logísticos y premium reduce la dependencia de una sola fuente de ingresos y alinea los incentivos de la plataforma con los del productor.</w:t>
      </w:r>
    </w:p>
    <w:p>
      <w:pPr>
        <w:pStyle w:val="ListParagraph"/>
        <w:numPr>
          <w:ilvl w:val="0"/>
          <w:numId w:val="6"/>
        </w:numPr>
        <w:spacing w:after="60" w:line="276"/>
        <w:jc w:val="both"/>
      </w:pPr>
      <w:r>
        <w:rPr>
          <w:b/>
          <w:bCs/>
        </w:rPr>
        <w:t xml:space="preserve">La seguridad y la trazabilidad son ventajas competitivas, no costos. </w:t>
      </w:r>
      <w:r>
        <w:t xml:space="preserve">El RBAC, el rate limiting, la auditoría y el QR público de lote generan la confianza que un marketplace B2B de alimentos necesita para operar.</w:t>
      </w:r>
    </w:p>
    <w:p>
      <w:pPr>
        <w:spacing w:after="120" w:line="276"/>
        <w:jc w:val="both"/>
      </w:pPr>
      <w:r>
        <w:t xml:space="preserve">En conjunto, el proyecto cumple los objetivos planteados para la materia Comercio y Negocios Digitales: concebir un negocio digital completo y demostrar su factibilidad mediante una implementación real, documentada y desplegada.</w:t>
      </w:r>
    </w:p>
    <w:p>
      <w:pPr>
        <w:pStyle w:val="Heading1"/>
        <w:pageBreakBefore/>
      </w:pPr>
      <w:r>
        <w:t xml:space="preserve">Recomendaciones y trabajo futuro</w:t>
      </w:r>
    </w:p>
    <w:p>
      <w:pPr>
        <w:spacing w:after="120" w:line="276"/>
        <w:jc w:val="both"/>
      </w:pPr>
      <w:r>
        <w:t xml:space="preserve">De cara a la evolución de AgroPulse hacia una operación comercial real, se recomiendan las siguientes líneas de trabajo:</w:t>
      </w:r>
    </w:p>
    <w:p>
      <w:pPr>
        <w:pStyle w:val="ListParagraph"/>
        <w:numPr>
          <w:ilvl w:val="0"/>
          <w:numId w:val="3"/>
        </w:numPr>
        <w:spacing w:after="60" w:line="276"/>
        <w:jc w:val="both"/>
      </w:pPr>
      <w:r>
        <w:rPr>
          <w:b/>
          <w:bCs/>
        </w:rPr>
        <w:t xml:space="preserve">Pasarela de pagos productiva: </w:t>
      </w:r>
      <w:r>
        <w:t xml:space="preserve">migrar de Stripe en modo test a una integración productiva con adquirencia local (SINPE Móvil real vía BCCR, agregadores como dLocal o Kushki para el resto de LATAM), con conciliación automática y manejo de disputas.</w:t>
      </w:r>
    </w:p>
    <w:p>
      <w:pPr>
        <w:pStyle w:val="ListParagraph"/>
        <w:numPr>
          <w:ilvl w:val="0"/>
          <w:numId w:val="3"/>
        </w:numPr>
        <w:spacing w:after="60" w:line="276"/>
        <w:jc w:val="both"/>
      </w:pPr>
      <w:r>
        <w:rPr>
          <w:b/>
          <w:bCs/>
        </w:rPr>
        <w:t xml:space="preserve">Aplicación PWA: </w:t>
      </w:r>
      <w:r>
        <w:t xml:space="preserve">empaquetar la plataforma como Progressive Web App con modo offline para las zonas rurales de conectividad intermitente, sincronizando lotes y lecturas de sensores al recuperar señal.</w:t>
      </w:r>
    </w:p>
    <w:p>
      <w:pPr>
        <w:pStyle w:val="ListParagraph"/>
        <w:numPr>
          <w:ilvl w:val="0"/>
          <w:numId w:val="3"/>
        </w:numPr>
        <w:spacing w:after="60" w:line="276"/>
        <w:jc w:val="both"/>
      </w:pPr>
      <w:r>
        <w:rPr>
          <w:b/>
          <w:bCs/>
        </w:rPr>
        <w:t xml:space="preserve">Reseñas verificadas: </w:t>
      </w:r>
      <w:r>
        <w:t xml:space="preserve">habilitar reviews de compradores vinculadas a pedidos entregados (compra verificada), fortaleciendo la reputación de los productores dentro del marketplace.</w:t>
      </w:r>
    </w:p>
    <w:p>
      <w:pPr>
        <w:pStyle w:val="ListParagraph"/>
        <w:numPr>
          <w:ilvl w:val="0"/>
          <w:numId w:val="3"/>
        </w:numPr>
        <w:spacing w:after="60" w:line="276"/>
        <w:jc w:val="both"/>
      </w:pPr>
      <w:r>
        <w:rPr>
          <w:b/>
          <w:bCs/>
        </w:rPr>
        <w:t xml:space="preserve">Pilotaje de sensores físicos: </w:t>
      </w:r>
      <w:r>
        <w:t xml:space="preserve">desplegar un piloto LoRaWAN con productores del Valle Central para sustituir la telemetría simulada por datos reales y calibrar los modelos de vida útil.</w:t>
      </w:r>
    </w:p>
    <w:p>
      <w:pPr>
        <w:pStyle w:val="ListParagraph"/>
        <w:numPr>
          <w:ilvl w:val="0"/>
          <w:numId w:val="3"/>
        </w:numPr>
        <w:spacing w:after="60" w:line="276"/>
        <w:jc w:val="both"/>
      </w:pPr>
      <w:r>
        <w:rPr>
          <w:b/>
          <w:bCs/>
        </w:rPr>
        <w:t xml:space="preserve">Modelos predictivos en producción: </w:t>
      </w:r>
      <w:r>
        <w:t xml:space="preserve">entrenar y servir los modelos de demanda (XGBoost/Prophet) con los datos transaccionales acumulados por la propia plataforma.</w:t>
      </w:r>
    </w:p>
    <w:p>
      <w:pPr>
        <w:pStyle w:val="ListParagraph"/>
        <w:numPr>
          <w:ilvl w:val="0"/>
          <w:numId w:val="3"/>
        </w:numPr>
        <w:spacing w:after="60" w:line="276"/>
        <w:jc w:val="both"/>
      </w:pPr>
      <w:r>
        <w:rPr>
          <w:b/>
          <w:bCs/>
        </w:rPr>
        <w:t xml:space="preserve">Certificación de seguridad: </w:t>
      </w:r>
      <w:r>
        <w:t xml:space="preserve">formalizar un SGSI y auditar la plataforma contra ISO/IEC 27001, convirtiendo las prácticas ya implementadas en una certificación exhibible ante clientes corporativos.</w:t>
      </w:r>
    </w:p>
    <w:p>
      <w:pPr>
        <w:pStyle w:val="Heading1"/>
        <w:pageBreakBefore/>
      </w:pPr>
      <w:r>
        <w:t xml:space="preserve">Referencias</w:t>
      </w:r>
    </w:p>
    <w:p>
      <w:pPr>
        <w:spacing w:after="140" w:line="276"/>
        <w:ind w:left="480" w:hanging="480"/>
        <w:jc w:val="left"/>
      </w:pPr>
      <w:r>
        <w:t xml:space="preserve">Banco Mundial. (2024). Reducing food loss for sustainable food systems. World Bank Group.</w:t>
      </w:r>
    </w:p>
    <w:p>
      <w:pPr>
        <w:spacing w:after="140" w:line="276"/>
        <w:ind w:left="480" w:hanging="480"/>
        <w:jc w:val="left"/>
      </w:pPr>
      <w:r>
        <w:t xml:space="preserve">CEPAL. (2024). Comercio electrónico y transformación digital en América Latina. Comisión Económica para América Latina y el Caribe.</w:t>
      </w:r>
    </w:p>
    <w:p>
      <w:pPr>
        <w:spacing w:after="140" w:line="276"/>
        <w:ind w:left="480" w:hanging="480"/>
        <w:jc w:val="left"/>
      </w:pPr>
      <w:r>
        <w:t xml:space="preserve">Chaffey, D. (2022). Digital business and e-commerce management (7.ª ed.). Pearson.</w:t>
      </w:r>
    </w:p>
    <w:p>
      <w:pPr>
        <w:spacing w:after="140" w:line="276"/>
        <w:ind w:left="480" w:hanging="480"/>
        <w:jc w:val="left"/>
      </w:pPr>
      <w:r>
        <w:t xml:space="preserve">Deloitte. (2024). IoT in agriculture: Market outlook. Deloitte Insights.</w:t>
      </w:r>
    </w:p>
    <w:p>
      <w:pPr>
        <w:spacing w:after="140" w:line="276"/>
        <w:ind w:left="480" w:hanging="480"/>
        <w:jc w:val="left"/>
      </w:pPr>
      <w:r>
        <w:t xml:space="preserve">FAO. (2023). The state of food and agriculture: Food loss and waste. Organización de las Naciones Unidas para la Alimentación y la Agricultura.</w:t>
      </w:r>
    </w:p>
    <w:p>
      <w:pPr>
        <w:spacing w:after="140" w:line="276"/>
        <w:ind w:left="480" w:hanging="480"/>
        <w:jc w:val="left"/>
      </w:pPr>
      <w:r>
        <w:t xml:space="preserve">ISO/IEC. (2022). ISO/IEC 27001:2022 — Information security, cybersecurity and privacy protection: Information security management systems. International Organization for Standardization.</w:t>
      </w:r>
    </w:p>
    <w:p>
      <w:pPr>
        <w:spacing w:after="140" w:line="276"/>
        <w:ind w:left="480" w:hanging="480"/>
        <w:jc w:val="left"/>
      </w:pPr>
      <w:r>
        <w:t xml:space="preserve">Laudon, K. C., &amp; Traver, C. G. (2024). E-commerce: Business, technology, society (17.ª ed.). Pearson.</w:t>
      </w:r>
    </w:p>
    <w:p>
      <w:pPr>
        <w:spacing w:after="140" w:line="276"/>
        <w:ind w:left="480" w:hanging="480"/>
        <w:jc w:val="left"/>
      </w:pPr>
      <w:r>
        <w:t xml:space="preserve">MAG Costa Rica. (2024). Diagnóstico de pérdidas post-cosecha en el sector hortifrutícola. Ministerio de Agricultura y Ganadería de Costa Rica.</w:t>
      </w:r>
    </w:p>
    <w:p>
      <w:pPr>
        <w:spacing w:after="140" w:line="276"/>
        <w:ind w:left="480" w:hanging="480"/>
        <w:jc w:val="left"/>
      </w:pPr>
      <w:r>
        <w:t xml:space="preserve">McKinsey &amp; Company. (2023). Agriculture 4.0: The future of AgriTech in Latin America. McKinsey Global Publishing.</w:t>
      </w:r>
    </w:p>
    <w:p>
      <w:pPr>
        <w:spacing w:after="140" w:line="276"/>
        <w:ind w:left="480" w:hanging="480"/>
        <w:jc w:val="left"/>
      </w:pPr>
      <w:r>
        <w:t xml:space="preserve">Osterwalder, A., &amp; Pigneur, Y. (2010). Business model generation. John Wiley &amp; Sons.</w:t>
      </w:r>
    </w:p>
    <w:p>
      <w:pPr>
        <w:spacing w:after="140" w:line="276"/>
        <w:ind w:left="480" w:hanging="480"/>
        <w:jc w:val="left"/>
      </w:pPr>
      <w:r>
        <w:t xml:space="preserve">OWASP. (2025). OWASP top ten: Web application security risks. Open Worldwide Application Security Project.</w:t>
      </w:r>
    </w:p>
    <w:p>
      <w:pPr>
        <w:spacing w:after="140" w:line="276"/>
        <w:ind w:left="480" w:hanging="480"/>
        <w:jc w:val="left"/>
      </w:pPr>
      <w:r>
        <w:t xml:space="preserve">Supabase. (2026). PostgreSQL for modern applications [Documentación técnica]. Supabase Inc.</w:t>
      </w:r>
    </w:p>
    <w:p>
      <w:pPr>
        <w:spacing w:after="140" w:line="276"/>
        <w:ind w:left="480" w:hanging="480"/>
        <w:jc w:val="left"/>
      </w:pPr>
      <w:r>
        <w:t xml:space="preserve">Vercel. (2026). Serverless streaming architectures [Documentación técnica]. Vercel Inc.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5803D" w:sz="4" w:space="4"/>
      </w:pBdr>
      <w:tabs>
        <w:tab w:val="right" w:pos="9026"/>
      </w:tabs>
      <w:spacing w:after="0"/>
    </w:pPr>
    <w:r>
      <w:rPr>
        <w:color w:val="44514A"/>
        <w:sz w:val="18"/>
        <w:szCs w:val="18"/>
      </w:rPr>
      <w:t xml:space="preserve">AgroPulse — Proyecto final - Comercio y Negocios Digitales</w:t>
    </w:r>
    <w:r>
      <w:rPr>
        <w:sz w:val="18"/>
        <w:szCs w:val="18"/>
      </w:rPr>
      <w:t xml:space="preserve">	</w:t>
    </w:r>
    <w:r>
      <w:rPr>
        <w:color w:val="44514A"/>
        <w:sz w:val="18"/>
        <w:szCs w:val="18"/>
      </w:rPr>
      <w:t xml:space="preserve">Página </w:t>
    </w:r>
    <w:r>
      <w:rPr>
        <w:color w:val="44514A"/>
        <w:sz w:val="18"/>
        <w:szCs w:val="18"/>
      </w:rPr>
      <w:fldChar w:fldCharType="begin"/>
      <w:instrText xml:space="preserve">PAGE</w:instrText>
      <w:fldChar w:fldCharType="separate"/>
      <w:fldChar w:fldCharType="end"/>
    </w:r>
    <w:r>
      <w:rPr>
        <w:color w:val="44514A"/>
        <w:sz w:val="18"/>
        <w:szCs w:val="18"/>
      </w:rPr>
      <w:t xml:space="preserve"> de </w:t>
    </w:r>
    <w:r>
      <w:rPr>
        <w:color w:val="4451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5803D" w:sz="4" w:space="4"/>
      </w:pBdr>
      <w:spacing w:after="0"/>
      <w:jc w:val="right"/>
    </w:pPr>
    <w:r>
      <w:rPr>
        <w:b/>
        <w:bCs/>
        <w:color w:val="15803D"/>
        <w:sz w:val="18"/>
        <w:szCs w:val="18"/>
      </w:rPr>
      <w:t xml:space="preserve">AgroPulse</w:t>
    </w:r>
    <w:r>
      <w:rPr>
        <w:color w:val="44514A"/>
        <w:sz w:val="18"/>
        <w:szCs w:val="18"/>
      </w:rPr>
      <w:t xml:space="preserve"> · El pulso inteligente de tu cosecha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abstractNum w:abstractNumId="4" w15:restartNumberingAfterBreak="0">
    <w:multiLevelType w:val="hybridMultilevel"/>
    <w:lvl w:ilvl="0" w15:tentative="1">
      <w:start w:val="1"/>
      <w:numFmt w:val="decimal"/>
      <w:lvlText w:val="%1."/>
      <w:lvlJc w:val="left"/>
      <w:pPr>
        <w:ind w:left="620" w:hanging="300"/>
      </w:pPr>
    </w:lvl>
  </w:abstractNum>
  <w:abstractNum w:abstractNumId="5" w15:restartNumberingAfterBreak="0">
    <w:multiLevelType w:val="hybridMultilevel"/>
    <w:lvl w:ilvl="0" w15:tentative="1">
      <w:start w:val="1"/>
      <w:numFmt w:val="decimal"/>
      <w:lvlText w:val="%1."/>
      <w:lvlJc w:val="left"/>
      <w:pPr>
        <w:ind w:left="620" w:hanging="300"/>
      </w:pPr>
    </w:lvl>
  </w:abstractNum>
  <w:abstractNum w:abstractNumId="6" w15:restartNumberingAfterBreak="0">
    <w:multiLevelType w:val="hybridMultilevel"/>
    <w:lvl w:ilvl="0" w15:tentative="1">
      <w:start w:val="1"/>
      <w:numFmt w:val="decimal"/>
      <w:lvlText w:val="%1."/>
      <w:lvlJc w:val="left"/>
      <w:pPr>
        <w:ind w:left="620" w:hanging="300"/>
      </w:pPr>
    </w:lvl>
  </w:abstractNum>
  <w:abstractNum w:abstractNumId="7"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20" w:line="276"/>
    </w:pPr>
    <w:rPr>
      <w:rFonts w:ascii="Calibri" w:cs="Calibri" w:eastAsia="Calibri" w:hAnsi="Calibri"/>
      <w:color w:val="0F172A"/>
      <w:sz w:val="22"/>
      <w:szCs w:val="22"/>
    </w:rPr>
  </w:style>
  <w:style w:type="paragraph" w:styleId="Heading1">
    <w:name w:val="Heading 1"/>
    <w:basedOn w:val="Normal"/>
    <w:next w:val="Normal"/>
    <w:qFormat/>
    <w:pPr>
      <w:spacing w:after="240" w:before="240" w:line="276"/>
      <w:outlineLvl w:val="0"/>
    </w:pPr>
    <w:rPr>
      <w:rFonts w:ascii="Calibri" w:cs="Calibri" w:eastAsia="Calibri" w:hAnsi="Calibri"/>
      <w:b/>
      <w:bCs/>
      <w:color w:val="15803D"/>
      <w:sz w:val="32"/>
      <w:szCs w:val="32"/>
    </w:rPr>
  </w:style>
  <w:style w:type="paragraph" w:styleId="Heading2">
    <w:name w:val="Heading 2"/>
    <w:basedOn w:val="Normal"/>
    <w:next w:val="Normal"/>
    <w:qFormat/>
    <w:pPr>
      <w:spacing w:after="160" w:before="220" w:line="276"/>
      <w:outlineLvl w:val="1"/>
    </w:pPr>
    <w:rPr>
      <w:rFonts w:ascii="Calibri" w:cs="Calibri" w:eastAsia="Calibri" w:hAnsi="Calibri"/>
      <w:b/>
      <w:bCs/>
      <w:color w:val="15803D"/>
      <w:sz w:val="26"/>
      <w:szCs w:val="26"/>
    </w:rPr>
  </w:style>
  <w:style w:type="paragraph" w:styleId="Heading3">
    <w:name w:val="Heading 3"/>
    <w:basedOn w:val="Normal"/>
    <w:next w:val="Normal"/>
    <w:qFormat/>
    <w:pPr>
      <w:spacing w:after="120" w:before="180" w:line="276"/>
      <w:outlineLvl w:val="2"/>
    </w:pPr>
    <w:rPr>
      <w:rFonts w:ascii="Calibri" w:cs="Calibri" w:eastAsia="Calibri" w:hAnsi="Calibri"/>
      <w:b/>
      <w:bCs/>
      <w:color w:val="1453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038bfe7a5b934e267588c58125dcafaf8805e8.jpg"/><Relationship Id="rId10" Type="http://schemas.openxmlformats.org/officeDocument/2006/relationships/image" Target="media/436bfc63270045253495fcad422f3a56374248eb.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 E-business para la Reducción de Pérdidas Post-cosecha mediante IoT y Analítica Predictiva</dc:title>
  <dc:creator>Sebastián Torres</dc:creator>
  <dc:description>Documentación del proyecto final AgroPulse — Comercio y Negocios Digitales</dc:description>
  <cp:lastModifiedBy>Un-named</cp:lastModifiedBy>
  <cp:revision>1</cp:revision>
  <dcterms:created xsi:type="dcterms:W3CDTF">2026-07-03T01:17:46.717Z</dcterms:created>
  <dcterms:modified xsi:type="dcterms:W3CDTF">2026-07-03T01:17:46.718Z</dcterms:modified>
</cp:coreProperties>
</file>

<file path=docProps/custom.xml><?xml version="1.0" encoding="utf-8"?>
<Properties xmlns="http://schemas.openxmlformats.org/officeDocument/2006/custom-properties" xmlns:vt="http://schemas.openxmlformats.org/officeDocument/2006/docPropsVTypes"/>
</file>