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0001161 - CORPORATE EXPERIENCE SUMMARY AND REFERENCES – #2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John Valenciano</w:t>
        <w:tab/>
        <w:t>Title: procurement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Phone#: 916-552-8927</w:t>
        <w:tab/>
        <w:t>Email Address: john.valenciano@cdph.ca.gov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Epson Scanners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