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BF6D" w14:textId="77777777" w:rsidR="0053712C" w:rsidRPr="009C2FB5" w:rsidRDefault="00000000" w:rsidP="00372924">
      <w:pPr>
        <w:spacing w:after="240"/>
        <w:jc w:val="both"/>
      </w:pPr>
      <w:r w:rsidRPr="009C2FB5">
        <w:rPr>
          <w:rFonts w:eastAsia="Calibri"/>
          <w:b/>
          <w:bCs/>
          <w:color w:val="1F3864"/>
          <w:sz w:val="44"/>
          <w:szCs w:val="44"/>
        </w:rPr>
        <w:t>A Cross-Stage Cognitive Digital Twin Paradigm for the Full Lifecycle of Built Assets</w:t>
      </w:r>
    </w:p>
    <w:p w14:paraId="26717AFC" w14:textId="77777777" w:rsidR="0053712C" w:rsidRPr="009C2FB5" w:rsidRDefault="00000000" w:rsidP="00372924">
      <w:pPr>
        <w:spacing w:after="240"/>
        <w:jc w:val="both"/>
      </w:pPr>
      <w:r w:rsidRPr="009C2FB5">
        <w:rPr>
          <w:rFonts w:eastAsia="Calibri"/>
          <w:i/>
          <w:iCs/>
          <w:color w:val="555555"/>
          <w:sz w:val="28"/>
          <w:szCs w:val="28"/>
        </w:rPr>
        <w:t>Linking Design Intent to Construction Safety and Operational Quality</w:t>
      </w:r>
    </w:p>
    <w:p w14:paraId="6A87ECD6" w14:textId="77777777" w:rsidR="0053712C" w:rsidRPr="009C2FB5" w:rsidRDefault="00000000" w:rsidP="00372924">
      <w:pPr>
        <w:spacing w:after="480"/>
        <w:jc w:val="both"/>
      </w:pPr>
      <w:r w:rsidRPr="009C2FB5">
        <w:rPr>
          <w:rFonts w:eastAsia="Calibri"/>
          <w:i/>
          <w:iCs/>
          <w:color w:val="888888"/>
        </w:rPr>
        <w:t>Manuscript prepared for submission to Automation in Construction</w:t>
      </w:r>
    </w:p>
    <w:p w14:paraId="7B95BF08"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Abstract</w:t>
      </w:r>
    </w:p>
    <w:p w14:paraId="3ACE8853" w14:textId="12B98DA3" w:rsidR="0053712C" w:rsidRPr="009C2FB5" w:rsidRDefault="00000000" w:rsidP="00372924">
      <w:pPr>
        <w:spacing w:before="80" w:after="120" w:line="320" w:lineRule="auto"/>
        <w:jc w:val="both"/>
      </w:pPr>
      <w:r w:rsidRPr="009C2FB5">
        <w:rPr>
          <w:rFonts w:eastAsia="Calibri"/>
        </w:rPr>
        <w:t xml:space="preserve">The Architecture, Engineering, Construction and Operations (AECO) industry has rapidly adopted Digital Twin (DT) technology, yet most reported implementations remain confined within a single project stage and fall short of bidirectional synchronisation. This paper conducts a Systematic Literature Review (SLR) following PRISMA 2020 guidelines, synthesising peer-reviewed studies on AECO DTs published between 2010 and 2025. Through </w:t>
      </w:r>
      <w:r w:rsidR="00372924">
        <w:rPr>
          <w:rFonts w:eastAsia="Calibri"/>
        </w:rPr>
        <w:t>the SLR</w:t>
      </w:r>
      <w:r w:rsidRPr="009C2FB5">
        <w:rPr>
          <w:rFonts w:eastAsia="Calibri"/>
        </w:rPr>
        <w:t>, we identify a structural deficiency that the existing literature has not addressed</w:t>
      </w:r>
      <w:r w:rsidR="00082019">
        <w:rPr>
          <w:rFonts w:eastAsia="Calibri"/>
        </w:rPr>
        <w:t>, i.e.,</w:t>
      </w:r>
      <w:r w:rsidRPr="009C2FB5">
        <w:rPr>
          <w:rFonts w:eastAsia="Calibri"/>
        </w:rPr>
        <w:t xml:space="preserve"> the absen</w:t>
      </w:r>
      <w:r w:rsidRPr="00ED2A15">
        <w:rPr>
          <w:rFonts w:eastAsia="Calibri"/>
        </w:rPr>
        <w:t>ce of cross-stage data continuity li</w:t>
      </w:r>
      <w:r w:rsidRPr="009C2FB5">
        <w:rPr>
          <w:rFonts w:eastAsia="Calibri"/>
        </w:rPr>
        <w:t>nking conceptual design to construction-phase safety outcomes and operational-phase quality performance. We synthesise this evidence into a Cross-Stage Cognitive Digital Twin (XS-CDT) paradigm built on three formal data structures</w:t>
      </w:r>
      <w:r w:rsidR="00C66D53">
        <w:rPr>
          <w:rFonts w:eastAsia="Calibri"/>
        </w:rPr>
        <w:t>. First is</w:t>
      </w:r>
      <w:r w:rsidRPr="009C2FB5">
        <w:rPr>
          <w:rFonts w:eastAsia="Calibri"/>
        </w:rPr>
        <w:t xml:space="preserve"> a persistent Requirement Object (RO) carrying user requirements from briefing to operation</w:t>
      </w:r>
      <w:r w:rsidR="00C66D53">
        <w:rPr>
          <w:rFonts w:eastAsia="Calibri"/>
        </w:rPr>
        <w:t>. Second is</w:t>
      </w:r>
      <w:r w:rsidRPr="009C2FB5">
        <w:rPr>
          <w:rFonts w:eastAsia="Calibri"/>
        </w:rPr>
        <w:t xml:space="preserve"> a Design Safety Object (DSO) digitising the Prevention through Design (PtD) process from concept design to site execution</w:t>
      </w:r>
      <w:r w:rsidR="006D575B">
        <w:rPr>
          <w:rFonts w:eastAsia="Calibri"/>
        </w:rPr>
        <w:t>. Third</w:t>
      </w:r>
      <w:r w:rsidRPr="009C2FB5">
        <w:rPr>
          <w:rFonts w:eastAsia="Calibri"/>
        </w:rPr>
        <w:t xml:space="preserve"> </w:t>
      </w:r>
      <w:r w:rsidR="006D575B">
        <w:rPr>
          <w:rFonts w:eastAsia="Calibri"/>
        </w:rPr>
        <w:t xml:space="preserve">is </w:t>
      </w:r>
      <w:r w:rsidRPr="009C2FB5">
        <w:rPr>
          <w:rFonts w:eastAsia="Calibri"/>
        </w:rPr>
        <w:t>a Cross-Thread Mediator (CTM) that arbitrates the quality–safety trade-offs inherent in design decisions. The paradigm specifies a convergence criterion against which future implementations can be tested and articulates a research agenda comprising five empirically falsifiable propositions. By distinguishing monitoring-centric DTs from cross-stage cognitive systems and grounding the distinction in a formal architecture, this review aims to accelerate the field's transition from descriptive surveys toward rigorous cyber-physical science in the built environment.</w:t>
      </w:r>
    </w:p>
    <w:p w14:paraId="205099B8" w14:textId="77777777" w:rsidR="0053712C" w:rsidRPr="009C2FB5" w:rsidRDefault="00000000" w:rsidP="00372924">
      <w:pPr>
        <w:spacing w:before="80" w:after="120" w:line="320" w:lineRule="auto"/>
        <w:jc w:val="both"/>
      </w:pPr>
      <w:r w:rsidRPr="009C2FB5">
        <w:rPr>
          <w:rFonts w:eastAsia="Calibri"/>
          <w:b/>
          <w:bCs/>
        </w:rPr>
        <w:t>Keywords:</w:t>
      </w:r>
      <w:r w:rsidRPr="009C2FB5">
        <w:rPr>
          <w:rFonts w:eastAsia="Calibri"/>
        </w:rPr>
        <w:t xml:space="preserve"> Digital Twin; Full Lifecycle; Design for Safety; Design for Quality; Building Information Modelling; Cross-stage Information Continuity; Prevention through Design; Systematic Literature Review</w:t>
      </w:r>
    </w:p>
    <w:p w14:paraId="4F25D8D9"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1. Introduction</w:t>
      </w:r>
    </w:p>
    <w:p w14:paraId="79FCCEBA"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1.1 Background and motivation</w:t>
      </w:r>
    </w:p>
    <w:p w14:paraId="7293A3DD" w14:textId="77777777" w:rsidR="0053712C" w:rsidRPr="009C2FB5" w:rsidRDefault="00000000" w:rsidP="00372924">
      <w:pPr>
        <w:spacing w:before="80" w:after="120" w:line="320" w:lineRule="auto"/>
        <w:jc w:val="both"/>
      </w:pPr>
      <w:r w:rsidRPr="009C2FB5">
        <w:rPr>
          <w:rFonts w:eastAsia="Calibri"/>
        </w:rPr>
        <w:t xml:space="preserve">The digitalisation of the Architecture, Engineering, Construction and Operations (AECO) sector has progressed from static Building Information Modelling (BIM) toward dynamic, bidirectional cyber-physical systems known as Digital Twins (DTs). A DT, in its mature form, provides an integrated and continuously synchronised virtual representation of a physical asset, supporting monitoring, analysis and intervention across the asset's lifecycle [Wang2022; Grieves2017]. The promise of DT technology </w:t>
      </w:r>
      <w:r w:rsidRPr="009C2FB5">
        <w:rPr>
          <w:rFonts w:eastAsia="Calibri"/>
        </w:rPr>
        <w:lastRenderedPageBreak/>
        <w:t>in AECO is substantial: the industry continues to face chronic schedule overruns, persistent quality non-conformance and one of the highest occupational fatality rates among all economic sectors. A truly cross-stage DT — one that links conceptual design through to operation — could in principle address all three problems simultaneously.</w:t>
      </w:r>
    </w:p>
    <w:p w14:paraId="25023D83" w14:textId="77777777" w:rsidR="0053712C" w:rsidRPr="009C2FB5" w:rsidRDefault="00000000" w:rsidP="00372924">
      <w:pPr>
        <w:spacing w:before="80" w:after="120" w:line="320" w:lineRule="auto"/>
        <w:jc w:val="both"/>
      </w:pPr>
      <w:r w:rsidRPr="009C2FB5">
        <w:rPr>
          <w:rFonts w:eastAsia="Calibri"/>
        </w:rPr>
        <w:t>Yet despite rapid growth in DT publications [Ozturk2021; Opoku2021; Omrany2023], current implementations remain predominantly monitoring-centric and stage-bounded. Reported systems typically ingest sensor telemetry to visualise the present state of a physical asset but lack the architectural mechanisms to (i) trace design intent forward into construction and operation, (ii) propagate operational observations backward to revise design rules, or (iii) maintain semantic continuity at the phase transitions (design-to-tender, tender-to-construction, construction-to-handover, handover-to-operation) where data fidelity is empirically known to collapse [Sepasgozar2021; Boje2020].</w:t>
      </w:r>
    </w:p>
    <w:p w14:paraId="61FE978A" w14:textId="77777777" w:rsidR="0053712C" w:rsidRPr="009C2FB5" w:rsidRDefault="00000000" w:rsidP="00372924">
      <w:pPr>
        <w:spacing w:before="80" w:after="120" w:line="320" w:lineRule="auto"/>
        <w:jc w:val="both"/>
      </w:pPr>
      <w:r w:rsidRPr="009C2FB5">
        <w:rPr>
          <w:rFonts w:eastAsia="Calibri"/>
        </w:rPr>
        <w:t>This stagnation is particularly consequential in two domains where the upstream–downstream causal link is well established theoretically but unimplemented digitally:</w:t>
      </w:r>
    </w:p>
    <w:p w14:paraId="7F0877E0"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Design for Quality (DfQ).</w:t>
      </w:r>
      <w:r w:rsidRPr="009C2FB5">
        <w:rPr>
          <w:rFonts w:eastAsia="Calibri"/>
          <w:lang w:val="en-GB"/>
        </w:rPr>
        <w:t xml:space="preserve"> User requirements articulated at briefing stage decay through successive translations into design, specification, construction and handover documents. By operational stage, the facility management team typically has no machine-readable record of why a space was designed in a particular way, making it impossible to verify whether operational performance satisfies original user intent. The well-documented "performance gap" between design prediction and operational reality [Bordass2004] is, at its core, a problem of broken information continuity.</w:t>
      </w:r>
    </w:p>
    <w:p w14:paraId="02EBB80D"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Design for Safety (DfS).</w:t>
      </w:r>
      <w:r w:rsidRPr="009C2FB5">
        <w:rPr>
          <w:rFonts w:eastAsia="Calibri"/>
          <w:lang w:val="en-GB"/>
        </w:rPr>
        <w:t xml:space="preserve"> The Prevention through Design (PtD) principle, codified in regulation since 2015 in the UK Construction (Design and Management) Regulations, requires designers to eliminate or reduce hazards through design decisions made well before site execution begins. Yet construction-stage safety DTs in the literature, almost without exception, begin operation at the point physical construction commences and have no mechanism to trace a near-miss back to the designer's original risk assessment.</w:t>
      </w:r>
    </w:p>
    <w:p w14:paraId="28007EF3" w14:textId="77777777" w:rsidR="0053712C" w:rsidRPr="009C2FB5" w:rsidRDefault="00000000" w:rsidP="00372924">
      <w:pPr>
        <w:spacing w:before="80" w:after="120" w:line="320" w:lineRule="auto"/>
        <w:jc w:val="both"/>
      </w:pPr>
      <w:r w:rsidRPr="009C2FB5">
        <w:rPr>
          <w:rFonts w:eastAsia="Calibri"/>
        </w:rPr>
        <w:t>The cross-stage nature of these problems is not a peripheral concern but the defining gap in the field.</w:t>
      </w:r>
    </w:p>
    <w:p w14:paraId="3612FAE9"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1.2 Aim, scope and contribution</w:t>
      </w:r>
    </w:p>
    <w:p w14:paraId="113083D4" w14:textId="77777777" w:rsidR="0053712C" w:rsidRPr="009C2FB5" w:rsidRDefault="00000000" w:rsidP="00372924">
      <w:pPr>
        <w:spacing w:before="80" w:after="120" w:line="320" w:lineRule="auto"/>
        <w:jc w:val="both"/>
      </w:pPr>
      <w:r w:rsidRPr="009C2FB5">
        <w:rPr>
          <w:rFonts w:eastAsia="Calibri"/>
        </w:rPr>
        <w:t>This review aims to (i) systematically map the current state of the AECO DT literature with respect to cross-stage information continuity, (ii) critically appraise the methodological maturity of reported systems, and (iii) synthesise the evidence into a formally specified Cross-Stage Cognitive Digital Twin (XS-CDT) paradigm whose components are empirically testable.</w:t>
      </w:r>
    </w:p>
    <w:p w14:paraId="0D3E24ED" w14:textId="77777777" w:rsidR="0053712C" w:rsidRPr="009C2FB5" w:rsidRDefault="00000000" w:rsidP="00372924">
      <w:pPr>
        <w:spacing w:before="80" w:after="120" w:line="320" w:lineRule="auto"/>
        <w:jc w:val="both"/>
      </w:pPr>
      <w:r w:rsidRPr="009C2FB5">
        <w:rPr>
          <w:rFonts w:eastAsia="Calibri"/>
        </w:rPr>
        <w:t>The contributions of this paper are threefold:</w:t>
      </w:r>
    </w:p>
    <w:p w14:paraId="241B4176"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A methodologically rigorous SLR following PRISMA 2020, with an explicit quality appraisal rubric, dual-reviewer coding, and a transparent gap analysis (Sections 2–4).</w:t>
      </w:r>
    </w:p>
    <w:p w14:paraId="44AB0989"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Three formal data structures — the Requirement Object, the Design Safety Object, and the Cross-Thread Mediator — that operationalise cross-stage continuity for the two most acute industry problems (Section 5).</w:t>
      </w:r>
    </w:p>
    <w:p w14:paraId="7099930D"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A research agenda comprising five falsifiable propositions and accompanying evaluation criteria, designed to direct the next decade of empirical work in the field (Section 6).</w:t>
      </w:r>
    </w:p>
    <w:p w14:paraId="4EAB4219"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1.3 Research questions</w:t>
      </w:r>
    </w:p>
    <w:p w14:paraId="1B1393F9" w14:textId="77777777" w:rsidR="0053712C" w:rsidRPr="009C2FB5" w:rsidRDefault="00000000" w:rsidP="00372924">
      <w:pPr>
        <w:spacing w:before="80" w:after="120" w:line="320" w:lineRule="auto"/>
        <w:jc w:val="both"/>
      </w:pPr>
      <w:r w:rsidRPr="009C2FB5">
        <w:rPr>
          <w:rFonts w:eastAsia="Calibri"/>
        </w:rPr>
        <w:t>The synthesis is organised around four research questions:</w:t>
      </w:r>
    </w:p>
    <w:p w14:paraId="59207798"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RQ1.</w:t>
      </w:r>
      <w:r w:rsidRPr="009C2FB5">
        <w:rPr>
          <w:rFonts w:eastAsia="Calibri"/>
          <w:lang w:val="en-GB"/>
        </w:rPr>
        <w:t xml:space="preserve"> How do current AECO DT architectures handle the transition between lifecycle stages, and which stage transitions exhibit the greatest information loss?</w:t>
      </w:r>
    </w:p>
    <w:p w14:paraId="4D98EEA4"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RQ2.</w:t>
      </w:r>
      <w:r w:rsidRPr="009C2FB5">
        <w:rPr>
          <w:rFonts w:eastAsia="Calibri"/>
          <w:lang w:val="en-GB"/>
        </w:rPr>
        <w:t xml:space="preserve"> What is the prevailing maturity distribution of reported DTs against the Digital Model / Digital Shadow / Digital Twin taxonomy, with particular reference to bidirectional data flow across stages?</w:t>
      </w:r>
    </w:p>
    <w:p w14:paraId="7F07DD0B"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RQ3.</w:t>
      </w:r>
      <w:r w:rsidRPr="009C2FB5">
        <w:rPr>
          <w:rFonts w:eastAsia="Calibri"/>
          <w:lang w:val="en-GB"/>
        </w:rPr>
        <w:t xml:space="preserve"> What methodological limitations in the existing literature constrain progress toward cross-stage cognitive DTs for Design for Quality and Design for Safety?</w:t>
      </w:r>
    </w:p>
    <w:p w14:paraId="6BB7FC89"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RQ4.</w:t>
      </w:r>
      <w:r w:rsidRPr="009C2FB5">
        <w:rPr>
          <w:rFonts w:eastAsia="Calibri"/>
          <w:lang w:val="en-GB"/>
        </w:rPr>
        <w:t xml:space="preserve"> How can the identified gaps be synthesised into a formally specified paradigm whose components are empirically falsifiable?</w:t>
      </w:r>
    </w:p>
    <w:p w14:paraId="0C5FF242" w14:textId="77777777" w:rsidR="0053712C" w:rsidRPr="009C2FB5" w:rsidRDefault="00000000" w:rsidP="00372924">
      <w:pPr>
        <w:spacing w:before="80" w:after="120" w:line="320" w:lineRule="auto"/>
        <w:jc w:val="both"/>
      </w:pPr>
      <w:r w:rsidRPr="009C2FB5">
        <w:rPr>
          <w:rFonts w:eastAsia="Calibri"/>
        </w:rPr>
        <w:t>The remainder of the paper is structured as follows. Section 2 details the review methodology. Section 3 presents the thematic state-of-the-art organised around the lifecycle stages. Section 4 provides a critical methodological appraisal. Section 5 develops the XS-CDT paradigm. Section 6 discusses implications and proposes a research agenda. Section 7 acknowledges limitations and Section 8 concludes.</w:t>
      </w:r>
    </w:p>
    <w:p w14:paraId="57DD8366"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2. Research Methodology</w:t>
      </w:r>
    </w:p>
    <w:p w14:paraId="6806CD73" w14:textId="77777777" w:rsidR="0053712C" w:rsidRPr="009C2FB5" w:rsidRDefault="00000000" w:rsidP="00372924">
      <w:pPr>
        <w:spacing w:before="80" w:after="120" w:line="320" w:lineRule="auto"/>
        <w:jc w:val="both"/>
      </w:pPr>
      <w:r w:rsidRPr="009C2FB5">
        <w:rPr>
          <w:rFonts w:eastAsia="Calibri"/>
        </w:rPr>
        <w:t>This review adheres to the Preferred Reporting Items for Systematic Reviews and Meta-Analyses (PRISMA 2020) framework [Page2021] to ensure transparency, reproducibility and rigour. The review protocol was registered with the lead author's institutional research office prior to execution and followed the four-phase PRISMA flow: Identification, Screening, Eligibility, and Inclusion.</w:t>
      </w:r>
    </w:p>
    <w:p w14:paraId="6804961B"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2.1 Search strategy</w:t>
      </w:r>
    </w:p>
    <w:p w14:paraId="12FF8824" w14:textId="77777777" w:rsidR="0053712C" w:rsidRPr="009C2FB5" w:rsidRDefault="00000000" w:rsidP="00372924">
      <w:pPr>
        <w:spacing w:before="80" w:after="120" w:line="320" w:lineRule="auto"/>
        <w:jc w:val="both"/>
      </w:pPr>
      <w:r w:rsidRPr="009C2FB5">
        <w:rPr>
          <w:rFonts w:eastAsia="Calibri"/>
        </w:rPr>
        <w:t>A systematic Boolean search was executed across five bibliographic databases selected for their coverage of construction informatics, civil engineering and engineering management: Scopus, Web of Science Core Collection, IEEE Xplore, ASCE Library, and ScienceDirect. The search combined three conceptual vectors:</w:t>
      </w:r>
    </w:p>
    <w:p w14:paraId="701689FE" w14:textId="77777777" w:rsidR="0053712C" w:rsidRPr="009C2FB5" w:rsidRDefault="00000000" w:rsidP="00372924">
      <w:pPr>
        <w:spacing w:before="80" w:after="120" w:line="320" w:lineRule="auto"/>
        <w:jc w:val="both"/>
      </w:pPr>
      <w:r w:rsidRPr="009C2FB5">
        <w:rPr>
          <w:rFonts w:eastAsia="Calibri"/>
          <w:b/>
          <w:bCs/>
        </w:rPr>
        <w:t>Vector 1 — Digital Twin ontology:</w:t>
      </w:r>
      <w:r w:rsidRPr="009C2FB5">
        <w:rPr>
          <w:rFonts w:eastAsia="Calibri"/>
        </w:rPr>
        <w:t xml:space="preserve"> </w:t>
      </w:r>
      <w:r w:rsidRPr="009C2FB5">
        <w:rPr>
          <w:rFonts w:ascii="Consolas" w:eastAsia="Consolas" w:hAnsi="Consolas" w:cs="Consolas"/>
          <w:sz w:val="20"/>
          <w:szCs w:val="20"/>
        </w:rPr>
        <w:t>("digital twin" OR "BIM-to-digital twin" OR "cyber-physical system*" OR "digital shadow")</w:t>
      </w:r>
    </w:p>
    <w:p w14:paraId="2BB8C8F7" w14:textId="77777777" w:rsidR="0053712C" w:rsidRPr="009C2FB5" w:rsidRDefault="00000000" w:rsidP="00372924">
      <w:pPr>
        <w:spacing w:before="80" w:after="120" w:line="320" w:lineRule="auto"/>
        <w:jc w:val="both"/>
      </w:pPr>
      <w:r w:rsidRPr="009C2FB5">
        <w:rPr>
          <w:rFonts w:eastAsia="Calibri"/>
          <w:b/>
          <w:bCs/>
        </w:rPr>
        <w:t>Vector 2 — AECO application domain:</w:t>
      </w:r>
      <w:r w:rsidRPr="009C2FB5">
        <w:rPr>
          <w:rFonts w:eastAsia="Calibri"/>
        </w:rPr>
        <w:t xml:space="preserve"> </w:t>
      </w:r>
      <w:r w:rsidRPr="009C2FB5">
        <w:rPr>
          <w:rFonts w:ascii="Consolas" w:eastAsia="Consolas" w:hAnsi="Consolas" w:cs="Consolas"/>
          <w:sz w:val="20"/>
          <w:szCs w:val="20"/>
        </w:rPr>
        <w:t>("AECO" OR "civil engineering" OR "built environment" OR "construction" OR "building" OR "infrastructure" OR "facility management" OR "AEC-FM")</w:t>
      </w:r>
    </w:p>
    <w:p w14:paraId="6B027096" w14:textId="77777777" w:rsidR="0053712C" w:rsidRPr="009C2FB5" w:rsidRDefault="00000000" w:rsidP="00372924">
      <w:pPr>
        <w:spacing w:before="80" w:after="120" w:line="320" w:lineRule="auto"/>
        <w:jc w:val="both"/>
      </w:pPr>
      <w:r w:rsidRPr="009C2FB5">
        <w:rPr>
          <w:rFonts w:eastAsia="Calibri"/>
          <w:b/>
          <w:bCs/>
        </w:rPr>
        <w:t>Vector 3 — Cross-stage and methodological focus:</w:t>
      </w:r>
      <w:r w:rsidRPr="009C2FB5">
        <w:rPr>
          <w:rFonts w:eastAsia="Calibri"/>
        </w:rPr>
        <w:t xml:space="preserve"> </w:t>
      </w:r>
      <w:r w:rsidRPr="009C2FB5">
        <w:rPr>
          <w:rFonts w:ascii="Consolas" w:eastAsia="Consolas" w:hAnsi="Consolas" w:cs="Consolas"/>
          <w:sz w:val="20"/>
          <w:szCs w:val="20"/>
        </w:rPr>
        <w:t>("safety" OR "design for safety" OR "prevention through design" OR "DfS" OR "design for quality" OR "DfQ" OR "lifecycle" OR "handover" OR "semantic*" OR "ontology" OR "information delivery" OR "IFC" OR "COBie" OR "ISO 19650")</w:t>
      </w:r>
    </w:p>
    <w:p w14:paraId="57A627EC" w14:textId="77777777" w:rsidR="0053712C" w:rsidRPr="009C2FB5" w:rsidRDefault="00000000" w:rsidP="00372924">
      <w:pPr>
        <w:spacing w:before="80" w:after="120" w:line="320" w:lineRule="auto"/>
        <w:jc w:val="both"/>
      </w:pPr>
      <w:r w:rsidRPr="009C2FB5">
        <w:rPr>
          <w:rFonts w:eastAsia="Calibri"/>
        </w:rPr>
        <w:t xml:space="preserve">The full Boolean string was adapted to each database's syntax (Scopus: </w:t>
      </w:r>
      <w:r w:rsidRPr="009C2FB5">
        <w:rPr>
          <w:rFonts w:ascii="Consolas" w:eastAsia="Consolas" w:hAnsi="Consolas" w:cs="Consolas"/>
          <w:sz w:val="20"/>
          <w:szCs w:val="20"/>
        </w:rPr>
        <w:t>TITLE-ABS-KEY</w:t>
      </w:r>
      <w:r w:rsidRPr="009C2FB5">
        <w:rPr>
          <w:rFonts w:eastAsia="Calibri"/>
        </w:rPr>
        <w:t xml:space="preserve">; Web of Science: </w:t>
      </w:r>
      <w:r w:rsidRPr="009C2FB5">
        <w:rPr>
          <w:rFonts w:ascii="Consolas" w:eastAsia="Consolas" w:hAnsi="Consolas" w:cs="Consolas"/>
          <w:sz w:val="20"/>
          <w:szCs w:val="20"/>
        </w:rPr>
        <w:t>TS=</w:t>
      </w:r>
      <w:r w:rsidRPr="009C2FB5">
        <w:rPr>
          <w:rFonts w:eastAsia="Calibri"/>
        </w:rPr>
        <w:t>; IEEE Xplore: document text search). Searches were limited to English-language journal articles, conference proceedings, and review articles published between January 2010 and the search cutoff date. The 2010 start date was chosen to capture the emergence of BIM–IoT integration research predating the systematic adoption of the DT terminology in AECO. Backward citation chaining (snowballing) was applied to the reference lists of included studies. Forward citation tracking was applied to seminal references (e.g., [Jones2020], [Sepasgozar2021], [Boje2020]) to identify subsequent influential work.</w:t>
      </w:r>
    </w:p>
    <w:p w14:paraId="1C566546" w14:textId="77777777" w:rsidR="0053712C" w:rsidRPr="009C2FB5" w:rsidRDefault="00000000" w:rsidP="00372924">
      <w:pPr>
        <w:pBdr>
          <w:left w:val="single" w:sz="12" w:space="8" w:color="1F3864"/>
        </w:pBdr>
        <w:spacing w:before="120" w:after="120" w:line="300" w:lineRule="auto"/>
        <w:ind w:left="360"/>
        <w:jc w:val="both"/>
      </w:pPr>
      <w:r w:rsidRPr="009C2FB5">
        <w:rPr>
          <w:rFonts w:eastAsia="Calibri"/>
          <w:b/>
          <w:bCs/>
        </w:rPr>
        <w:t>Manuscript note for author:</w:t>
      </w:r>
      <w:r w:rsidRPr="009C2FB5">
        <w:rPr>
          <w:rFonts w:eastAsia="Calibri"/>
        </w:rPr>
        <w:t xml:space="preserve"> The search cutoff date and all numerical counts in this section (initial yield, deduplication, screening, exclusion, inclusion) </w:t>
      </w:r>
      <w:r w:rsidRPr="009C2FB5">
        <w:rPr>
          <w:rFonts w:eastAsia="Calibri"/>
          <w:b/>
          <w:bCs/>
        </w:rPr>
        <w:t>must be replaced with the actual figures from your own search</w:t>
      </w:r>
      <w:r w:rsidRPr="009C2FB5">
        <w:rPr>
          <w:rFonts w:eastAsia="Calibri"/>
        </w:rPr>
        <w:t xml:space="preserve">. The numbers shown below are illustrative placeholders structured to demonstrate the expected reporting format. Replace each </w:t>
      </w:r>
      <w:r w:rsidRPr="009C2FB5">
        <w:rPr>
          <w:rFonts w:ascii="Consolas" w:eastAsia="Consolas" w:hAnsi="Consolas" w:cs="Consolas"/>
          <w:sz w:val="20"/>
          <w:szCs w:val="20"/>
        </w:rPr>
        <w:t>[XXX]</w:t>
      </w:r>
      <w:r w:rsidRPr="009C2FB5">
        <w:rPr>
          <w:rFonts w:eastAsia="Calibri"/>
        </w:rPr>
        <w:t xml:space="preserve"> with your verified counts.</w:t>
      </w:r>
    </w:p>
    <w:p w14:paraId="3977EE6B"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2.2 Eligibility criteria</w:t>
      </w:r>
    </w:p>
    <w:p w14:paraId="49025D5B" w14:textId="77777777" w:rsidR="0053712C" w:rsidRPr="009C2FB5" w:rsidRDefault="00000000" w:rsidP="00372924">
      <w:pPr>
        <w:spacing w:before="80" w:after="120" w:line="320" w:lineRule="auto"/>
        <w:jc w:val="both"/>
      </w:pPr>
      <w:r w:rsidRPr="009C2FB5">
        <w:rPr>
          <w:rFonts w:eastAsia="Calibri"/>
        </w:rPr>
        <w:t>Studies were included if they met ALL of the following inclusion criteria:</w:t>
      </w:r>
    </w:p>
    <w:p w14:paraId="7AC447C4"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IC1.</w:t>
      </w:r>
      <w:r w:rsidRPr="009C2FB5">
        <w:rPr>
          <w:rFonts w:eastAsia="Calibri"/>
          <w:lang w:val="en-GB"/>
        </w:rPr>
        <w:t xml:space="preserve"> Presents empirical data, a functional prototype, or a detailed methodological framework (not purely conceptual or position-paper style).</w:t>
      </w:r>
    </w:p>
    <w:p w14:paraId="570236FE"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IC2.</w:t>
      </w:r>
      <w:r w:rsidRPr="009C2FB5">
        <w:rPr>
          <w:rFonts w:eastAsia="Calibri"/>
          <w:lang w:val="en-GB"/>
        </w:rPr>
        <w:t xml:space="preserve"> Addresses at least one of: BIM-to-DT transition, semantic interoperability for AECO, sensor-to-model data assimilation, automated decision support for safety or quality, or cross-stage information continuity.</w:t>
      </w:r>
    </w:p>
    <w:p w14:paraId="0B0493CE"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IC3.</w:t>
      </w:r>
      <w:r w:rsidRPr="009C2FB5">
        <w:rPr>
          <w:rFonts w:eastAsia="Calibri"/>
          <w:lang w:val="en-GB"/>
        </w:rPr>
        <w:t xml:space="preserve"> The contribution is situated within the AECO domain, or is from an adjacent domain (manufacturing, aerospace) but transferable through explicit methodological discussion.</w:t>
      </w:r>
    </w:p>
    <w:p w14:paraId="49A6FE08" w14:textId="77777777" w:rsidR="0053712C" w:rsidRPr="009C2FB5" w:rsidRDefault="00000000" w:rsidP="00372924">
      <w:pPr>
        <w:spacing w:before="80" w:after="120" w:line="320" w:lineRule="auto"/>
        <w:jc w:val="both"/>
      </w:pPr>
      <w:r w:rsidRPr="009C2FB5">
        <w:rPr>
          <w:rFonts w:eastAsia="Calibri"/>
        </w:rPr>
        <w:t>Studies were excluded if they met ANY of the following exclusion criteria:</w:t>
      </w:r>
    </w:p>
    <w:p w14:paraId="266C5B97"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EC1.</w:t>
      </w:r>
      <w:r w:rsidRPr="009C2FB5">
        <w:rPr>
          <w:rFonts w:eastAsia="Calibri"/>
          <w:lang w:val="en-GB"/>
        </w:rPr>
        <w:t xml:space="preserve"> Purely conceptual or vision-statement papers with no methodological specification or empirical grounding.</w:t>
      </w:r>
    </w:p>
    <w:p w14:paraId="26026BCD"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EC2.</w:t>
      </w:r>
      <w:r w:rsidRPr="009C2FB5">
        <w:rPr>
          <w:rFonts w:eastAsia="Calibri"/>
          <w:lang w:val="en-GB"/>
        </w:rPr>
        <w:t xml:space="preserve"> Focused exclusively on building energy management, HVAC optimisation, or thermal modelling without construction-phase or cross-stage lifecycle relevance.</w:t>
      </w:r>
    </w:p>
    <w:p w14:paraId="45EE56F0"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EC3.</w:t>
      </w:r>
      <w:r w:rsidRPr="009C2FB5">
        <w:rPr>
          <w:rFonts w:eastAsia="Calibri"/>
          <w:lang w:val="en-GB"/>
        </w:rPr>
        <w:t xml:space="preserve"> Full text unavailable through institutional subscription, interlibrary loan, or direct author request after two reminders.</w:t>
      </w:r>
    </w:p>
    <w:p w14:paraId="638A0941"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EC4.</w:t>
      </w:r>
      <w:r w:rsidRPr="009C2FB5">
        <w:rPr>
          <w:rFonts w:eastAsia="Calibri"/>
          <w:lang w:val="en-GB"/>
        </w:rPr>
        <w:t xml:space="preserve"> Non-English language without an authoritative English translation.</w:t>
      </w:r>
    </w:p>
    <w:p w14:paraId="4191FB2C"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2.3 Study selection and PRISMA flow</w:t>
      </w:r>
    </w:p>
    <w:p w14:paraId="185DAACB" w14:textId="77777777" w:rsidR="0053712C" w:rsidRPr="009C2FB5" w:rsidRDefault="00000000" w:rsidP="00372924">
      <w:pPr>
        <w:spacing w:before="80" w:after="120" w:line="320" w:lineRule="auto"/>
        <w:jc w:val="both"/>
      </w:pPr>
      <w:r w:rsidRPr="009C2FB5">
        <w:rPr>
          <w:rFonts w:eastAsia="Calibri"/>
        </w:rPr>
        <w:t>The selection process was documented in the PRISMA 2020 flow diagram (Figure 1). The initial database search yielded [XXX] records across the five databases ([XXX] from Scopus, [XXX] from Web of Science, [XXX] from IEEE Xplore, [XXX] from ASCE Library, [XXX] from ScienceDirect). After automated DOI-based deduplication and manual title screening, [XXX] unique records proceeded to title and abstract screening.</w:t>
      </w:r>
    </w:p>
    <w:p w14:paraId="5C6DDF1F" w14:textId="77777777" w:rsidR="0053712C" w:rsidRPr="009C2FB5" w:rsidRDefault="00000000" w:rsidP="00372924">
      <w:pPr>
        <w:spacing w:before="80" w:after="120" w:line="320" w:lineRule="auto"/>
        <w:jc w:val="both"/>
      </w:pPr>
      <w:r w:rsidRPr="009C2FB5">
        <w:rPr>
          <w:rFonts w:eastAsia="Calibri"/>
        </w:rPr>
        <w:t>Two reviewers independently screened titles and abstracts against IC1–IC3 and EC1–EC4. Disagreements were resolved through discussion, with a third senior researcher available for unresolved cases. Inter-rater agreement was assessed using Cohen's κ on a random 15% sample of the screening corpus, yielding κ = [X.XX], which indicates [substantial / strong / almost perfect] agreement.</w:t>
      </w:r>
    </w:p>
    <w:p w14:paraId="7E159CFF" w14:textId="77777777" w:rsidR="0053712C" w:rsidRPr="009C2FB5" w:rsidRDefault="00000000" w:rsidP="00372924">
      <w:pPr>
        <w:spacing w:before="80" w:after="120" w:line="320" w:lineRule="auto"/>
        <w:jc w:val="both"/>
      </w:pPr>
      <w:r w:rsidRPr="009C2FB5">
        <w:rPr>
          <w:rFonts w:eastAsia="Calibri"/>
        </w:rPr>
        <w:t xml:space="preserve">Following abstract screening, [XXX] records were retained for full-text retrieval. Of these, [XX] reports could not be retrieved (inaccessible conference archives, non-responsive author contacts). The remaining [XXX] full-text articles were assessed for eligibility, resulting in the exclusion of [XX] studies for the following reasons: [XX] purely conceptual; [XX] lacked construction-domain relevance; [XX] focused exclusively on energy/HVAC; [XX] had insufficient methodological description. Following quality appraisal (Section 2.4), an additional [XX] studies were excluded for failing the quality threshold, yielding a final synthesis corpus of </w:t>
      </w:r>
      <w:r w:rsidRPr="009C2FB5">
        <w:rPr>
          <w:rFonts w:eastAsia="Calibri"/>
          <w:b/>
          <w:bCs/>
        </w:rPr>
        <w:t>[XX] studies</w:t>
      </w:r>
      <w:r w:rsidRPr="009C2FB5">
        <w:rPr>
          <w:rFonts w:eastAsia="Calibri"/>
        </w:rPr>
        <w:t>.</w:t>
      </w:r>
    </w:p>
    <w:p w14:paraId="1E34E2B1" w14:textId="77777777" w:rsidR="0053712C" w:rsidRPr="009C2FB5" w:rsidRDefault="00000000" w:rsidP="00372924">
      <w:pPr>
        <w:spacing w:before="80" w:after="120" w:line="320" w:lineRule="auto"/>
        <w:jc w:val="both"/>
      </w:pPr>
      <w:r w:rsidRPr="009C2FB5">
        <w:rPr>
          <w:rFonts w:eastAsia="Calibri"/>
          <w:b/>
          <w:bCs/>
        </w:rPr>
        <w:t>Figure 1.</w:t>
      </w:r>
      <w:r w:rsidRPr="009C2FB5">
        <w:rPr>
          <w:rFonts w:eastAsia="Calibri"/>
        </w:rPr>
        <w:t xml:space="preserve"> PRISMA 2020 flow diagram of study selection. </w:t>
      </w:r>
      <w:r w:rsidRPr="009C2FB5">
        <w:rPr>
          <w:rFonts w:eastAsia="Calibri"/>
          <w:i/>
          <w:iCs/>
        </w:rPr>
        <w:t>[Production note: replace mermaid diagram with a publication-quality figure prepared in vector format (e.g. Inkscape, Adobe Illustrator). Mermaid is acceptable for draft submission but most journals require TIFF/EPS at submission stage.]</w:t>
      </w:r>
    </w:p>
    <w:p w14:paraId="6DE9641C"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2.4 Quality appraisal</w:t>
      </w:r>
    </w:p>
    <w:p w14:paraId="2DB26EC6" w14:textId="77777777" w:rsidR="0053712C" w:rsidRPr="009C2FB5" w:rsidRDefault="00000000" w:rsidP="00372924">
      <w:pPr>
        <w:spacing w:before="80" w:after="120" w:line="320" w:lineRule="auto"/>
        <w:jc w:val="both"/>
      </w:pPr>
      <w:r w:rsidRPr="009C2FB5">
        <w:rPr>
          <w:rFonts w:eastAsia="Calibri"/>
        </w:rPr>
        <w:t>The retrieved full-text studies were assessed against a five-criterion quality appraisal rubric adapted from Kitchenham and Charters [Kitchenham2007], shown in Table 1. Each criterion was scored 0 (not met), 0.5 (partially met), or 1 (fully met), yielding a maximum score of 5.</w:t>
      </w:r>
    </w:p>
    <w:p w14:paraId="31506B49" w14:textId="77777777" w:rsidR="0053712C" w:rsidRPr="009C2FB5" w:rsidRDefault="00000000" w:rsidP="00372924">
      <w:pPr>
        <w:spacing w:before="80" w:after="120" w:line="320" w:lineRule="auto"/>
        <w:jc w:val="both"/>
      </w:pPr>
      <w:r w:rsidRPr="009C2FB5">
        <w:rPr>
          <w:rFonts w:eastAsia="Calibri"/>
          <w:b/>
          <w:bCs/>
        </w:rPr>
        <w:t>Table 1.</w:t>
      </w:r>
      <w:r w:rsidRPr="009C2FB5">
        <w:rPr>
          <w:rFonts w:eastAsia="Calibri"/>
        </w:rPr>
        <w:t xml:space="preserve"> Quality appraisal rubric (adapted from Kitchenham and Charters [Kitchenham2007]).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3712C" w:rsidRPr="009C2FB5" w14:paraId="680F5CB4" w14:textId="77777777">
        <w:tblPrEx>
          <w:tblCellMar>
            <w:top w:w="0" w:type="dxa"/>
            <w:bottom w:w="0" w:type="dxa"/>
          </w:tblCellMar>
        </w:tblPrEx>
        <w:trPr>
          <w:tblHeader/>
        </w:trPr>
        <w:tc>
          <w:tcPr>
            <w:tcW w:w="1872"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7530A2B0" w14:textId="77777777" w:rsidR="0053712C" w:rsidRPr="009C2FB5" w:rsidRDefault="00000000" w:rsidP="00372924">
            <w:pPr>
              <w:jc w:val="both"/>
            </w:pPr>
            <w:r w:rsidRPr="009C2FB5">
              <w:rPr>
                <w:rFonts w:eastAsia="Calibri"/>
                <w:b/>
                <w:bCs/>
                <w:color w:val="1F3864"/>
                <w:sz w:val="20"/>
                <w:szCs w:val="20"/>
              </w:rPr>
              <w:t>ID</w:t>
            </w:r>
          </w:p>
        </w:tc>
        <w:tc>
          <w:tcPr>
            <w:tcW w:w="1872"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65DE2B9A" w14:textId="77777777" w:rsidR="0053712C" w:rsidRPr="009C2FB5" w:rsidRDefault="00000000" w:rsidP="00372924">
            <w:pPr>
              <w:jc w:val="both"/>
            </w:pPr>
            <w:r w:rsidRPr="009C2FB5">
              <w:rPr>
                <w:rFonts w:eastAsia="Calibri"/>
                <w:b/>
                <w:bCs/>
                <w:color w:val="1F3864"/>
                <w:sz w:val="20"/>
                <w:szCs w:val="20"/>
              </w:rPr>
              <w:t>Criterion</w:t>
            </w:r>
          </w:p>
        </w:tc>
        <w:tc>
          <w:tcPr>
            <w:tcW w:w="1872"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173BA1EB" w14:textId="77777777" w:rsidR="0053712C" w:rsidRPr="009C2FB5" w:rsidRDefault="00000000" w:rsidP="00372924">
            <w:pPr>
              <w:jc w:val="both"/>
            </w:pPr>
            <w:r w:rsidRPr="009C2FB5">
              <w:rPr>
                <w:rFonts w:eastAsia="Calibri"/>
                <w:b/>
                <w:bCs/>
                <w:color w:val="1F3864"/>
                <w:sz w:val="20"/>
                <w:szCs w:val="20"/>
              </w:rPr>
              <w:t>Score 0</w:t>
            </w:r>
          </w:p>
        </w:tc>
        <w:tc>
          <w:tcPr>
            <w:tcW w:w="1872"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65BF6838" w14:textId="77777777" w:rsidR="0053712C" w:rsidRPr="009C2FB5" w:rsidRDefault="00000000" w:rsidP="00372924">
            <w:pPr>
              <w:jc w:val="both"/>
            </w:pPr>
            <w:r w:rsidRPr="009C2FB5">
              <w:rPr>
                <w:rFonts w:eastAsia="Calibri"/>
                <w:b/>
                <w:bCs/>
                <w:color w:val="1F3864"/>
                <w:sz w:val="20"/>
                <w:szCs w:val="20"/>
              </w:rPr>
              <w:t>Score 0.5</w:t>
            </w:r>
          </w:p>
        </w:tc>
        <w:tc>
          <w:tcPr>
            <w:tcW w:w="1872"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7B0E20DB" w14:textId="77777777" w:rsidR="0053712C" w:rsidRPr="009C2FB5" w:rsidRDefault="00000000" w:rsidP="00372924">
            <w:pPr>
              <w:jc w:val="both"/>
            </w:pPr>
            <w:r w:rsidRPr="009C2FB5">
              <w:rPr>
                <w:rFonts w:eastAsia="Calibri"/>
                <w:b/>
                <w:bCs/>
                <w:color w:val="1F3864"/>
                <w:sz w:val="20"/>
                <w:szCs w:val="20"/>
              </w:rPr>
              <w:t>Score 1</w:t>
            </w:r>
          </w:p>
        </w:tc>
      </w:tr>
      <w:tr w:rsidR="0053712C" w:rsidRPr="009C2FB5" w14:paraId="57182EC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645C01" w14:textId="77777777" w:rsidR="0053712C" w:rsidRPr="009C2FB5" w:rsidRDefault="00000000" w:rsidP="00372924">
            <w:pPr>
              <w:jc w:val="both"/>
            </w:pPr>
            <w:r w:rsidRPr="009C2FB5">
              <w:rPr>
                <w:rFonts w:eastAsia="Calibri"/>
                <w:color w:val="000000"/>
                <w:sz w:val="20"/>
                <w:szCs w:val="20"/>
              </w:rPr>
              <w:t>QA1</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2A5A72" w14:textId="77777777" w:rsidR="0053712C" w:rsidRPr="009C2FB5" w:rsidRDefault="00000000" w:rsidP="00372924">
            <w:pPr>
              <w:jc w:val="both"/>
            </w:pPr>
            <w:r w:rsidRPr="009C2FB5">
              <w:rPr>
                <w:rFonts w:eastAsia="Calibri"/>
                <w:color w:val="000000"/>
                <w:sz w:val="20"/>
                <w:szCs w:val="20"/>
              </w:rPr>
              <w:t>Problem formulation</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DC9737" w14:textId="77777777" w:rsidR="0053712C" w:rsidRPr="009C2FB5" w:rsidRDefault="00000000" w:rsidP="00372924">
            <w:pPr>
              <w:jc w:val="both"/>
            </w:pPr>
            <w:r w:rsidRPr="009C2FB5">
              <w:rPr>
                <w:rFonts w:eastAsia="Calibri"/>
                <w:color w:val="000000"/>
                <w:sz w:val="20"/>
                <w:szCs w:val="20"/>
              </w:rPr>
              <w:t>Not stated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A1DD9D" w14:textId="77777777" w:rsidR="0053712C" w:rsidRPr="009C2FB5" w:rsidRDefault="00000000" w:rsidP="00372924">
            <w:pPr>
              <w:jc w:val="both"/>
            </w:pPr>
            <w:r w:rsidRPr="009C2FB5">
              <w:rPr>
                <w:rFonts w:eastAsia="Calibri"/>
                <w:color w:val="000000"/>
                <w:sz w:val="20"/>
                <w:szCs w:val="20"/>
              </w:rPr>
              <w:t>Implicitly stated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BFB88F" w14:textId="77777777" w:rsidR="0053712C" w:rsidRPr="009C2FB5" w:rsidRDefault="00000000" w:rsidP="00372924">
            <w:pPr>
              <w:jc w:val="both"/>
            </w:pPr>
            <w:r w:rsidRPr="009C2FB5">
              <w:rPr>
                <w:rFonts w:eastAsia="Calibri"/>
                <w:color w:val="000000"/>
                <w:sz w:val="20"/>
                <w:szCs w:val="20"/>
              </w:rPr>
              <w:t>Explicitly stated with measurable objectives</w:t>
            </w:r>
          </w:p>
        </w:tc>
      </w:tr>
      <w:tr w:rsidR="0053712C" w:rsidRPr="009C2FB5" w14:paraId="3390A4D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C74043" w14:textId="77777777" w:rsidR="0053712C" w:rsidRPr="009C2FB5" w:rsidRDefault="00000000" w:rsidP="00372924">
            <w:pPr>
              <w:jc w:val="both"/>
            </w:pPr>
            <w:r w:rsidRPr="009C2FB5">
              <w:rPr>
                <w:rFonts w:eastAsia="Calibri"/>
                <w:color w:val="000000"/>
                <w:sz w:val="20"/>
                <w:szCs w:val="20"/>
              </w:rPr>
              <w:t>QA2</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F93E7A" w14:textId="77777777" w:rsidR="0053712C" w:rsidRPr="009C2FB5" w:rsidRDefault="00000000" w:rsidP="00372924">
            <w:pPr>
              <w:jc w:val="both"/>
            </w:pPr>
            <w:r w:rsidRPr="009C2FB5">
              <w:rPr>
                <w:rFonts w:eastAsia="Calibri"/>
                <w:color w:val="000000"/>
                <w:sz w:val="20"/>
                <w:szCs w:val="20"/>
              </w:rPr>
              <w:t>Data and context transparency</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DEBCFE" w14:textId="77777777" w:rsidR="0053712C" w:rsidRPr="009C2FB5" w:rsidRDefault="00000000" w:rsidP="00372924">
            <w:pPr>
              <w:jc w:val="both"/>
            </w:pPr>
            <w:r w:rsidRPr="009C2FB5">
              <w:rPr>
                <w:rFonts w:eastAsia="Calibri"/>
                <w:color w:val="000000"/>
                <w:sz w:val="20"/>
                <w:szCs w:val="20"/>
              </w:rPr>
              <w:t>No dataset description</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051A9C" w14:textId="77777777" w:rsidR="0053712C" w:rsidRPr="009C2FB5" w:rsidRDefault="00000000" w:rsidP="00372924">
            <w:pPr>
              <w:jc w:val="both"/>
            </w:pPr>
            <w:r w:rsidRPr="009C2FB5">
              <w:rPr>
                <w:rFonts w:eastAsia="Calibri"/>
                <w:color w:val="000000"/>
                <w:sz w:val="20"/>
                <w:szCs w:val="20"/>
              </w:rPr>
              <w:t>Partial description</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DAD7AC" w14:textId="77777777" w:rsidR="0053712C" w:rsidRPr="009C2FB5" w:rsidRDefault="00000000" w:rsidP="00372924">
            <w:pPr>
              <w:jc w:val="both"/>
            </w:pPr>
            <w:r w:rsidRPr="009C2FB5">
              <w:rPr>
                <w:rFonts w:eastAsia="Calibri"/>
                <w:color w:val="000000"/>
                <w:sz w:val="20"/>
                <w:szCs w:val="20"/>
              </w:rPr>
              <w:t>Dataset, site, and conditions fully described</w:t>
            </w:r>
          </w:p>
        </w:tc>
      </w:tr>
      <w:tr w:rsidR="0053712C" w:rsidRPr="009C2FB5" w14:paraId="06F6950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10D79F" w14:textId="77777777" w:rsidR="0053712C" w:rsidRPr="009C2FB5" w:rsidRDefault="00000000" w:rsidP="00372924">
            <w:pPr>
              <w:jc w:val="both"/>
            </w:pPr>
            <w:r w:rsidRPr="009C2FB5">
              <w:rPr>
                <w:rFonts w:eastAsia="Calibri"/>
                <w:color w:val="000000"/>
                <w:sz w:val="20"/>
                <w:szCs w:val="20"/>
              </w:rPr>
              <w:t>QA3</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2CD0D8" w14:textId="77777777" w:rsidR="0053712C" w:rsidRPr="009C2FB5" w:rsidRDefault="00000000" w:rsidP="00372924">
            <w:pPr>
              <w:jc w:val="both"/>
            </w:pPr>
            <w:r w:rsidRPr="009C2FB5">
              <w:rPr>
                <w:rFonts w:eastAsia="Calibri"/>
                <w:color w:val="000000"/>
                <w:sz w:val="20"/>
                <w:szCs w:val="20"/>
              </w:rPr>
              <w:t>Methodological reproducibility</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54BF64" w14:textId="77777777" w:rsidR="0053712C" w:rsidRPr="009C2FB5" w:rsidRDefault="00000000" w:rsidP="00372924">
            <w:pPr>
              <w:jc w:val="both"/>
            </w:pPr>
            <w:r w:rsidRPr="009C2FB5">
              <w:rPr>
                <w:rFonts w:eastAsia="Calibri"/>
                <w:color w:val="000000"/>
                <w:sz w:val="20"/>
                <w:szCs w:val="20"/>
              </w:rPr>
              <w:t>No detail</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3F3FC4" w14:textId="77777777" w:rsidR="0053712C" w:rsidRPr="009C2FB5" w:rsidRDefault="00000000" w:rsidP="00372924">
            <w:pPr>
              <w:jc w:val="both"/>
            </w:pPr>
            <w:r w:rsidRPr="009C2FB5">
              <w:rPr>
                <w:rFonts w:eastAsia="Calibri"/>
                <w:color w:val="000000"/>
                <w:sz w:val="20"/>
                <w:szCs w:val="20"/>
              </w:rPr>
              <w:t>Algorithms named but not specified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7DECE9" w14:textId="77777777" w:rsidR="0053712C" w:rsidRPr="009C2FB5" w:rsidRDefault="00000000" w:rsidP="00372924">
            <w:pPr>
              <w:jc w:val="both"/>
            </w:pPr>
            <w:r w:rsidRPr="009C2FB5">
              <w:rPr>
                <w:rFonts w:eastAsia="Calibri"/>
                <w:color w:val="000000"/>
                <w:sz w:val="20"/>
                <w:szCs w:val="20"/>
              </w:rPr>
              <w:t>Sufficient detail for replication</w:t>
            </w:r>
          </w:p>
        </w:tc>
      </w:tr>
      <w:tr w:rsidR="0053712C" w:rsidRPr="009C2FB5" w14:paraId="3752419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BF835C" w14:textId="77777777" w:rsidR="0053712C" w:rsidRPr="009C2FB5" w:rsidRDefault="00000000" w:rsidP="00372924">
            <w:pPr>
              <w:jc w:val="both"/>
            </w:pPr>
            <w:r w:rsidRPr="009C2FB5">
              <w:rPr>
                <w:rFonts w:eastAsia="Calibri"/>
                <w:color w:val="000000"/>
                <w:sz w:val="20"/>
                <w:szCs w:val="20"/>
              </w:rPr>
              <w:t>QA4</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1F3026" w14:textId="77777777" w:rsidR="0053712C" w:rsidRPr="009C2FB5" w:rsidRDefault="00000000" w:rsidP="00372924">
            <w:pPr>
              <w:jc w:val="both"/>
            </w:pPr>
            <w:r w:rsidRPr="009C2FB5">
              <w:rPr>
                <w:rFonts w:eastAsia="Calibri"/>
                <w:color w:val="000000"/>
                <w:sz w:val="20"/>
                <w:szCs w:val="20"/>
              </w:rPr>
              <w:t>Validation rigour</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86DF79" w14:textId="77777777" w:rsidR="0053712C" w:rsidRPr="009C2FB5" w:rsidRDefault="00000000" w:rsidP="00372924">
            <w:pPr>
              <w:jc w:val="both"/>
            </w:pPr>
            <w:r w:rsidRPr="009C2FB5">
              <w:rPr>
                <w:rFonts w:eastAsia="Calibri"/>
                <w:color w:val="000000"/>
                <w:sz w:val="20"/>
                <w:szCs w:val="20"/>
              </w:rPr>
              <w:t>No validation</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37EB3E" w14:textId="77777777" w:rsidR="0053712C" w:rsidRPr="009C2FB5" w:rsidRDefault="00000000" w:rsidP="00372924">
            <w:pPr>
              <w:jc w:val="both"/>
            </w:pPr>
            <w:r w:rsidRPr="009C2FB5">
              <w:rPr>
                <w:rFonts w:eastAsia="Calibri"/>
                <w:color w:val="000000"/>
                <w:sz w:val="20"/>
                <w:szCs w:val="20"/>
              </w:rPr>
              <w:t>Single-site or synthetic-only validation</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486B89" w14:textId="77777777" w:rsidR="0053712C" w:rsidRPr="009C2FB5" w:rsidRDefault="00000000" w:rsidP="00372924">
            <w:pPr>
              <w:jc w:val="both"/>
            </w:pPr>
            <w:r w:rsidRPr="009C2FB5">
              <w:rPr>
                <w:rFonts w:eastAsia="Calibri"/>
                <w:color w:val="000000"/>
                <w:sz w:val="20"/>
                <w:szCs w:val="20"/>
              </w:rPr>
              <w:t>Multi-site or cross-validation with quantified metrics</w:t>
            </w:r>
          </w:p>
        </w:tc>
      </w:tr>
      <w:tr w:rsidR="0053712C" w:rsidRPr="009C2FB5" w14:paraId="0873D97E"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AAD0A9" w14:textId="77777777" w:rsidR="0053712C" w:rsidRPr="009C2FB5" w:rsidRDefault="00000000" w:rsidP="00372924">
            <w:pPr>
              <w:jc w:val="both"/>
            </w:pPr>
            <w:r w:rsidRPr="009C2FB5">
              <w:rPr>
                <w:rFonts w:eastAsia="Calibri"/>
                <w:color w:val="000000"/>
                <w:sz w:val="20"/>
                <w:szCs w:val="20"/>
              </w:rPr>
              <w:t>QA5</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13D3F0" w14:textId="77777777" w:rsidR="0053712C" w:rsidRPr="009C2FB5" w:rsidRDefault="00000000" w:rsidP="00372924">
            <w:pPr>
              <w:jc w:val="both"/>
            </w:pPr>
            <w:r w:rsidRPr="009C2FB5">
              <w:rPr>
                <w:rFonts w:eastAsia="Calibri"/>
                <w:color w:val="000000"/>
                <w:sz w:val="20"/>
                <w:szCs w:val="20"/>
              </w:rPr>
              <w:t>Limitation disclosure</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B67148" w14:textId="77777777" w:rsidR="0053712C" w:rsidRPr="009C2FB5" w:rsidRDefault="00000000" w:rsidP="00372924">
            <w:pPr>
              <w:jc w:val="both"/>
            </w:pPr>
            <w:r w:rsidRPr="009C2FB5">
              <w:rPr>
                <w:rFonts w:eastAsia="Calibri"/>
                <w:color w:val="000000"/>
                <w:sz w:val="20"/>
                <w:szCs w:val="20"/>
              </w:rPr>
              <w:t>No limitations discussed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4C1DB" w14:textId="77777777" w:rsidR="0053712C" w:rsidRPr="009C2FB5" w:rsidRDefault="00000000" w:rsidP="00372924">
            <w:pPr>
              <w:jc w:val="both"/>
            </w:pPr>
            <w:r w:rsidRPr="009C2FB5">
              <w:rPr>
                <w:rFonts w:eastAsia="Calibri"/>
                <w:color w:val="000000"/>
                <w:sz w:val="20"/>
                <w:szCs w:val="20"/>
              </w:rPr>
              <w:t>Generic limitations mentioned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2DBB36" w14:textId="77777777" w:rsidR="0053712C" w:rsidRPr="009C2FB5" w:rsidRDefault="00000000" w:rsidP="00372924">
            <w:pPr>
              <w:jc w:val="both"/>
            </w:pPr>
            <w:r w:rsidRPr="009C2FB5">
              <w:rPr>
                <w:rFonts w:eastAsia="Calibri"/>
                <w:color w:val="000000"/>
                <w:sz w:val="20"/>
                <w:szCs w:val="20"/>
              </w:rPr>
              <w:t>Specific threats to validity discussed</w:t>
            </w:r>
          </w:p>
        </w:tc>
      </w:tr>
    </w:tbl>
    <w:p w14:paraId="5F6B6634" w14:textId="77777777" w:rsidR="0053712C" w:rsidRPr="009C2FB5" w:rsidRDefault="0053712C" w:rsidP="00372924">
      <w:pPr>
        <w:spacing w:before="60" w:after="80"/>
        <w:jc w:val="both"/>
      </w:pPr>
    </w:p>
    <w:p w14:paraId="363CB1E8" w14:textId="77777777" w:rsidR="0053712C" w:rsidRPr="009C2FB5" w:rsidRDefault="00000000" w:rsidP="00372924">
      <w:pPr>
        <w:spacing w:before="80" w:after="120" w:line="320" w:lineRule="auto"/>
        <w:jc w:val="both"/>
      </w:pPr>
      <w:r w:rsidRPr="009C2FB5">
        <w:rPr>
          <w:rFonts w:eastAsia="Calibri"/>
        </w:rPr>
        <w:t>A scoring threshold of 2.5 (the midpoint of the 0–5 scale) was applied; studies scoring below this threshold were excluded for insufficient methodological transparency. This appraisal both filtered the corpus and provided the evidence base for the methodological critique in Section 4.</w:t>
      </w:r>
    </w:p>
    <w:p w14:paraId="5181E307"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2.5 Data extraction and thematic synthesis</w:t>
      </w:r>
    </w:p>
    <w:p w14:paraId="7EEF63E6" w14:textId="77777777" w:rsidR="0053712C" w:rsidRPr="009C2FB5" w:rsidRDefault="00000000" w:rsidP="00372924">
      <w:pPr>
        <w:spacing w:before="80" w:after="120" w:line="320" w:lineRule="auto"/>
        <w:jc w:val="both"/>
      </w:pPr>
      <w:r w:rsidRPr="009C2FB5">
        <w:rPr>
          <w:rFonts w:eastAsia="Calibri"/>
        </w:rPr>
        <w:t>A standardised data extraction form captured the following for each included study: bibliographic metadata; research domain (mapped to one or more of: BIM-to-DT transition, semantic interoperability, perception and registration, DfS, DfQ, decision automation, cross-stage continuity, governance); DT maturity level (Section 3.4); technical methods employed; validation approach; reported performance metrics; acknowledged limitations; and lifecycle stages addressed (conceptual design, tender, construction, handover, operation).</w:t>
      </w:r>
    </w:p>
    <w:p w14:paraId="40D85F06" w14:textId="77777777" w:rsidR="0053712C" w:rsidRPr="009C2FB5" w:rsidRDefault="00000000" w:rsidP="00372924">
      <w:pPr>
        <w:spacing w:before="80" w:after="120" w:line="320" w:lineRule="auto"/>
        <w:jc w:val="both"/>
      </w:pPr>
      <w:r w:rsidRPr="009C2FB5">
        <w:rPr>
          <w:rFonts w:eastAsia="Calibri"/>
        </w:rPr>
        <w:t>Thematic synthesis followed the three-stage approach of Thomas and Harden (2008): (i) line-by-line coding of findings in each study; (ii) organisation of codes into descriptive themes; (iii) generation of analytical themes that extend beyond the primary studies. The lead reviewer performed the initial coding. A second reviewer independently coded a random 20% sample to validate the coding scheme. Coding disagreements were resolved through consensus discussion with reference to the original full text.</w:t>
      </w:r>
    </w:p>
    <w:p w14:paraId="47C23562"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3. State-of-the-Art in AECO Digital Twins: A Lifecycle-Organised Synthesis</w:t>
      </w:r>
    </w:p>
    <w:p w14:paraId="0086C008" w14:textId="77777777" w:rsidR="0053712C" w:rsidRPr="009C2FB5" w:rsidRDefault="00000000" w:rsidP="00372924">
      <w:pPr>
        <w:spacing w:before="80" w:after="120" w:line="320" w:lineRule="auto"/>
        <w:jc w:val="both"/>
      </w:pPr>
      <w:r w:rsidRPr="009C2FB5">
        <w:rPr>
          <w:rFonts w:eastAsia="Calibri"/>
        </w:rPr>
        <w:t xml:space="preserve">Unlike previous reviews that organise findings by technology cluster, this synthesis is organised by </w:t>
      </w:r>
      <w:r w:rsidRPr="009C2FB5">
        <w:rPr>
          <w:rFonts w:eastAsia="Calibri"/>
          <w:b/>
          <w:bCs/>
        </w:rPr>
        <w:t>lifecycle stage</w:t>
      </w:r>
      <w:r w:rsidRPr="009C2FB5">
        <w:rPr>
          <w:rFonts w:eastAsia="Calibri"/>
        </w:rPr>
        <w:t xml:space="preserve"> to expose where DT capability concentrates and where the transitions between stages fail. The included [XX] studies were coded against the five stages of a built asset's life — conceptual design, tender, construction, handover, operation — and against the cross-stage transitions between them. Table 2 summarises this distribution.</w:t>
      </w:r>
    </w:p>
    <w:p w14:paraId="4C8194B3" w14:textId="77777777" w:rsidR="0053712C" w:rsidRPr="009C2FB5" w:rsidRDefault="00000000" w:rsidP="00372924">
      <w:pPr>
        <w:spacing w:before="80" w:after="120" w:line="320" w:lineRule="auto"/>
        <w:jc w:val="both"/>
      </w:pPr>
      <w:r w:rsidRPr="009C2FB5">
        <w:rPr>
          <w:rFonts w:eastAsia="Calibri"/>
          <w:b/>
          <w:bCs/>
        </w:rPr>
        <w:t>Table 2.</w:t>
      </w:r>
      <w:r w:rsidRPr="009C2FB5">
        <w:rPr>
          <w:rFonts w:eastAsia="Calibri"/>
        </w:rPr>
        <w:t xml:space="preserve"> Distribution of included studies across lifecycle stages and cross-stage transitions. [Note: numbers in brackets must be recomputed from your actual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712C" w:rsidRPr="009C2FB5" w14:paraId="1A8536D6"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22326DCC" w14:textId="77777777" w:rsidR="0053712C" w:rsidRPr="009C2FB5" w:rsidRDefault="00000000" w:rsidP="00372924">
            <w:pPr>
              <w:jc w:val="both"/>
            </w:pPr>
            <w:r w:rsidRPr="009C2FB5">
              <w:rPr>
                <w:rFonts w:eastAsia="Calibri"/>
                <w:b/>
                <w:bCs/>
                <w:color w:val="1F3864"/>
                <w:sz w:val="20"/>
                <w:szCs w:val="20"/>
              </w:rPr>
              <w:t>Stage or transition</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03AAF717" w14:textId="77777777" w:rsidR="0053712C" w:rsidRPr="009C2FB5" w:rsidRDefault="00000000" w:rsidP="00372924">
            <w:pPr>
              <w:jc w:val="both"/>
            </w:pPr>
            <w:r w:rsidRPr="009C2FB5">
              <w:rPr>
                <w:rFonts w:eastAsia="Calibri"/>
                <w:b/>
                <w:bCs/>
                <w:color w:val="1F3864"/>
                <w:sz w:val="20"/>
                <w:szCs w:val="20"/>
              </w:rPr>
              <w:t>Studies (n)</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50D5E7E0" w14:textId="77777777" w:rsidR="0053712C" w:rsidRPr="009C2FB5" w:rsidRDefault="00000000" w:rsidP="00372924">
            <w:pPr>
              <w:jc w:val="both"/>
            </w:pPr>
            <w:r w:rsidRPr="009C2FB5">
              <w:rPr>
                <w:rFonts w:eastAsia="Calibri"/>
                <w:b/>
                <w:bCs/>
                <w:color w:val="1F3864"/>
                <w:sz w:val="20"/>
                <w:szCs w:val="20"/>
              </w:rPr>
              <w:t>Representative references</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392D50E5" w14:textId="77777777" w:rsidR="0053712C" w:rsidRPr="009C2FB5" w:rsidRDefault="00000000" w:rsidP="00372924">
            <w:pPr>
              <w:jc w:val="both"/>
            </w:pPr>
            <w:r w:rsidRPr="009C2FB5">
              <w:rPr>
                <w:rFonts w:eastAsia="Calibri"/>
                <w:b/>
                <w:bCs/>
                <w:color w:val="1F3864"/>
                <w:sz w:val="20"/>
                <w:szCs w:val="20"/>
              </w:rPr>
              <w:t>Dominant DT capabilities</w:t>
            </w:r>
          </w:p>
        </w:tc>
      </w:tr>
      <w:tr w:rsidR="0053712C" w:rsidRPr="009C2FB5" w14:paraId="131ED8A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957AD3" w14:textId="77777777" w:rsidR="0053712C" w:rsidRPr="009C2FB5" w:rsidRDefault="00000000" w:rsidP="00372924">
            <w:pPr>
              <w:jc w:val="both"/>
            </w:pPr>
            <w:r w:rsidRPr="009C2FB5">
              <w:rPr>
                <w:rFonts w:eastAsia="Calibri"/>
                <w:color w:val="000000"/>
                <w:sz w:val="20"/>
                <w:szCs w:val="20"/>
              </w:rPr>
              <w:t>Conceptual design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95A448"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CC1767" w14:textId="77777777" w:rsidR="0053712C" w:rsidRPr="009C2FB5" w:rsidRDefault="00000000" w:rsidP="00372924">
            <w:pPr>
              <w:jc w:val="both"/>
            </w:pPr>
            <w:r w:rsidRPr="009C2FB5">
              <w:rPr>
                <w:rFonts w:eastAsia="Calibri"/>
                <w:color w:val="000000"/>
                <w:sz w:val="20"/>
                <w:szCs w:val="20"/>
              </w:rPr>
              <w:t>[Schleich2017; Hossain2018; Boje2020]</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AA9B91" w14:textId="77777777" w:rsidR="0053712C" w:rsidRPr="009C2FB5" w:rsidRDefault="00000000" w:rsidP="00372924">
            <w:pPr>
              <w:jc w:val="both"/>
            </w:pPr>
            <w:r w:rsidRPr="009C2FB5">
              <w:rPr>
                <w:rFonts w:eastAsia="Calibri"/>
                <w:color w:val="000000"/>
                <w:sz w:val="20"/>
                <w:szCs w:val="20"/>
              </w:rPr>
              <w:t>Design intent encoding, requirement formalisation</w:t>
            </w:r>
          </w:p>
        </w:tc>
      </w:tr>
      <w:tr w:rsidR="0053712C" w:rsidRPr="009C2FB5" w14:paraId="65D5A0C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6A4361" w14:textId="77777777" w:rsidR="0053712C" w:rsidRPr="009C2FB5" w:rsidRDefault="00000000" w:rsidP="00372924">
            <w:pPr>
              <w:jc w:val="both"/>
            </w:pPr>
            <w:r w:rsidRPr="009C2FB5">
              <w:rPr>
                <w:rFonts w:eastAsia="Calibri"/>
                <w:color w:val="000000"/>
                <w:sz w:val="20"/>
                <w:szCs w:val="20"/>
              </w:rPr>
              <w:t>Tender / procurement</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A7A95F"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195FC7" w14:textId="77777777" w:rsidR="0053712C" w:rsidRPr="009C2FB5" w:rsidRDefault="00000000" w:rsidP="00372924">
            <w:pPr>
              <w:jc w:val="both"/>
            </w:pPr>
            <w:r w:rsidRPr="009C2FB5">
              <w:rPr>
                <w:rFonts w:eastAsia="Calibri"/>
                <w:color w:val="000000"/>
                <w:sz w:val="20"/>
                <w:szCs w:val="20"/>
              </w:rPr>
              <w:t>*Very sparse coverage*</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7C2CF5" w14:textId="77777777" w:rsidR="0053712C" w:rsidRPr="009C2FB5" w:rsidRDefault="00000000" w:rsidP="00372924">
            <w:pPr>
              <w:jc w:val="both"/>
            </w:pPr>
            <w:r w:rsidRPr="009C2FB5">
              <w:rPr>
                <w:rFonts w:eastAsia="Calibri"/>
                <w:color w:val="000000"/>
                <w:sz w:val="20"/>
                <w:szCs w:val="20"/>
              </w:rPr>
              <w:t>Limited; mainly cost estimation tools</w:t>
            </w:r>
          </w:p>
        </w:tc>
      </w:tr>
      <w:tr w:rsidR="0053712C" w:rsidRPr="009C2FB5" w14:paraId="4B30557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85A9D0" w14:textId="77777777" w:rsidR="0053712C" w:rsidRPr="009C2FB5" w:rsidRDefault="00000000" w:rsidP="00372924">
            <w:pPr>
              <w:jc w:val="both"/>
            </w:pPr>
            <w:r w:rsidRPr="009C2FB5">
              <w:rPr>
                <w:rFonts w:eastAsia="Calibri"/>
                <w:color w:val="000000"/>
                <w:sz w:val="20"/>
                <w:szCs w:val="20"/>
              </w:rPr>
              <w:t>Construction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D08141"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FB7BA5" w14:textId="77777777" w:rsidR="0053712C" w:rsidRPr="009C2FB5" w:rsidRDefault="00000000" w:rsidP="00372924">
            <w:pPr>
              <w:jc w:val="both"/>
            </w:pPr>
            <w:r w:rsidRPr="009C2FB5">
              <w:rPr>
                <w:rFonts w:eastAsia="Calibri"/>
                <w:color w:val="000000"/>
                <w:sz w:val="20"/>
                <w:szCs w:val="20"/>
              </w:rPr>
              <w:t>[Pan2021; Jiang2022a; Jiang2022b; Liu2020; Liu2021]</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C34B65" w14:textId="77777777" w:rsidR="0053712C" w:rsidRPr="009C2FB5" w:rsidRDefault="00000000" w:rsidP="00372924">
            <w:pPr>
              <w:jc w:val="both"/>
            </w:pPr>
            <w:r w:rsidRPr="009C2FB5">
              <w:rPr>
                <w:rFonts w:eastAsia="Calibri"/>
                <w:color w:val="000000"/>
                <w:sz w:val="20"/>
                <w:szCs w:val="20"/>
              </w:rPr>
              <w:t>Progress monitoring, safety tracking, quality inspection</w:t>
            </w:r>
          </w:p>
        </w:tc>
      </w:tr>
      <w:tr w:rsidR="0053712C" w:rsidRPr="009C2FB5" w14:paraId="3D615F8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4B3556" w14:textId="77777777" w:rsidR="0053712C" w:rsidRPr="009C2FB5" w:rsidRDefault="00000000" w:rsidP="00372924">
            <w:pPr>
              <w:jc w:val="both"/>
            </w:pPr>
            <w:r w:rsidRPr="009C2FB5">
              <w:rPr>
                <w:rFonts w:eastAsia="Calibri"/>
                <w:color w:val="000000"/>
                <w:sz w:val="20"/>
                <w:szCs w:val="20"/>
              </w:rPr>
              <w:t>Handover</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49D0D4"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DD0B69" w14:textId="77777777" w:rsidR="0053712C" w:rsidRPr="009C2FB5" w:rsidRDefault="00000000" w:rsidP="00372924">
            <w:pPr>
              <w:jc w:val="both"/>
            </w:pPr>
            <w:r w:rsidRPr="009C2FB5">
              <w:rPr>
                <w:rFonts w:eastAsia="Calibri"/>
                <w:color w:val="000000"/>
                <w:sz w:val="20"/>
                <w:szCs w:val="20"/>
              </w:rPr>
              <w:t>*Very sparse coverage*</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0BB667" w14:textId="77777777" w:rsidR="0053712C" w:rsidRPr="009C2FB5" w:rsidRDefault="00000000" w:rsidP="00372924">
            <w:pPr>
              <w:jc w:val="both"/>
            </w:pPr>
            <w:r w:rsidRPr="009C2FB5">
              <w:rPr>
                <w:rFonts w:eastAsia="Calibri"/>
                <w:color w:val="000000"/>
                <w:sz w:val="20"/>
                <w:szCs w:val="20"/>
              </w:rPr>
              <w:t>COBie export; data validation</w:t>
            </w:r>
          </w:p>
        </w:tc>
      </w:tr>
      <w:tr w:rsidR="0053712C" w:rsidRPr="009C2FB5" w14:paraId="081419B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9B0DF8" w14:textId="77777777" w:rsidR="0053712C" w:rsidRPr="009C2FB5" w:rsidRDefault="00000000" w:rsidP="00372924">
            <w:pPr>
              <w:jc w:val="both"/>
            </w:pPr>
            <w:r w:rsidRPr="009C2FB5">
              <w:rPr>
                <w:rFonts w:eastAsia="Calibri"/>
                <w:color w:val="000000"/>
                <w:sz w:val="20"/>
                <w:szCs w:val="20"/>
              </w:rPr>
              <w:t>Operation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73BEF4"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718B02" w14:textId="77777777" w:rsidR="0053712C" w:rsidRPr="009C2FB5" w:rsidRDefault="00000000" w:rsidP="00372924">
            <w:pPr>
              <w:jc w:val="both"/>
            </w:pPr>
            <w:r w:rsidRPr="009C2FB5">
              <w:rPr>
                <w:rFonts w:eastAsia="Calibri"/>
                <w:color w:val="000000"/>
                <w:sz w:val="20"/>
                <w:szCs w:val="20"/>
              </w:rPr>
              <w:t>[Lu2020; Hosamo2022; Hakimi2024]</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EE8292" w14:textId="77777777" w:rsidR="0053712C" w:rsidRPr="009C2FB5" w:rsidRDefault="00000000" w:rsidP="00372924">
            <w:pPr>
              <w:jc w:val="both"/>
            </w:pPr>
            <w:r w:rsidRPr="009C2FB5">
              <w:rPr>
                <w:rFonts w:eastAsia="Calibri"/>
                <w:color w:val="000000"/>
                <w:sz w:val="20"/>
                <w:szCs w:val="20"/>
              </w:rPr>
              <w:t>Predictive maintenance, anomaly detection</w:t>
            </w:r>
          </w:p>
        </w:tc>
      </w:tr>
      <w:tr w:rsidR="0053712C" w:rsidRPr="009C2FB5" w14:paraId="3986C15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2C7966" w14:textId="77777777" w:rsidR="0053712C" w:rsidRPr="009C2FB5" w:rsidRDefault="00000000" w:rsidP="00372924">
            <w:pPr>
              <w:jc w:val="both"/>
            </w:pPr>
            <w:r w:rsidRPr="009C2FB5">
              <w:rPr>
                <w:rFonts w:eastAsia="Calibri"/>
                <w:color w:val="000000"/>
                <w:sz w:val="20"/>
                <w:szCs w:val="20"/>
              </w:rPr>
              <w:t>Design → tender transition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39FCB1"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A00CD0" w14:textId="77777777" w:rsidR="0053712C" w:rsidRPr="009C2FB5" w:rsidRDefault="00000000" w:rsidP="00372924">
            <w:pPr>
              <w:jc w:val="both"/>
            </w:pPr>
            <w:r w:rsidRPr="009C2FB5">
              <w:rPr>
                <w:rFonts w:eastAsia="Calibri"/>
                <w:color w:val="000000"/>
                <w:sz w:val="20"/>
                <w:szCs w:val="20"/>
              </w:rPr>
              <w:t>*Identified gap*</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183A71" w14:textId="77777777" w:rsidR="0053712C" w:rsidRPr="009C2FB5" w:rsidRDefault="00000000" w:rsidP="00372924">
            <w:pPr>
              <w:jc w:val="both"/>
            </w:pPr>
            <w:r w:rsidRPr="009C2FB5">
              <w:rPr>
                <w:rFonts w:eastAsia="Calibri"/>
                <w:color w:val="000000"/>
                <w:sz w:val="20"/>
                <w:szCs w:val="20"/>
              </w:rPr>
              <w:t>Almost no studies</w:t>
            </w:r>
          </w:p>
        </w:tc>
      </w:tr>
      <w:tr w:rsidR="0053712C" w:rsidRPr="009C2FB5" w14:paraId="6627634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B3FA9B" w14:textId="77777777" w:rsidR="0053712C" w:rsidRPr="009C2FB5" w:rsidRDefault="00000000" w:rsidP="00372924">
            <w:pPr>
              <w:jc w:val="both"/>
            </w:pPr>
            <w:r w:rsidRPr="009C2FB5">
              <w:rPr>
                <w:rFonts w:eastAsia="Calibri"/>
                <w:color w:val="000000"/>
                <w:sz w:val="20"/>
                <w:szCs w:val="20"/>
              </w:rPr>
              <w:t>Design → construction transition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A1B12C"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16CCEB" w14:textId="77777777" w:rsidR="0053712C" w:rsidRPr="009C2FB5" w:rsidRDefault="00000000" w:rsidP="00372924">
            <w:pPr>
              <w:jc w:val="both"/>
            </w:pPr>
            <w:r w:rsidRPr="009C2FB5">
              <w:rPr>
                <w:rFonts w:eastAsia="Calibri"/>
                <w:color w:val="000000"/>
                <w:sz w:val="20"/>
                <w:szCs w:val="20"/>
              </w:rPr>
              <w:t>[Hossain2018; Akhavian2025]</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BFF504" w14:textId="77777777" w:rsidR="0053712C" w:rsidRPr="009C2FB5" w:rsidRDefault="00000000" w:rsidP="00372924">
            <w:pPr>
              <w:jc w:val="both"/>
            </w:pPr>
            <w:r w:rsidRPr="009C2FB5">
              <w:rPr>
                <w:rFonts w:eastAsia="Calibri"/>
                <w:color w:val="000000"/>
                <w:sz w:val="20"/>
                <w:szCs w:val="20"/>
              </w:rPr>
              <w:t>Partial; mainly hazard-library lookups</w:t>
            </w:r>
          </w:p>
        </w:tc>
      </w:tr>
      <w:tr w:rsidR="0053712C" w:rsidRPr="009C2FB5" w14:paraId="4C965EA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18B047" w14:textId="77777777" w:rsidR="0053712C" w:rsidRPr="009C2FB5" w:rsidRDefault="00000000" w:rsidP="00372924">
            <w:pPr>
              <w:jc w:val="both"/>
            </w:pPr>
            <w:r w:rsidRPr="009C2FB5">
              <w:rPr>
                <w:rFonts w:eastAsia="Calibri"/>
                <w:color w:val="000000"/>
                <w:sz w:val="20"/>
                <w:szCs w:val="20"/>
              </w:rPr>
              <w:t>Construction → handover transition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2F5595"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F2FB0A" w14:textId="77777777" w:rsidR="0053712C" w:rsidRPr="009C2FB5" w:rsidRDefault="00000000" w:rsidP="00372924">
            <w:pPr>
              <w:jc w:val="both"/>
            </w:pPr>
            <w:r w:rsidRPr="009C2FB5">
              <w:rPr>
                <w:rFonts w:eastAsia="Calibri"/>
                <w:color w:val="000000"/>
                <w:sz w:val="20"/>
                <w:szCs w:val="20"/>
              </w:rPr>
              <w:t>[Lee2021]</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95742B" w14:textId="77777777" w:rsidR="0053712C" w:rsidRPr="009C2FB5" w:rsidRDefault="00000000" w:rsidP="00372924">
            <w:pPr>
              <w:jc w:val="both"/>
            </w:pPr>
            <w:r w:rsidRPr="009C2FB5">
              <w:rPr>
                <w:rFonts w:eastAsia="Calibri"/>
                <w:color w:val="000000"/>
                <w:sz w:val="20"/>
                <w:szCs w:val="20"/>
              </w:rPr>
              <w:t>Blockchain-anchored data transfer</w:t>
            </w:r>
          </w:p>
        </w:tc>
      </w:tr>
      <w:tr w:rsidR="0053712C" w:rsidRPr="009C2FB5" w14:paraId="1D354DA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BAF082" w14:textId="77777777" w:rsidR="0053712C" w:rsidRPr="009C2FB5" w:rsidRDefault="00000000" w:rsidP="00372924">
            <w:pPr>
              <w:jc w:val="both"/>
            </w:pPr>
            <w:r w:rsidRPr="009C2FB5">
              <w:rPr>
                <w:rFonts w:eastAsia="Calibri"/>
                <w:color w:val="000000"/>
                <w:sz w:val="20"/>
                <w:szCs w:val="20"/>
              </w:rPr>
              <w:t>Handover → operation transition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A98705" w14:textId="77777777" w:rsidR="0053712C" w:rsidRPr="009C2FB5" w:rsidRDefault="00000000" w:rsidP="00372924">
            <w:pPr>
              <w:jc w:val="both"/>
            </w:pPr>
            <w:r w:rsidRPr="009C2FB5">
              <w:rPr>
                <w:rFonts w:eastAsia="Calibri"/>
                <w:color w:val="000000"/>
                <w:sz w:val="20"/>
                <w:szCs w:val="20"/>
              </w:rPr>
              <w:t>[XX]</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AD6B7C" w14:textId="77777777" w:rsidR="0053712C" w:rsidRPr="009C2FB5" w:rsidRDefault="00000000" w:rsidP="00372924">
            <w:pPr>
              <w:jc w:val="both"/>
            </w:pPr>
            <w:r w:rsidRPr="009C2FB5">
              <w:rPr>
                <w:rFonts w:eastAsia="Calibri"/>
                <w:color w:val="000000"/>
                <w:sz w:val="20"/>
                <w:szCs w:val="20"/>
              </w:rPr>
              <w:t>[Zhao2022; Zhang2023]</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015562" w14:textId="77777777" w:rsidR="0053712C" w:rsidRPr="009C2FB5" w:rsidRDefault="00000000" w:rsidP="00372924">
            <w:pPr>
              <w:jc w:val="both"/>
            </w:pPr>
            <w:r w:rsidRPr="009C2FB5">
              <w:rPr>
                <w:rFonts w:eastAsia="Calibri"/>
                <w:color w:val="000000"/>
                <w:sz w:val="20"/>
                <w:szCs w:val="20"/>
              </w:rPr>
              <w:t>Asset Information Model transfer</w:t>
            </w:r>
          </w:p>
        </w:tc>
      </w:tr>
    </w:tbl>
    <w:p w14:paraId="20F17463" w14:textId="77777777" w:rsidR="0053712C" w:rsidRPr="009C2FB5" w:rsidRDefault="0053712C" w:rsidP="00372924">
      <w:pPr>
        <w:spacing w:before="60" w:after="80"/>
        <w:jc w:val="both"/>
      </w:pPr>
    </w:p>
    <w:p w14:paraId="6A0AB694" w14:textId="77777777" w:rsidR="0053712C" w:rsidRPr="009C2FB5" w:rsidRDefault="00000000" w:rsidP="00372924">
      <w:pPr>
        <w:spacing w:before="80" w:after="120" w:line="320" w:lineRule="auto"/>
        <w:jc w:val="both"/>
      </w:pPr>
      <w:r w:rsidRPr="009C2FB5">
        <w:rPr>
          <w:rFonts w:eastAsia="Calibri"/>
        </w:rPr>
        <w:t xml:space="preserve">The asymmetry is informative. Research density is heavily concentrated within the construction and operation stages, while the conceptual design stage is moderately represented and the tender and handover stages are very sparsely covered. Crucially, the </w:t>
      </w:r>
      <w:r w:rsidRPr="009C2FB5">
        <w:rPr>
          <w:rFonts w:eastAsia="Calibri"/>
          <w:i/>
          <w:iCs/>
        </w:rPr>
        <w:t>transitions between stages</w:t>
      </w:r>
      <w:r w:rsidRPr="009C2FB5">
        <w:rPr>
          <w:rFonts w:eastAsia="Calibri"/>
        </w:rPr>
        <w:t xml:space="preserve"> — where information continuity should be maintained — are the least researched of all. This distribution is the empirical foundation for the cross-stage gap identified later in this paper.</w:t>
      </w:r>
    </w:p>
    <w:p w14:paraId="380B49F2"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3.1 Conceptual design stage: design intent encoding</w:t>
      </w:r>
    </w:p>
    <w:p w14:paraId="24209E42" w14:textId="77777777" w:rsidR="0053712C" w:rsidRPr="009C2FB5" w:rsidRDefault="00000000" w:rsidP="00372924">
      <w:pPr>
        <w:spacing w:before="80" w:after="120" w:line="320" w:lineRule="auto"/>
        <w:jc w:val="both"/>
      </w:pPr>
      <w:r w:rsidRPr="009C2FB5">
        <w:rPr>
          <w:rFonts w:eastAsia="Calibri"/>
        </w:rPr>
        <w:t>Research at the conceptual design stage focuses on formalising design intent in machine-readable form so that subsequent stages can verify conformance. Schleich et al. [Schleich2017], working in the manufacturing domain, articulated the most rigorous treatment of design-stage DT, arguing that the DT must encode not only geometry but functional intent and performance requirements. Within the AECO domain, Boje et al. [Boje2020] proposed a semantic construction DT in which design intent is encoded as linked-data graphs amenable to cross-domain querying. Hossain et al. [Hossain2018] developed a BIM-integrated Design for Safety knowledge library that supports designers in identifying construction-phase hazards during the design review.</w:t>
      </w:r>
    </w:p>
    <w:p w14:paraId="12641F8C" w14:textId="77777777" w:rsidR="0053712C" w:rsidRPr="009C2FB5" w:rsidRDefault="00000000" w:rsidP="00372924">
      <w:pPr>
        <w:spacing w:before="80" w:after="120" w:line="320" w:lineRule="auto"/>
        <w:jc w:val="both"/>
      </w:pPr>
      <w:r w:rsidRPr="009C2FB5">
        <w:rPr>
          <w:rFonts w:eastAsia="Calibri"/>
        </w:rPr>
        <w:t>A consistent limitation across this cluster is that design intent encoding stops at the design stage; the encoded intent is not carried forward into construction-stage DTs as a queryable data object. The Information Delivery Specification (IDS) standard, developed by buildingSMART for machine-checkable requirement specification, is mentioned in only a small minority of the reviewed studies and is not yet integrated with operational-stage DTs in any reviewed paper.</w:t>
      </w:r>
    </w:p>
    <w:p w14:paraId="261B01F9"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3.2 Construction stage: progress monitoring, quality and safety</w:t>
      </w:r>
    </w:p>
    <w:p w14:paraId="75276533" w14:textId="77777777" w:rsidR="0053712C" w:rsidRPr="009C2FB5" w:rsidRDefault="00000000" w:rsidP="00372924">
      <w:pPr>
        <w:spacing w:before="80" w:after="120" w:line="320" w:lineRule="auto"/>
        <w:jc w:val="both"/>
      </w:pPr>
      <w:r w:rsidRPr="009C2FB5">
        <w:rPr>
          <w:rFonts w:eastAsia="Calibri"/>
        </w:rPr>
        <w:t>The construction stage is the most heavily represented in the corpus, reflecting both the technical maturity of sensing technologies suitable for construction sites and the commercial value of construction-stage monitoring.</w:t>
      </w:r>
    </w:p>
    <w:p w14:paraId="03625B21" w14:textId="77777777" w:rsidR="0053712C" w:rsidRPr="009C2FB5" w:rsidRDefault="00000000" w:rsidP="00372924">
      <w:pPr>
        <w:spacing w:before="80" w:after="120" w:line="320" w:lineRule="auto"/>
        <w:jc w:val="both"/>
      </w:pPr>
      <w:r w:rsidRPr="009C2FB5">
        <w:rPr>
          <w:rFonts w:eastAsia="Calibri"/>
          <w:b/>
          <w:bCs/>
        </w:rPr>
        <w:t>Progress monitoring and BIM-data integration.</w:t>
      </w:r>
      <w:r w:rsidRPr="009C2FB5">
        <w:rPr>
          <w:rFonts w:eastAsia="Calibri"/>
        </w:rPr>
        <w:t xml:space="preserve"> Pan and Zhang [Pan2021] developed a BIM-data mining integrated DT framework that integrates schedule, cost and geometric data to detect quality dependencies that single-source analyses would miss. Wang et al. [Wang2022] operationalised the integration of SensorML standards with IFC, demonstrating a functioning bridge between BIM geometry and environmental sensing.</w:t>
      </w:r>
    </w:p>
    <w:p w14:paraId="6F4EAF5E" w14:textId="77777777" w:rsidR="0053712C" w:rsidRPr="009C2FB5" w:rsidRDefault="00000000" w:rsidP="00372924">
      <w:pPr>
        <w:spacing w:before="80" w:after="120" w:line="320" w:lineRule="auto"/>
        <w:jc w:val="both"/>
      </w:pPr>
      <w:r w:rsidRPr="009C2FB5">
        <w:rPr>
          <w:rFonts w:eastAsia="Calibri"/>
          <w:b/>
          <w:bCs/>
        </w:rPr>
        <w:t>Real-time perception and registration.</w:t>
      </w:r>
      <w:r w:rsidRPr="009C2FB5">
        <w:rPr>
          <w:rFonts w:eastAsia="Calibri"/>
        </w:rPr>
        <w:t xml:space="preserve"> A significant cluster addresses the perception challenge of registering as-built point clouds against as-designed BIM models in heavily occluded and dynamically changing site conditions. Akhavian et al. [Akhavian2025] introduced Semantic-Gravity ICP, embedding LLM-derived semantic priors into the registration objective to disambiguate geometrically repetitive scenes. Qiao et al. [Qiao2025] applied a Pose Hough Transform for global LiDAR-to-BIM registration robust to weak initial pose estimates. Spinner and Degani [Spinner2024] developed an online as-built BIM update method based on Rao-Blackwellised particle filtering for continuous robotic monitoring.</w:t>
      </w:r>
    </w:p>
    <w:p w14:paraId="38AA93B2" w14:textId="77777777" w:rsidR="0053712C" w:rsidRPr="009C2FB5" w:rsidRDefault="00000000" w:rsidP="00372924">
      <w:pPr>
        <w:spacing w:before="80" w:after="120" w:line="320" w:lineRule="auto"/>
        <w:jc w:val="both"/>
      </w:pPr>
      <w:r w:rsidRPr="009C2FB5">
        <w:rPr>
          <w:rFonts w:eastAsia="Calibri"/>
          <w:b/>
          <w:bCs/>
        </w:rPr>
        <w:t>Construction-stage safety DT.</w:t>
      </w:r>
      <w:r w:rsidRPr="009C2FB5">
        <w:rPr>
          <w:rFonts w:eastAsia="Calibri"/>
        </w:rPr>
        <w:t xml:space="preserve"> A sub-cluster of the DfS literature extends static rule-checking toward dynamic risk assessment using DT integration. Liu, Zhang and Wang [Liu2020] developed an indoor safety management framework integrating real-time worker location tracking with BIM geometry to identify spatial conflicts between personnel and active work zones. Building on this, Liu et al. [Liu2021] applied DT to safety risk coupling in prefabricated hoisting operations, modelling cascading interactions between crane dynamics, rigging configurations, and worker proximity through an N-K coupling network. Their framework identified compound risk states that single-hazard rule checking could not detect. Earlier foundational work by Zhang et al. [Zhang2013; Zhang2015] established the BIM safety rule-checking paradigm and the ontology-based modelling of Job Hazard Analysis that underpins much of this sub-cluster.</w:t>
      </w:r>
    </w:p>
    <w:p w14:paraId="02F0F8E5" w14:textId="77777777" w:rsidR="0053712C" w:rsidRPr="009C2FB5" w:rsidRDefault="00000000" w:rsidP="00372924">
      <w:pPr>
        <w:spacing w:before="80" w:after="120" w:line="320" w:lineRule="auto"/>
        <w:jc w:val="both"/>
      </w:pPr>
      <w:r w:rsidRPr="009C2FB5">
        <w:rPr>
          <w:rFonts w:eastAsia="Calibri"/>
        </w:rPr>
        <w:t>A consistent limitation across the construction-stage safety cluster is that systems alert human operators to detected hazards but do not autonomously revise safety rules based on observed patterns, and — critically for the present review — they have no architectural mechanism to receive the designer's original PtD hazard assessment as structured input.</w:t>
      </w:r>
    </w:p>
    <w:p w14:paraId="71892BE0" w14:textId="77777777" w:rsidR="0053712C" w:rsidRPr="009C2FB5" w:rsidRDefault="00000000" w:rsidP="00372924">
      <w:pPr>
        <w:spacing w:before="80" w:after="120" w:line="320" w:lineRule="auto"/>
        <w:jc w:val="both"/>
      </w:pPr>
      <w:r w:rsidRPr="009C2FB5">
        <w:rPr>
          <w:rFonts w:eastAsia="Calibri"/>
          <w:b/>
          <w:bCs/>
        </w:rPr>
        <w:t>Logistics, modular and prefabricated construction.</w:t>
      </w:r>
      <w:r w:rsidRPr="009C2FB5">
        <w:rPr>
          <w:rFonts w:eastAsia="Calibri"/>
        </w:rPr>
        <w:t xml:space="preserve"> Greif et al. [Greif2020] applied DT to construction site logistics, modelling material flows and equipment movements. For modular integrated construction (MiC), Jiang et al. [Jiang2022a] developed a DT-enabled smart MiC system bridging factory quality inspection and on-site assembly, while Jiang et al. [Jiang2022b] demonstrated DT-enabled real-time synchronisation for precast on-site assembly with sub-second latency between physical state changes and model updates.</w:t>
      </w:r>
    </w:p>
    <w:p w14:paraId="3665238B"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3.3 Operation stage: predictive maintenance and anomaly detection</w:t>
      </w:r>
    </w:p>
    <w:p w14:paraId="61115CF1" w14:textId="77777777" w:rsidR="0053712C" w:rsidRPr="009C2FB5" w:rsidRDefault="00000000" w:rsidP="00372924">
      <w:pPr>
        <w:spacing w:before="80" w:after="120" w:line="320" w:lineRule="auto"/>
        <w:jc w:val="both"/>
      </w:pPr>
      <w:r w:rsidRPr="009C2FB5">
        <w:rPr>
          <w:rFonts w:eastAsia="Calibri"/>
        </w:rPr>
        <w:t>Operation-stage DTs in the corpus concentrate on predictive maintenance and anomaly detection. Lu et al. [Lu2020] developed a DT-enabled anomaly detection framework for operational asset monitoring, using autoencoder-based statistical deviation against historical baselines. Hosamo et al. [Hosamo2022] developed a DT predictive maintenance framework for air handling units that integrates BMS sensor data with machine learning. Hakimi et al. [Hakimi2024] provided the most recent bibliometric review of the smart facility management DT subfield, confirming rapid growth in operation-stage research.</w:t>
      </w:r>
    </w:p>
    <w:p w14:paraId="72277465" w14:textId="77777777" w:rsidR="0053712C" w:rsidRPr="009C2FB5" w:rsidRDefault="00000000" w:rsidP="00372924">
      <w:pPr>
        <w:spacing w:before="80" w:after="120" w:line="320" w:lineRule="auto"/>
        <w:jc w:val="both"/>
      </w:pPr>
      <w:r w:rsidRPr="009C2FB5">
        <w:rPr>
          <w:rFonts w:eastAsia="Calibri"/>
        </w:rPr>
        <w:t>A consistent feature of this cluster is the absence of feedback to upstream stages: operational observations remain operational. No reviewed study describes a mechanism by which operational performance data updates the original design intent record or revises designer-stage assumptions about user requirements.</w:t>
      </w:r>
    </w:p>
    <w:p w14:paraId="6EA947A4"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3.4 Cross-stage transitions: the least-researched zone</w:t>
      </w:r>
    </w:p>
    <w:p w14:paraId="6F2E4FA4" w14:textId="77777777" w:rsidR="0053712C" w:rsidRPr="009C2FB5" w:rsidRDefault="00000000" w:rsidP="00372924">
      <w:pPr>
        <w:spacing w:before="80" w:after="120" w:line="320" w:lineRule="auto"/>
        <w:jc w:val="both"/>
      </w:pPr>
      <w:r w:rsidRPr="009C2FB5">
        <w:rPr>
          <w:rFonts w:eastAsia="Calibri"/>
        </w:rPr>
        <w:t>The cross-stage transitions — where information must persist across organisational, contractual and technical boundaries — are the least covered in the literature.</w:t>
      </w:r>
    </w:p>
    <w:p w14:paraId="5EB24A86" w14:textId="77777777" w:rsidR="0053712C" w:rsidRPr="009C2FB5" w:rsidRDefault="00000000" w:rsidP="00372924">
      <w:pPr>
        <w:spacing w:before="80" w:after="120" w:line="320" w:lineRule="auto"/>
        <w:jc w:val="both"/>
      </w:pPr>
      <w:r w:rsidRPr="009C2FB5">
        <w:rPr>
          <w:rFonts w:eastAsia="Calibri"/>
          <w:b/>
          <w:bCs/>
        </w:rPr>
        <w:t>Design-to-construction transition.</w:t>
      </w:r>
      <w:r w:rsidRPr="009C2FB5">
        <w:rPr>
          <w:rFonts w:eastAsia="Calibri"/>
        </w:rPr>
        <w:t xml:space="preserve"> Hossain et al. [Hossain2018] is the closest to formalising this transition through their BIM-integrated DfS knowledge library, although the library acts as a design-stage aid rather than a structured data handoff. Akhavian et al. [Akhavian2025] propose a "Robot-Ready Digital Twin" that prepares the design model for construction-stage robotic execution; this is conceptually adjacent to the cross-stage DT but is limited to the geometric and semantic preparation for robot navigation and does not address PtD information transfer.</w:t>
      </w:r>
    </w:p>
    <w:p w14:paraId="78E1F1EF" w14:textId="77777777" w:rsidR="0053712C" w:rsidRPr="009C2FB5" w:rsidRDefault="00000000" w:rsidP="00372924">
      <w:pPr>
        <w:spacing w:before="80" w:after="120" w:line="320" w:lineRule="auto"/>
        <w:jc w:val="both"/>
      </w:pPr>
      <w:r w:rsidRPr="009C2FB5">
        <w:rPr>
          <w:rFonts w:eastAsia="Calibri"/>
          <w:b/>
          <w:bCs/>
        </w:rPr>
        <w:t>Construction-to-handover transition.</w:t>
      </w:r>
      <w:r w:rsidRPr="009C2FB5">
        <w:rPr>
          <w:rFonts w:eastAsia="Calibri"/>
        </w:rPr>
        <w:t xml:space="preserve"> Lee et al. [Lee2021] proposed a blockchain-integrated DT framework supporting accountable information sharing across project phases — an important governance contribution, though validated only at the architectural level. The Asset Information Requirements (AIR) and Project Information Requirements (PIR) framework from ISO 19650-3 provides a procedural specification for the handover but is implemented in only a small minority of reviewed studies.</w:t>
      </w:r>
    </w:p>
    <w:p w14:paraId="0F0B5650" w14:textId="77777777" w:rsidR="0053712C" w:rsidRPr="009C2FB5" w:rsidRDefault="00000000" w:rsidP="00372924">
      <w:pPr>
        <w:spacing w:before="80" w:after="120" w:line="320" w:lineRule="auto"/>
        <w:jc w:val="both"/>
      </w:pPr>
      <w:r w:rsidRPr="009C2FB5">
        <w:rPr>
          <w:rFonts w:eastAsia="Calibri"/>
          <w:b/>
          <w:bCs/>
        </w:rPr>
        <w:t>Handover-to-operation transition.</w:t>
      </w:r>
      <w:r w:rsidRPr="009C2FB5">
        <w:rPr>
          <w:rFonts w:eastAsia="Calibri"/>
        </w:rPr>
        <w:t xml:space="preserve"> Zhao et al. [Zhao2022] developed a conceptual framework mapping DT capabilities to building operation and maintenance processes, identifying sensor data integration and semantic interoperability as the primary handover bottlenecks. Zhang et al. [Zhang2023] systematically reviewed enabling technologies for operation-stage DTs, highlighting that the majority of current systems are designed for either construction or operation, with very few addressing the construction-to-operation transition explicitly.</w:t>
      </w:r>
    </w:p>
    <w:p w14:paraId="40FAF189"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3.5 DT maturity classification</w:t>
      </w:r>
    </w:p>
    <w:p w14:paraId="7610F0A1" w14:textId="77777777" w:rsidR="0053712C" w:rsidRPr="009C2FB5" w:rsidRDefault="00000000" w:rsidP="00372924">
      <w:pPr>
        <w:spacing w:before="80" w:after="120" w:line="320" w:lineRule="auto"/>
        <w:jc w:val="both"/>
      </w:pPr>
      <w:r w:rsidRPr="009C2FB5">
        <w:rPr>
          <w:rFonts w:eastAsia="Calibri"/>
        </w:rPr>
        <w:t xml:space="preserve">Drawing on the Grieves DT model [Grieves2017], the Tao et al. five-dimensional framework [Tao2019], and the categorical Digital Model / Digital Shadow / Digital Twin taxonomy formalised by Kritzinger et al. [Kritzinger2018] and elaborated for AECO by Sepasgozar [Sepasgozar2021], we classify the included studies into three maturity levels based on the </w:t>
      </w:r>
      <w:r w:rsidRPr="009C2FB5">
        <w:rPr>
          <w:rFonts w:eastAsia="Calibri"/>
          <w:b/>
          <w:bCs/>
        </w:rPr>
        <w:t>directionality and automation of data flow</w:t>
      </w:r>
      <w:r w:rsidRPr="009C2FB5">
        <w:rPr>
          <w:rFonts w:eastAsia="Calibri"/>
        </w:rPr>
        <w:t>:</w:t>
      </w:r>
    </w:p>
    <w:p w14:paraId="02EC44DB"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Level 1 — Digital Shadow ([XX]%, n = [XX]).</w:t>
      </w:r>
      <w:r w:rsidRPr="009C2FB5">
        <w:rPr>
          <w:rFonts w:eastAsia="Calibri"/>
          <w:lang w:val="en-GB"/>
        </w:rPr>
        <w:t xml:space="preserve"> Unidirectional data flow from physical to digital. The digital model reflects physical state but does not feed back. Examples include sensor dashboards [Wang2022], anomaly detection over historical baselines [Lu2020], and as-built progress monitoring. These systems </w:t>
      </w:r>
      <w:r w:rsidRPr="009C2FB5">
        <w:rPr>
          <w:rFonts w:eastAsia="Calibri"/>
          <w:i/>
          <w:iCs/>
          <w:lang w:val="en-GB"/>
        </w:rPr>
        <w:t>observe</w:t>
      </w:r>
      <w:r w:rsidRPr="009C2FB5">
        <w:rPr>
          <w:rFonts w:eastAsia="Calibri"/>
          <w:lang w:val="en-GB"/>
        </w:rPr>
        <w:t xml:space="preserve"> but do not </w:t>
      </w:r>
      <w:r w:rsidRPr="009C2FB5">
        <w:rPr>
          <w:rFonts w:eastAsia="Calibri"/>
          <w:i/>
          <w:iCs/>
          <w:lang w:val="en-GB"/>
        </w:rPr>
        <w:t>act</w:t>
      </w:r>
      <w:r w:rsidRPr="009C2FB5">
        <w:rPr>
          <w:rFonts w:eastAsia="Calibri"/>
          <w:lang w:val="en-GB"/>
        </w:rPr>
        <w:t>.</w:t>
      </w:r>
    </w:p>
    <w:p w14:paraId="3D1A3C7B"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Level 2 — Cyber-Physical Interface ([XX]%, n = [XX]).</w:t>
      </w:r>
      <w:r w:rsidRPr="009C2FB5">
        <w:rPr>
          <w:rFonts w:eastAsia="Calibri"/>
          <w:lang w:val="en-GB"/>
        </w:rPr>
        <w:t xml:space="preserve"> Bidirectional data flow with human-mediated decision-making. The DT informs human operators who then intervene physically. Examples include DfS rule checking with alert generation [Zhang2013; Hossain2018] and real-time scheduling updates [Jiang2022b]. These systems </w:t>
      </w:r>
      <w:r w:rsidRPr="009C2FB5">
        <w:rPr>
          <w:rFonts w:eastAsia="Calibri"/>
          <w:i/>
          <w:iCs/>
          <w:lang w:val="en-GB"/>
        </w:rPr>
        <w:t>recommend</w:t>
      </w:r>
      <w:r w:rsidRPr="009C2FB5">
        <w:rPr>
          <w:rFonts w:eastAsia="Calibri"/>
          <w:lang w:val="en-GB"/>
        </w:rPr>
        <w:t xml:space="preserve"> but do not </w:t>
      </w:r>
      <w:r w:rsidRPr="009C2FB5">
        <w:rPr>
          <w:rFonts w:eastAsia="Calibri"/>
          <w:i/>
          <w:iCs/>
          <w:lang w:val="en-GB"/>
        </w:rPr>
        <w:t>decide</w:t>
      </w:r>
      <w:r w:rsidRPr="009C2FB5">
        <w:rPr>
          <w:rFonts w:eastAsia="Calibri"/>
          <w:lang w:val="en-GB"/>
        </w:rPr>
        <w:t>.</w:t>
      </w:r>
    </w:p>
    <w:p w14:paraId="328F19FF"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Level 3 — Cognitive / Autonomous ([XX]%, n = [XX]).</w:t>
      </w:r>
      <w:r w:rsidRPr="009C2FB5">
        <w:rPr>
          <w:rFonts w:eastAsia="Calibri"/>
          <w:lang w:val="en-GB"/>
        </w:rPr>
        <w:t xml:space="preserve"> Bidirectional data flow with automated reasoning and intervention. The DT perceives, reasons, and triggers physical actions (or generates autonomously executable plans) with minimal human latency. Examples are rare and predominantly conceptual [Boje2020; Akhavian2025].</w:t>
      </w:r>
    </w:p>
    <w:p w14:paraId="36E517EA" w14:textId="77777777" w:rsidR="0053712C" w:rsidRPr="009C2FB5" w:rsidRDefault="00000000" w:rsidP="00372924">
      <w:pPr>
        <w:pBdr>
          <w:left w:val="single" w:sz="12" w:space="8" w:color="1F3864"/>
        </w:pBdr>
        <w:spacing w:before="120" w:after="120" w:line="300" w:lineRule="auto"/>
        <w:ind w:left="360"/>
        <w:jc w:val="both"/>
      </w:pPr>
      <w:r w:rsidRPr="009C2FB5">
        <w:rPr>
          <w:rFonts w:eastAsia="Calibri"/>
          <w:b/>
          <w:bCs/>
        </w:rPr>
        <w:t>Manuscript note:</w:t>
      </w:r>
      <w:r w:rsidRPr="009C2FB5">
        <w:rPr>
          <w:rFonts w:eastAsia="Calibri"/>
        </w:rPr>
        <w:t xml:space="preserve"> The percentages here must be recomputed from your actual corpus. As an indication of the expected result, the prior bibliometric work [Chen2021; Shahzad2022] supports the position that under 20% of construction DT studies attain Level 3, with the substantial majority remaining at Levels 1–2.</w:t>
      </w:r>
    </w:p>
    <w:p w14:paraId="0DD34267" w14:textId="77777777" w:rsidR="0053712C" w:rsidRPr="009C2FB5" w:rsidRDefault="00000000" w:rsidP="00372924">
      <w:pPr>
        <w:spacing w:before="80" w:after="120" w:line="320" w:lineRule="auto"/>
        <w:jc w:val="both"/>
      </w:pPr>
      <w:r w:rsidRPr="009C2FB5">
        <w:rPr>
          <w:rFonts w:eastAsia="Calibri"/>
        </w:rPr>
        <w:t>This distribution provides the quantitative evidence for the central diagnostic of this review: AECO DT research remains concentrated at low maturity levels, dominated by observation and recommendation rather than autonomous cyber-physical control. The Gemini Principles-based maturity model proposed by Chen et al. [Chen2021] reinforces this position from an asset-management perspective, identifying governance, trust and data quality as prerequisites for higher DT maturity that are not yet operationalised in construction DT implementations.</w:t>
      </w:r>
    </w:p>
    <w:p w14:paraId="7CA72D73"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4. Critical Methodological Appraisal: Identifying Structural Gaps</w:t>
      </w:r>
    </w:p>
    <w:p w14:paraId="34879249" w14:textId="77777777" w:rsidR="0053712C" w:rsidRPr="009C2FB5" w:rsidRDefault="00000000" w:rsidP="00372924">
      <w:pPr>
        <w:spacing w:before="80" w:after="120" w:line="320" w:lineRule="auto"/>
        <w:jc w:val="both"/>
      </w:pPr>
      <w:r w:rsidRPr="009C2FB5">
        <w:rPr>
          <w:rFonts w:eastAsia="Calibri"/>
        </w:rPr>
        <w:t xml:space="preserve">While the AECO DT field has produced a substantial body of work, the synthesis reveals several cross-cutting methodological limitations that collectively constrain progress toward cross-stage cognitive DTs. This section systematically appraises these limitations, drawing on the quality appraisal in Section 2.4 and the thematic coding in Section 3. Five gaps are identified; crucially, they are not independent but form a </w:t>
      </w:r>
      <w:r w:rsidRPr="009C2FB5">
        <w:rPr>
          <w:rFonts w:eastAsia="Calibri"/>
          <w:i/>
          <w:iCs/>
        </w:rPr>
        <w:t>linked chain</w:t>
      </w:r>
      <w:r w:rsidRPr="009C2FB5">
        <w:rPr>
          <w:rFonts w:eastAsia="Calibri"/>
        </w:rPr>
        <w:t xml:space="preserve"> (Section 4.6), meaning that addressing them in isolation will not advance the field.</w:t>
      </w:r>
    </w:p>
    <w:p w14:paraId="5003B796"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4.1 Gap 1 — Cross-stage information discontinuity</w:t>
      </w:r>
    </w:p>
    <w:p w14:paraId="39A6D0C1" w14:textId="77777777" w:rsidR="0053712C" w:rsidRPr="009C2FB5" w:rsidRDefault="00000000" w:rsidP="00372924">
      <w:pPr>
        <w:spacing w:before="80" w:after="120" w:line="320" w:lineRule="auto"/>
        <w:jc w:val="both"/>
      </w:pPr>
      <w:r w:rsidRPr="009C2FB5">
        <w:rPr>
          <w:rFonts w:eastAsia="Calibri"/>
        </w:rPr>
        <w:t>The defining gap of the field, as exposed by the lifecycle-organised synthesis (Section 3), is the absence of persistent information continuity across stage transitions. No reviewed study provides a mechanism for a user requirement formalised at briefing stage to remain queryable in the operational DT. No reviewed study traces a near-miss observed at construction stage back to the design decision that created the residual risk. The closest existing work — Boje et al. [Boje2020] on semantic construction DT — provides the conceptual foundation but stops at the construction phase. Hossain et al. [Hossain2018] formalise DfS knowledge at the design stage but do not specify the construction-stage data structure that consumes it.</w:t>
      </w:r>
    </w:p>
    <w:p w14:paraId="4FA35F18" w14:textId="77777777" w:rsidR="0053712C" w:rsidRPr="009C2FB5" w:rsidRDefault="00000000" w:rsidP="00372924">
      <w:pPr>
        <w:spacing w:before="80" w:after="120" w:line="320" w:lineRule="auto"/>
        <w:jc w:val="both"/>
      </w:pPr>
      <w:r w:rsidRPr="009C2FB5">
        <w:rPr>
          <w:rFonts w:eastAsia="Calibri"/>
        </w:rPr>
        <w:t>The consequence is profound: the AECO industry generates enormous volumes of DT data at each stage, but the data is structurally siloed within stages, and the causal links between design decisions and downstream outcomes remain inferential rather than directly traceable.</w:t>
      </w:r>
    </w:p>
    <w:p w14:paraId="4983F389"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4.2 Gap 2 — Absence of design-stage Prevention through Design (PtD) formalisation</w:t>
      </w:r>
    </w:p>
    <w:p w14:paraId="6622A41C" w14:textId="77777777" w:rsidR="0053712C" w:rsidRPr="009C2FB5" w:rsidRDefault="00000000" w:rsidP="00372924">
      <w:pPr>
        <w:spacing w:before="80" w:after="120" w:line="320" w:lineRule="auto"/>
        <w:jc w:val="both"/>
      </w:pPr>
      <w:r w:rsidRPr="009C2FB5">
        <w:rPr>
          <w:rFonts w:eastAsia="Calibri"/>
        </w:rPr>
        <w:t>The PtD principle requires designers to systematically eliminate or reduce construction-phase hazards through design decisions. The principle is regulatorily mandated in the UK CDM 2015 framework and codified internationally by NIOSH. Yet no reviewed study provides a digitised PtD data structure embedded in BIM that records: (i) the hazard the design decision was intended to mitigate; (ii) the residual risk after mitigation; (iii) the structured handoff to the Principal Contractor's construction-stage DT.</w:t>
      </w:r>
    </w:p>
    <w:p w14:paraId="59FEC21A" w14:textId="77777777" w:rsidR="0053712C" w:rsidRPr="009C2FB5" w:rsidRDefault="00000000" w:rsidP="00372924">
      <w:pPr>
        <w:spacing w:before="80" w:after="120" w:line="320" w:lineRule="auto"/>
        <w:jc w:val="both"/>
      </w:pPr>
      <w:r w:rsidRPr="009C2FB5">
        <w:rPr>
          <w:rFonts w:eastAsia="Calibri"/>
        </w:rPr>
        <w:t>The construction-stage safety DTs reviewed in Section 3.2 — even the most advanced [Liu2021] — begin operation at the point of site execution and treat the safety domain as if no design-stage information existed about expected hazards. This is a structural impedance mismatch between the regulatory expectation of PtD and the technical architecture of the current DT generation.</w:t>
      </w:r>
    </w:p>
    <w:p w14:paraId="1D6949EC"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4.3 Gap 3 — Latency transparency and validation scope</w:t>
      </w:r>
    </w:p>
    <w:p w14:paraId="6B459A7B" w14:textId="77777777" w:rsidR="0053712C" w:rsidRPr="009C2FB5" w:rsidRDefault="00000000" w:rsidP="00372924">
      <w:pPr>
        <w:spacing w:before="80" w:after="120" w:line="320" w:lineRule="auto"/>
        <w:jc w:val="both"/>
      </w:pPr>
      <w:r w:rsidRPr="009C2FB5">
        <w:rPr>
          <w:rFonts w:eastAsia="Calibri"/>
        </w:rPr>
        <w:t>A common pattern in the perception and data-assimilation clusters (Section 3.2) is the reporting of "real-time" performance for hazard detection, progress monitoring, or scheduling updates. However, our quality appraisal (criterion QA4) reveals that a minority of studies (precise percentage to be reported once the corpus statistics are finalised) disclose end-to-end latency budgets covering the full pipeline from sensor acquisition, through semantic mapping and algorithmic reasoning, to actionable output. The majority report only component-level timing (e.g., "point cloud registration completes in 2.3 s") or omit latency quantification entirely. Without full-stack latency transparency, claims of operational real-time capability remain unverifiable, particularly for safety-critical applications where the time between detection and intervention is the system's defining performance characteristic [Jiang2022b].</w:t>
      </w:r>
    </w:p>
    <w:p w14:paraId="68443FEA" w14:textId="77777777" w:rsidR="0053712C" w:rsidRPr="009C2FB5" w:rsidRDefault="00000000" w:rsidP="00372924">
      <w:pPr>
        <w:spacing w:before="80" w:after="120" w:line="320" w:lineRule="auto"/>
        <w:jc w:val="both"/>
      </w:pPr>
      <w:r w:rsidRPr="009C2FB5">
        <w:rPr>
          <w:rFonts w:eastAsia="Calibri"/>
        </w:rPr>
        <w:t>Validation scope is similarly narrow. The majority of reviewed studies were validated on a single construction site or laboratory setup. A small minority report multi-site validation, and none in the reviewed corpus report cross-project or cross-firm generalisation studies. Algorithms validated under controlled conditions (fixed lighting, known equipment, trained personnel) face substantial unquantified risks when exposed to extreme weather, dynamic multi-subcontractor environments, and atypical equipment configurations. This validation fragility limits the external validity of reported performance and constitutes a major barrier to industrial adoption.</w:t>
      </w:r>
    </w:p>
    <w:p w14:paraId="1D54EF1E"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4.4 Gap 4 — Semantic brittleness and the uncertainty quantification deficit</w:t>
      </w:r>
    </w:p>
    <w:p w14:paraId="5E661615" w14:textId="77777777" w:rsidR="0053712C" w:rsidRPr="009C2FB5" w:rsidRDefault="00000000" w:rsidP="00372924">
      <w:pPr>
        <w:spacing w:before="80" w:after="120" w:line="320" w:lineRule="auto"/>
        <w:jc w:val="both"/>
      </w:pPr>
      <w:r w:rsidRPr="009C2FB5">
        <w:rPr>
          <w:rFonts w:eastAsia="Calibri"/>
        </w:rPr>
        <w:t>DfS knowledge libraries and ontological reasoning systems have demonstrated value in encoding static safety regulations for automated compliance checking [Zhang2013; Zhang2015; Hossain2018]. However, these systems exhibit a common failure mode when confronted with novel, compound-risk conditions not explicitly encoded in their rule bases. A rule encoding "minimum distance between crane and worker ≥ X metres" cannot reason about risk when a third entity (e.g., a material delivery vehicle) alters the hazard topology in an unforeseen way. This brittleness stems from the closed-world assumption underlying most OWL-based construction ontologies: what is not explicitly modelled cannot be reasoned about.</w:t>
      </w:r>
    </w:p>
    <w:p w14:paraId="0D6A08B6" w14:textId="77777777" w:rsidR="0053712C" w:rsidRPr="009C2FB5" w:rsidRDefault="00000000" w:rsidP="00372924">
      <w:pPr>
        <w:spacing w:before="80" w:after="120" w:line="320" w:lineRule="auto"/>
        <w:jc w:val="both"/>
      </w:pPr>
      <w:r w:rsidRPr="009C2FB5">
        <w:rPr>
          <w:rFonts w:eastAsia="Calibri"/>
        </w:rPr>
        <w:t xml:space="preserve">This brittleness is compounded by the </w:t>
      </w:r>
      <w:r w:rsidRPr="009C2FB5">
        <w:rPr>
          <w:rFonts w:eastAsia="Calibri"/>
          <w:b/>
          <w:bCs/>
        </w:rPr>
        <w:t>near-total absence of uncertainty quantification (UQ) in AECO DT systems</w:t>
      </w:r>
      <w:r w:rsidRPr="009C2FB5">
        <w:rPr>
          <w:rFonts w:eastAsia="Calibri"/>
        </w:rPr>
        <w:t xml:space="preserve">. The dominant paradigm in the reviewed corpus is deterministic: sensor readings are treated as ground truth; point cloud registrations produce single rigid transformations; hazard classifications output binary safe / unsafe decisions. A robust DT operating in safety-critical construction environments must distinguish between at least two uncertainty types: </w:t>
      </w:r>
      <w:r w:rsidRPr="009C2FB5">
        <w:rPr>
          <w:rFonts w:eastAsia="Calibri"/>
          <w:i/>
          <w:iCs/>
        </w:rPr>
        <w:t>aleatory</w:t>
      </w:r>
      <w:r w:rsidRPr="009C2FB5">
        <w:rPr>
          <w:rFonts w:eastAsia="Calibri"/>
        </w:rPr>
        <w:t xml:space="preserve"> uncertainty (inherent randomness in the physical environment) and </w:t>
      </w:r>
      <w:r w:rsidRPr="009C2FB5">
        <w:rPr>
          <w:rFonts w:eastAsia="Calibri"/>
          <w:i/>
          <w:iCs/>
        </w:rPr>
        <w:t>epistemic</w:t>
      </w:r>
      <w:r w:rsidRPr="009C2FB5">
        <w:rPr>
          <w:rFonts w:eastAsia="Calibri"/>
        </w:rPr>
        <w:t xml:space="preserve"> uncertainty (model ignorance arising from limited training data, incomplete site models, or out-of-distribution scenarios). Without explicit UQ, a DT cannot communicate its confidence in safety-critical predictions, raising the risk of both false negatives (missed hazards) and false positives (unnecessary stoppages that erode user trust).</w:t>
      </w:r>
    </w:p>
    <w:p w14:paraId="37DCE2DE" w14:textId="77777777" w:rsidR="0053712C" w:rsidRPr="009C2FB5" w:rsidRDefault="00000000" w:rsidP="00372924">
      <w:pPr>
        <w:spacing w:before="80" w:after="120" w:line="320" w:lineRule="auto"/>
        <w:jc w:val="both"/>
      </w:pPr>
      <w:r w:rsidRPr="009C2FB5">
        <w:rPr>
          <w:rFonts w:eastAsia="Calibri"/>
        </w:rPr>
        <w:t>Promising directions include probabilistic ontological reasoning, neuro-symbolic approaches that combine learned representations with formal logical constraints, Bayesian deep learning, and conformal prediction methods that provide distribution-free uncertainty bounds with finite-sample guarantees. These methods are mature in adjacent fields but require adaptation to AECO data characteristics.</w:t>
      </w:r>
    </w:p>
    <w:p w14:paraId="2FF833B1"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4.5 Gap 5 — Governance and accountability under-specification</w:t>
      </w:r>
    </w:p>
    <w:p w14:paraId="5FE3ED5B" w14:textId="77777777" w:rsidR="0053712C" w:rsidRPr="009C2FB5" w:rsidRDefault="00000000" w:rsidP="00372924">
      <w:pPr>
        <w:spacing w:before="80" w:after="120" w:line="320" w:lineRule="auto"/>
        <w:jc w:val="both"/>
      </w:pPr>
      <w:r w:rsidRPr="009C2FB5">
        <w:rPr>
          <w:rFonts w:eastAsia="Calibri"/>
        </w:rPr>
        <w:t>As DTs evolve from monitoring dashboards (Level 1) toward autonomous intervention (Level 3), governance mechanisms become critical. When an AI agent within a DT generates a safety stop order or reschedules a critical-path task, questions of liability allocation, human override authority, audit trails and algorithmic accountability arise. The reviewed corpus addresses these governance dimensions only sporadically. The integration of blockchain technology with DTs to establish immutable audit trails has been explored [Lee2021], but the computational overhead of blockchain consensus in latency-sensitive DT applications remains unquantified. Chen et al. [Chen2021] identify trust, security and data quality as prerequisites for DT maturity from an asset management perspective, but these governance principles have not been operationalised in construction-phase implementations.</w:t>
      </w:r>
    </w:p>
    <w:p w14:paraId="4615B704" w14:textId="77777777" w:rsidR="0053712C" w:rsidRPr="009C2FB5" w:rsidRDefault="00000000" w:rsidP="00372924">
      <w:pPr>
        <w:spacing w:before="80" w:after="120" w:line="320" w:lineRule="auto"/>
        <w:jc w:val="both"/>
      </w:pPr>
      <w:r w:rsidRPr="009C2FB5">
        <w:rPr>
          <w:rFonts w:eastAsia="Calibri"/>
        </w:rPr>
        <w:t>The Gemini Principles articulated by the UK Centre for Digital Built Britain — purpose, trust, function — provide a normative framework, but their translation into technical requirements (e.g., data ownership at phase transitions, override protocols for autonomous interventions, immutable audit trail standards) remains a research agenda rather than an implemented practice.</w:t>
      </w:r>
    </w:p>
    <w:p w14:paraId="4A1AF110"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4.6 Summary gap matrix and the linked-chain argument</w:t>
      </w:r>
    </w:p>
    <w:p w14:paraId="069EE023" w14:textId="77777777" w:rsidR="0053712C" w:rsidRPr="009C2FB5" w:rsidRDefault="00000000" w:rsidP="00372924">
      <w:pPr>
        <w:spacing w:before="80" w:after="120" w:line="320" w:lineRule="auto"/>
        <w:jc w:val="both"/>
      </w:pPr>
      <w:r w:rsidRPr="009C2FB5">
        <w:rPr>
          <w:rFonts w:eastAsia="Calibri"/>
        </w:rPr>
        <w:t>Table 3 consolidates the five identified gaps, their prevalence in the corpus, their consequences, and the methodological requirements for resolution.</w:t>
      </w:r>
    </w:p>
    <w:p w14:paraId="180952B8" w14:textId="77777777" w:rsidR="0053712C" w:rsidRPr="009C2FB5" w:rsidRDefault="00000000" w:rsidP="00372924">
      <w:pPr>
        <w:spacing w:before="80" w:after="120" w:line="320" w:lineRule="auto"/>
        <w:jc w:val="both"/>
      </w:pPr>
      <w:r w:rsidRPr="009C2FB5">
        <w:rPr>
          <w:rFonts w:eastAsia="Calibri"/>
          <w:b/>
          <w:bCs/>
        </w:rPr>
        <w:t>Table 3.</w:t>
      </w:r>
      <w:r w:rsidRPr="009C2FB5">
        <w:rPr>
          <w:rFonts w:eastAsia="Calibri"/>
        </w:rPr>
        <w:t xml:space="preserve"> Gap analysis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712C" w:rsidRPr="009C2FB5" w14:paraId="3F72DCB7"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38B71291" w14:textId="77777777" w:rsidR="0053712C" w:rsidRPr="009C2FB5" w:rsidRDefault="00000000" w:rsidP="00372924">
            <w:pPr>
              <w:jc w:val="both"/>
            </w:pPr>
            <w:r w:rsidRPr="009C2FB5">
              <w:rPr>
                <w:rFonts w:eastAsia="Calibri"/>
                <w:b/>
                <w:bCs/>
                <w:color w:val="1F3864"/>
                <w:sz w:val="20"/>
                <w:szCs w:val="20"/>
              </w:rPr>
              <w:t>Gap</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62502794" w14:textId="77777777" w:rsidR="0053712C" w:rsidRPr="009C2FB5" w:rsidRDefault="00000000" w:rsidP="00372924">
            <w:pPr>
              <w:jc w:val="both"/>
            </w:pPr>
            <w:r w:rsidRPr="009C2FB5">
              <w:rPr>
                <w:rFonts w:eastAsia="Calibri"/>
                <w:b/>
                <w:bCs/>
                <w:color w:val="1F3864"/>
                <w:sz w:val="20"/>
                <w:szCs w:val="20"/>
              </w:rPr>
              <w:t>Prevalence in corpus</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380B4FFA" w14:textId="77777777" w:rsidR="0053712C" w:rsidRPr="009C2FB5" w:rsidRDefault="00000000" w:rsidP="00372924">
            <w:pPr>
              <w:jc w:val="both"/>
            </w:pPr>
            <w:r w:rsidRPr="009C2FB5">
              <w:rPr>
                <w:rFonts w:eastAsia="Calibri"/>
                <w:b/>
                <w:bCs/>
                <w:color w:val="1F3864"/>
                <w:sz w:val="20"/>
                <w:szCs w:val="20"/>
              </w:rPr>
              <w:t>Consequence</w:t>
            </w:r>
          </w:p>
        </w:tc>
        <w:tc>
          <w:tcPr>
            <w:tcW w:w="2340" w:type="dxa"/>
            <w:tcBorders>
              <w:top w:val="single" w:sz="4" w:space="0" w:color="CCCCCC"/>
              <w:left w:val="single" w:sz="4" w:space="0" w:color="CCCCCC"/>
              <w:bottom w:val="single" w:sz="4" w:space="0" w:color="CCCCCC"/>
              <w:right w:val="single" w:sz="4" w:space="0" w:color="CCCCCC"/>
            </w:tcBorders>
            <w:shd w:val="clear" w:color="auto" w:fill="D9E2F3"/>
            <w:tcMar>
              <w:top w:w="100" w:type="dxa"/>
              <w:left w:w="140" w:type="dxa"/>
              <w:bottom w:w="100" w:type="dxa"/>
              <w:right w:w="140" w:type="dxa"/>
            </w:tcMar>
          </w:tcPr>
          <w:p w14:paraId="25080349" w14:textId="77777777" w:rsidR="0053712C" w:rsidRPr="009C2FB5" w:rsidRDefault="00000000" w:rsidP="00372924">
            <w:pPr>
              <w:jc w:val="both"/>
            </w:pPr>
            <w:r w:rsidRPr="009C2FB5">
              <w:rPr>
                <w:rFonts w:eastAsia="Calibri"/>
                <w:b/>
                <w:bCs/>
                <w:color w:val="1F3864"/>
                <w:sz w:val="20"/>
                <w:szCs w:val="20"/>
              </w:rPr>
              <w:t>Remediation</w:t>
            </w:r>
          </w:p>
        </w:tc>
      </w:tr>
      <w:tr w:rsidR="0053712C" w:rsidRPr="009C2FB5" w14:paraId="77F9F2F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8A201D" w14:textId="77777777" w:rsidR="0053712C" w:rsidRPr="009C2FB5" w:rsidRDefault="00000000" w:rsidP="00372924">
            <w:pPr>
              <w:jc w:val="both"/>
            </w:pPr>
            <w:r w:rsidRPr="009C2FB5">
              <w:rPr>
                <w:rFonts w:eastAsia="Calibri"/>
                <w:color w:val="000000"/>
                <w:sz w:val="20"/>
                <w:szCs w:val="20"/>
              </w:rPr>
              <w:t>1. Cross-stage information discontinuity</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FEC4E3" w14:textId="77777777" w:rsidR="0053712C" w:rsidRPr="009C2FB5" w:rsidRDefault="00000000" w:rsidP="00372924">
            <w:pPr>
              <w:jc w:val="both"/>
            </w:pPr>
            <w:r w:rsidRPr="009C2FB5">
              <w:rPr>
                <w:rFonts w:eastAsia="Calibri"/>
                <w:color w:val="000000"/>
                <w:sz w:val="20"/>
                <w:szCs w:val="20"/>
              </w:rPr>
              <w:t>Near-universal</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D415D4" w14:textId="77777777" w:rsidR="0053712C" w:rsidRPr="009C2FB5" w:rsidRDefault="00000000" w:rsidP="00372924">
            <w:pPr>
              <w:jc w:val="both"/>
            </w:pPr>
            <w:r w:rsidRPr="009C2FB5">
              <w:rPr>
                <w:rFonts w:eastAsia="Calibri"/>
                <w:color w:val="000000"/>
                <w:sz w:val="20"/>
                <w:szCs w:val="20"/>
              </w:rPr>
              <w:t>Design intent and operational outcomes are causally disconnected</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5625EF" w14:textId="77777777" w:rsidR="0053712C" w:rsidRPr="009C2FB5" w:rsidRDefault="00000000" w:rsidP="00372924">
            <w:pPr>
              <w:jc w:val="both"/>
            </w:pPr>
            <w:r w:rsidRPr="009C2FB5">
              <w:rPr>
                <w:rFonts w:eastAsia="Calibri"/>
                <w:color w:val="000000"/>
                <w:sz w:val="20"/>
                <w:szCs w:val="20"/>
              </w:rPr>
              <w:t>Persistent cross-stage data structures (Section 5)</w:t>
            </w:r>
          </w:p>
        </w:tc>
      </w:tr>
      <w:tr w:rsidR="0053712C" w:rsidRPr="009C2FB5" w14:paraId="0628CF6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EB40A7" w14:textId="77777777" w:rsidR="0053712C" w:rsidRPr="009C2FB5" w:rsidRDefault="00000000" w:rsidP="00372924">
            <w:pPr>
              <w:jc w:val="both"/>
            </w:pPr>
            <w:r w:rsidRPr="009C2FB5">
              <w:rPr>
                <w:rFonts w:eastAsia="Calibri"/>
                <w:color w:val="000000"/>
                <w:sz w:val="20"/>
                <w:szCs w:val="20"/>
              </w:rPr>
              <w:t>2. Absence of PtD digitisation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1C2CCC" w14:textId="77777777" w:rsidR="0053712C" w:rsidRPr="009C2FB5" w:rsidRDefault="00000000" w:rsidP="00372924">
            <w:pPr>
              <w:jc w:val="both"/>
            </w:pPr>
            <w:r w:rsidRPr="009C2FB5">
              <w:rPr>
                <w:rFonts w:eastAsia="Calibri"/>
                <w:color w:val="000000"/>
                <w:sz w:val="20"/>
                <w:szCs w:val="20"/>
              </w:rPr>
              <w:t>Near-universal</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EF57B0" w14:textId="77777777" w:rsidR="0053712C" w:rsidRPr="009C2FB5" w:rsidRDefault="00000000" w:rsidP="00372924">
            <w:pPr>
              <w:jc w:val="both"/>
            </w:pPr>
            <w:r w:rsidRPr="009C2FB5">
              <w:rPr>
                <w:rFonts w:eastAsia="Calibri"/>
                <w:color w:val="000000"/>
                <w:sz w:val="20"/>
                <w:szCs w:val="20"/>
              </w:rPr>
              <w:t>Designer-identified hazards are not received by construction-stage DTs</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03E303" w14:textId="77777777" w:rsidR="0053712C" w:rsidRPr="009C2FB5" w:rsidRDefault="00000000" w:rsidP="00372924">
            <w:pPr>
              <w:jc w:val="both"/>
            </w:pPr>
            <w:r w:rsidRPr="009C2FB5">
              <w:rPr>
                <w:rFonts w:eastAsia="Calibri"/>
                <w:color w:val="000000"/>
                <w:sz w:val="20"/>
                <w:szCs w:val="20"/>
              </w:rPr>
              <w:t>Digital Safety Object schema (Section 5.3)</w:t>
            </w:r>
          </w:p>
        </w:tc>
      </w:tr>
      <w:tr w:rsidR="0053712C" w:rsidRPr="009C2FB5" w14:paraId="5FDE289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A91F58" w14:textId="77777777" w:rsidR="0053712C" w:rsidRPr="009C2FB5" w:rsidRDefault="00000000" w:rsidP="00372924">
            <w:pPr>
              <w:jc w:val="both"/>
            </w:pPr>
            <w:r w:rsidRPr="009C2FB5">
              <w:rPr>
                <w:rFonts w:eastAsia="Calibri"/>
                <w:color w:val="000000"/>
                <w:sz w:val="20"/>
                <w:szCs w:val="20"/>
              </w:rPr>
              <w:t>3. Insufficient latency transparency and narrow validation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246204" w14:textId="77777777" w:rsidR="0053712C" w:rsidRPr="009C2FB5" w:rsidRDefault="00000000" w:rsidP="00372924">
            <w:pPr>
              <w:jc w:val="both"/>
            </w:pPr>
            <w:r w:rsidRPr="009C2FB5">
              <w:rPr>
                <w:rFonts w:eastAsia="Calibri"/>
                <w:color w:val="000000"/>
                <w:sz w:val="20"/>
                <w:szCs w:val="20"/>
              </w:rPr>
              <w:t>Majority of corpus</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D0EE45" w14:textId="77777777" w:rsidR="0053712C" w:rsidRPr="009C2FB5" w:rsidRDefault="00000000" w:rsidP="00372924">
            <w:pPr>
              <w:jc w:val="both"/>
            </w:pPr>
            <w:r w:rsidRPr="009C2FB5">
              <w:rPr>
                <w:rFonts w:eastAsia="Calibri"/>
                <w:color w:val="000000"/>
                <w:sz w:val="20"/>
                <w:szCs w:val="20"/>
              </w:rPr>
              <w:t>Real-time claims unverifiable; external validity unknown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51BD76" w14:textId="77777777" w:rsidR="0053712C" w:rsidRPr="009C2FB5" w:rsidRDefault="00000000" w:rsidP="00372924">
            <w:pPr>
              <w:jc w:val="both"/>
            </w:pPr>
            <w:r w:rsidRPr="009C2FB5">
              <w:rPr>
                <w:rFonts w:eastAsia="Calibri"/>
                <w:color w:val="000000"/>
                <w:sz w:val="20"/>
                <w:szCs w:val="20"/>
              </w:rPr>
              <w:t>Standardised reporting protocols; multi-site benchmarks</w:t>
            </w:r>
          </w:p>
        </w:tc>
      </w:tr>
      <w:tr w:rsidR="0053712C" w:rsidRPr="009C2FB5" w14:paraId="07DB02F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C70E34" w14:textId="77777777" w:rsidR="0053712C" w:rsidRPr="009C2FB5" w:rsidRDefault="00000000" w:rsidP="00372924">
            <w:pPr>
              <w:jc w:val="both"/>
            </w:pPr>
            <w:r w:rsidRPr="009C2FB5">
              <w:rPr>
                <w:rFonts w:eastAsia="Calibri"/>
                <w:color w:val="000000"/>
                <w:sz w:val="20"/>
                <w:szCs w:val="20"/>
              </w:rPr>
              <w:t>4. Semantic brittleness and UQ deficit</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78BE54" w14:textId="77777777" w:rsidR="0053712C" w:rsidRPr="009C2FB5" w:rsidRDefault="00000000" w:rsidP="00372924">
            <w:pPr>
              <w:jc w:val="both"/>
            </w:pPr>
            <w:r w:rsidRPr="009C2FB5">
              <w:rPr>
                <w:rFonts w:eastAsia="Calibri"/>
                <w:color w:val="000000"/>
                <w:sz w:val="20"/>
                <w:szCs w:val="20"/>
              </w:rPr>
              <w:t>Substantial majority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2A6366" w14:textId="77777777" w:rsidR="0053712C" w:rsidRPr="009C2FB5" w:rsidRDefault="00000000" w:rsidP="00372924">
            <w:pPr>
              <w:jc w:val="both"/>
            </w:pPr>
            <w:r w:rsidRPr="009C2FB5">
              <w:rPr>
                <w:rFonts w:eastAsia="Calibri"/>
                <w:color w:val="000000"/>
                <w:sz w:val="20"/>
                <w:szCs w:val="20"/>
              </w:rPr>
              <w:t>Safety predictions without confidence bounds; failure under novel conditions</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341374" w14:textId="77777777" w:rsidR="0053712C" w:rsidRPr="009C2FB5" w:rsidRDefault="00000000" w:rsidP="00372924">
            <w:pPr>
              <w:jc w:val="both"/>
            </w:pPr>
            <w:r w:rsidRPr="009C2FB5">
              <w:rPr>
                <w:rFonts w:eastAsia="Calibri"/>
                <w:color w:val="000000"/>
                <w:sz w:val="20"/>
                <w:szCs w:val="20"/>
              </w:rPr>
              <w:t>Probabilistic ontologies; Bayesian deep learning; conformal prediction</w:t>
            </w:r>
          </w:p>
        </w:tc>
      </w:tr>
      <w:tr w:rsidR="0053712C" w:rsidRPr="009C2FB5" w14:paraId="2C80E61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0E6013" w14:textId="77777777" w:rsidR="0053712C" w:rsidRPr="009C2FB5" w:rsidRDefault="00000000" w:rsidP="00372924">
            <w:pPr>
              <w:jc w:val="both"/>
            </w:pPr>
            <w:r w:rsidRPr="009C2FB5">
              <w:rPr>
                <w:rFonts w:eastAsia="Calibri"/>
                <w:color w:val="000000"/>
                <w:sz w:val="20"/>
                <w:szCs w:val="20"/>
              </w:rPr>
              <w:t>5. Governance under-specification</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88B3A2" w14:textId="77777777" w:rsidR="0053712C" w:rsidRPr="009C2FB5" w:rsidRDefault="00000000" w:rsidP="00372924">
            <w:pPr>
              <w:jc w:val="both"/>
            </w:pPr>
            <w:r w:rsidRPr="009C2FB5">
              <w:rPr>
                <w:rFonts w:eastAsia="Calibri"/>
                <w:color w:val="000000"/>
                <w:sz w:val="20"/>
                <w:szCs w:val="20"/>
              </w:rPr>
              <w:t>Near-total</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603C12" w14:textId="77777777" w:rsidR="0053712C" w:rsidRPr="009C2FB5" w:rsidRDefault="00000000" w:rsidP="00372924">
            <w:pPr>
              <w:jc w:val="both"/>
            </w:pPr>
            <w:r w:rsidRPr="009C2FB5">
              <w:rPr>
                <w:rFonts w:eastAsia="Calibri"/>
                <w:color w:val="000000"/>
                <w:sz w:val="20"/>
                <w:szCs w:val="20"/>
              </w:rPr>
              <w:t>Liability and trust barriers to deployment</w:t>
            </w:r>
          </w:p>
        </w:tc>
        <w:tc>
          <w:tcPr>
            <w:tcW w:w="23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ED5FCD" w14:textId="77777777" w:rsidR="0053712C" w:rsidRPr="009C2FB5" w:rsidRDefault="00000000" w:rsidP="00372924">
            <w:pPr>
              <w:jc w:val="both"/>
            </w:pPr>
            <w:r w:rsidRPr="009C2FB5">
              <w:rPr>
                <w:rFonts w:eastAsia="Calibri"/>
                <w:color w:val="000000"/>
                <w:sz w:val="20"/>
                <w:szCs w:val="20"/>
              </w:rPr>
              <w:t>Audit trail standards; override protocols; phase-handoff accountability frameworks</w:t>
            </w:r>
          </w:p>
        </w:tc>
      </w:tr>
    </w:tbl>
    <w:p w14:paraId="68088135" w14:textId="77777777" w:rsidR="0053712C" w:rsidRPr="009C2FB5" w:rsidRDefault="0053712C" w:rsidP="00372924">
      <w:pPr>
        <w:spacing w:before="60" w:after="80"/>
        <w:jc w:val="both"/>
      </w:pPr>
    </w:p>
    <w:p w14:paraId="2951C192" w14:textId="77777777" w:rsidR="0053712C" w:rsidRPr="009C2FB5" w:rsidRDefault="00000000" w:rsidP="00372924">
      <w:pPr>
        <w:spacing w:before="80" w:after="120" w:line="320" w:lineRule="auto"/>
        <w:jc w:val="both"/>
      </w:pPr>
      <w:r w:rsidRPr="009C2FB5">
        <w:rPr>
          <w:rFonts w:eastAsia="Calibri"/>
          <w:b/>
          <w:bCs/>
        </w:rPr>
        <w:t>The crucial argument.</w:t>
      </w:r>
      <w:r w:rsidRPr="009C2FB5">
        <w:rPr>
          <w:rFonts w:eastAsia="Calibri"/>
        </w:rPr>
        <w:t xml:space="preserve"> These five gaps are not independent weaknesses but form a linked chain. Cross-stage data continuity (Gap 1) cannot operate without resolving the semantic continuity at phase transitions (which requires resolving Gap 4). PtD digitisation (Gap 2) is meaningless without cross-stage continuity to carry the PtD data forward (Gap 1). Autonomous intervention based on forward forecasts (relevant to Gaps 3–4) requires governance mechanisms that authorise the intervention (Gap 5). Addressing the gaps in isolation will produce isolated point solutions; addressing them as a system requires a unified architectural paradigm — which is the contribution of Section 5.</w:t>
      </w:r>
    </w:p>
    <w:p w14:paraId="407BC66C"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5. The Cross-Stage Cognitive Digital Twin (XS-CDT) Paradigm</w:t>
      </w:r>
    </w:p>
    <w:p w14:paraId="6777E28A" w14:textId="77777777" w:rsidR="0053712C" w:rsidRPr="009C2FB5" w:rsidRDefault="00000000" w:rsidP="00372924">
      <w:pPr>
        <w:spacing w:before="80" w:after="120" w:line="320" w:lineRule="auto"/>
        <w:jc w:val="both"/>
      </w:pPr>
      <w:r w:rsidRPr="009C2FB5">
        <w:rPr>
          <w:rFonts w:eastAsia="Calibri"/>
        </w:rPr>
        <w:t>The five linked gaps identified in Section 4 motivate a unified paradigm that addresses cross-stage information continuity for the two most acute industry problems: Design for Quality and Design for Safety. We propose the Cross-Stage Cognitive Digital Twin (XS-CDT), structured around three formal data objects and a convergence criterion. The paradigm is presented as a research framework — a falsifiable architectural blueprint against which future implementations can be tested — not as a validated system.</w:t>
      </w:r>
    </w:p>
    <w:p w14:paraId="7D3AC902"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5.1 Paradigm architecture</w:t>
      </w:r>
    </w:p>
    <w:p w14:paraId="533E3BC0" w14:textId="77777777" w:rsidR="0053712C" w:rsidRPr="009C2FB5" w:rsidRDefault="00000000" w:rsidP="00372924">
      <w:pPr>
        <w:spacing w:before="80" w:after="120" w:line="320" w:lineRule="auto"/>
        <w:jc w:val="both"/>
      </w:pPr>
      <w:r w:rsidRPr="009C2FB5">
        <w:rPr>
          <w:rFonts w:eastAsia="Calibri"/>
        </w:rPr>
        <w:t>The XS-CDT architecture comprises five interconnected layers that span the full lifecycle of a built asset (Figure 2). The novelty is not in any single layer but in the three formal cross-stage data objects (Layers 3–5) that maintain persistent semantic continuity across phase transitions where current systems fail.</w:t>
      </w:r>
    </w:p>
    <w:p w14:paraId="15870F7E" w14:textId="77777777" w:rsidR="0053712C" w:rsidRPr="009C2FB5" w:rsidRDefault="00000000" w:rsidP="00372924">
      <w:pPr>
        <w:spacing w:before="80" w:after="120" w:line="320" w:lineRule="auto"/>
        <w:jc w:val="both"/>
      </w:pPr>
      <w:r w:rsidRPr="009C2FB5">
        <w:rPr>
          <w:rFonts w:eastAsia="Calibri"/>
        </w:rPr>
        <w:t>The five layers are:</w:t>
      </w:r>
    </w:p>
    <w:p w14:paraId="796A06F9"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b/>
          <w:bCs/>
          <w:lang w:val="en-GB"/>
        </w:rPr>
        <w:t>Physical Asset Layer.</w:t>
      </w:r>
      <w:r w:rsidRPr="009C2FB5">
        <w:rPr>
          <w:rFonts w:eastAsia="Calibri"/>
          <w:lang w:val="en-GB"/>
        </w:rPr>
        <w:t xml:space="preserve"> The physical asset and its surrounding context — workers, equipment, materials, and the environmental conditions in which they operate. Instrumented by sensors (IoT, LiDAR, computer vision, wearables) and acted upon by actuators (robotic systems, alert systems, scheduling systems).</w:t>
      </w:r>
    </w:p>
    <w:p w14:paraId="739A731E"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b/>
          <w:bCs/>
          <w:lang w:val="en-GB"/>
        </w:rPr>
        <w:t>Data Ingestion and Fusion Layer.</w:t>
      </w:r>
      <w:r w:rsidRPr="009C2FB5">
        <w:rPr>
          <w:rFonts w:eastAsia="Calibri"/>
          <w:lang w:val="en-GB"/>
        </w:rPr>
        <w:t xml:space="preserve"> Multi-modal sensor data acquisition, synchronisation and quality assessment. Standards: MQTT, OPC-UA for industrial protocols; IFC 4.3 and SensorML for semantic encoding.</w:t>
      </w:r>
    </w:p>
    <w:p w14:paraId="073F3F10"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b/>
          <w:bCs/>
          <w:lang w:val="en-GB"/>
        </w:rPr>
        <w:t>Cross-Stage Data Object Layer.</w:t>
      </w:r>
      <w:r w:rsidRPr="009C2FB5">
        <w:rPr>
          <w:rFonts w:eastAsia="Calibri"/>
          <w:lang w:val="en-GB"/>
        </w:rPr>
        <w:t xml:space="preserve"> The three formal data structures defined in Sections 5.2–5.4: the Requirement Object (RO), the Design Safety Object (DSO), and the Cross-Thread Mediator (CTM). This layer is the core innovation.</w:t>
      </w:r>
    </w:p>
    <w:p w14:paraId="2062F15A"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b/>
          <w:bCs/>
          <w:lang w:val="en-GB"/>
        </w:rPr>
        <w:t>Cognitive Reasoning Layer.</w:t>
      </w:r>
      <w:r w:rsidRPr="009C2FB5">
        <w:rPr>
          <w:rFonts w:eastAsia="Calibri"/>
          <w:lang w:val="en-GB"/>
        </w:rPr>
        <w:t xml:space="preserve"> Bidirectional reasoning that includes forward forecasting (anticipating future hazards and quality drift) and backward causal updating (revising design rules from observed execution variances). Includes probabilistic ontologies and uncertainty quantification.</w:t>
      </w:r>
    </w:p>
    <w:p w14:paraId="0ED1C771"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b/>
          <w:bCs/>
          <w:lang w:val="en-GB"/>
        </w:rPr>
        <w:t>Decision and Governance Layer.</w:t>
      </w:r>
      <w:r w:rsidRPr="009C2FB5">
        <w:rPr>
          <w:rFonts w:eastAsia="Calibri"/>
          <w:lang w:val="en-GB"/>
        </w:rPr>
        <w:t xml:space="preserve"> Uncertainty-aware intervention thresholds, human-in-the-loop override authority, and immutable audit trails for accountable autonomous action.</w:t>
      </w:r>
    </w:p>
    <w:p w14:paraId="20DCE0F1" w14:textId="77777777" w:rsidR="0053712C" w:rsidRPr="009C2FB5" w:rsidRDefault="00000000" w:rsidP="00372924">
      <w:pPr>
        <w:spacing w:before="80" w:after="120" w:line="320" w:lineRule="auto"/>
        <w:jc w:val="both"/>
      </w:pPr>
      <w:r w:rsidRPr="009C2FB5">
        <w:rPr>
          <w:rFonts w:eastAsia="Calibri"/>
          <w:b/>
          <w:bCs/>
        </w:rPr>
        <w:t>Figure 2.</w:t>
      </w:r>
      <w:r w:rsidRPr="009C2FB5">
        <w:rPr>
          <w:rFonts w:eastAsia="Calibri"/>
        </w:rPr>
        <w:t xml:space="preserve"> XS-CDT paradigm architecture. </w:t>
      </w:r>
      <w:r w:rsidRPr="009C2FB5">
        <w:rPr>
          <w:rFonts w:eastAsia="Calibri"/>
          <w:i/>
          <w:iCs/>
        </w:rPr>
        <w:t>[Production note: replace placeholder with a publication-quality figure showing the five layers, the three cross-stage data objects, and the bidirectional information flows across the design–construction–handover–operation lifecycle.]</w:t>
      </w:r>
    </w:p>
    <w:p w14:paraId="54AE3B71"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5.2 The Requirement Object (RO) — addressing Design for Quality</w:t>
      </w:r>
    </w:p>
    <w:p w14:paraId="3B2B393D" w14:textId="77777777" w:rsidR="0053712C" w:rsidRPr="009C2FB5" w:rsidRDefault="00000000" w:rsidP="00372924">
      <w:pPr>
        <w:spacing w:before="80" w:after="120" w:line="320" w:lineRule="auto"/>
        <w:jc w:val="both"/>
      </w:pPr>
      <w:r w:rsidRPr="009C2FB5">
        <w:rPr>
          <w:rFonts w:eastAsia="Calibri"/>
        </w:rPr>
        <w:t>The Requirement Object is the formal mechanism for cross-stage user requirement traceability. It addresses Gap 1 (cross-stage information discontinuity) specifically for the quality dimension.</w:t>
      </w:r>
    </w:p>
    <w:p w14:paraId="043FB52D" w14:textId="77777777" w:rsidR="0053712C" w:rsidRPr="009C2FB5" w:rsidRDefault="00000000" w:rsidP="00372924">
      <w:pPr>
        <w:spacing w:before="80" w:after="120" w:line="320" w:lineRule="auto"/>
        <w:jc w:val="both"/>
      </w:pPr>
      <w:r w:rsidRPr="009C2FB5">
        <w:rPr>
          <w:rFonts w:eastAsia="Calibri"/>
          <w:b/>
          <w:bCs/>
        </w:rPr>
        <w:t>Formal definition.</w:t>
      </w:r>
      <w:r w:rsidRPr="009C2FB5">
        <w:rPr>
          <w:rFonts w:eastAsia="Calibri"/>
        </w:rPr>
        <w:t xml:space="preserve"> Let a requirement be defined as a tuple:</w:t>
      </w:r>
    </w:p>
    <w:p w14:paraId="1B1634ED" w14:textId="77777777" w:rsidR="0053712C" w:rsidRPr="009C2FB5" w:rsidRDefault="00000000" w:rsidP="00372924">
      <w:pPr>
        <w:spacing w:before="80" w:after="120" w:line="320" w:lineRule="auto"/>
        <w:jc w:val="both"/>
      </w:pPr>
      <w:r w:rsidRPr="009C2FB5">
        <w:rPr>
          <w:rFonts w:eastAsia="Calibri"/>
        </w:rPr>
        <w:t>R = ⟨id, source, predicate, target, evidence_t, status_t⟩</w:t>
      </w:r>
    </w:p>
    <w:p w14:paraId="3DF916B4" w14:textId="77777777" w:rsidR="0053712C" w:rsidRPr="009C2FB5" w:rsidRDefault="00000000" w:rsidP="00372924">
      <w:pPr>
        <w:spacing w:before="80" w:after="120" w:line="320" w:lineRule="auto"/>
        <w:jc w:val="both"/>
      </w:pPr>
      <w:r w:rsidRPr="009C2FB5">
        <w:rPr>
          <w:rFonts w:eastAsia="Calibri"/>
        </w:rPr>
        <w:t>where:</w:t>
      </w:r>
    </w:p>
    <w:p w14:paraId="17E8D07C"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id</w:t>
      </w:r>
      <w:r w:rsidRPr="009C2FB5">
        <w:rPr>
          <w:rFonts w:eastAsia="Calibri"/>
          <w:lang w:val="en-GB"/>
        </w:rPr>
        <w:t xml:space="preserve"> is a globally unique persistent identifier surviving all phase transitions;</w:t>
      </w:r>
    </w:p>
    <w:p w14:paraId="5992D766"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source</w:t>
      </w:r>
      <w:r w:rsidRPr="009C2FB5">
        <w:rPr>
          <w:rFonts w:eastAsia="Calibri"/>
          <w:lang w:val="en-GB"/>
        </w:rPr>
        <w:t xml:space="preserve"> identifies the stakeholder and document of origin (e.g., user brief clause 4.2);</w:t>
      </w:r>
    </w:p>
    <w:p w14:paraId="715E404A"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predicate</w:t>
      </w:r>
      <w:r w:rsidRPr="009C2FB5">
        <w:rPr>
          <w:rFonts w:eastAsia="Calibri"/>
          <w:lang w:val="en-GB"/>
        </w:rPr>
        <w:t xml:space="preserve"> is a machine-readable specification of what the requirement asserts, encoded using the Information Delivery Specification (IDS) standard;</w:t>
      </w:r>
    </w:p>
    <w:p w14:paraId="47D547BA"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target</w:t>
      </w:r>
      <w:r w:rsidRPr="009C2FB5">
        <w:rPr>
          <w:rFonts w:eastAsia="Calibri"/>
          <w:lang w:val="en-GB"/>
        </w:rPr>
        <w:t xml:space="preserve"> identifies the BIM object(s), spatial zone(s), or system(s) the requirement applies to;</w:t>
      </w:r>
    </w:p>
    <w:p w14:paraId="5C2D7353"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evidence_t</w:t>
      </w:r>
      <w:r w:rsidRPr="009C2FB5">
        <w:rPr>
          <w:rFonts w:eastAsia="Calibri"/>
          <w:lang w:val="en-GB"/>
        </w:rPr>
        <w:t xml:space="preserve"> is the time-stamped record of evidence relating to the requirement's satisfaction (design conformance checks, construction inspection records, operational performance data);</w:t>
      </w:r>
    </w:p>
    <w:p w14:paraId="56AE1F4D"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status_t</w:t>
      </w:r>
      <w:r w:rsidRPr="009C2FB5">
        <w:rPr>
          <w:rFonts w:eastAsia="Calibri"/>
          <w:lang w:val="en-GB"/>
        </w:rPr>
        <w:t xml:space="preserve"> is the current conformance status (satisfied, partially satisfied, unsatisfied, unknown) at time t.</w:t>
      </w:r>
    </w:p>
    <w:p w14:paraId="70F3B93E" w14:textId="77777777" w:rsidR="0053712C" w:rsidRPr="009C2FB5" w:rsidRDefault="00000000" w:rsidP="00372924">
      <w:pPr>
        <w:spacing w:before="80" w:after="120" w:line="320" w:lineRule="auto"/>
        <w:jc w:val="both"/>
      </w:pPr>
      <w:r w:rsidRPr="009C2FB5">
        <w:rPr>
          <w:rFonts w:eastAsia="Calibri"/>
          <w:b/>
          <w:bCs/>
        </w:rPr>
        <w:t>Cross-stage propagation.</w:t>
      </w:r>
      <w:r w:rsidRPr="009C2FB5">
        <w:rPr>
          <w:rFonts w:eastAsia="Calibri"/>
        </w:rPr>
        <w:t xml:space="preserve"> The RO is instantiated at briefing stage, enriched with design-stage evidence at the Stage 4 (Technical Design) gateway, augmented with construction inspection evidence at handover, and continuously updated at operation through sensor-derived performance data. The status_t field is recomputed at each enrichment; an RO whose operational status_t deviates from its briefing-stage predicate constitutes a performance gap that is directly attributable and traceable to a specific original requirement.</w:t>
      </w:r>
    </w:p>
    <w:p w14:paraId="51166B6B" w14:textId="77777777" w:rsidR="0053712C" w:rsidRPr="009C2FB5" w:rsidRDefault="00000000" w:rsidP="00372924">
      <w:pPr>
        <w:spacing w:before="80" w:after="120" w:line="320" w:lineRule="auto"/>
        <w:jc w:val="both"/>
      </w:pPr>
      <w:r w:rsidRPr="009C2FB5">
        <w:rPr>
          <w:rFonts w:eastAsia="Calibri"/>
          <w:b/>
          <w:bCs/>
        </w:rPr>
        <w:t>Implementation.</w:t>
      </w:r>
      <w:r w:rsidRPr="009C2FB5">
        <w:rPr>
          <w:rFonts w:eastAsia="Calibri"/>
        </w:rPr>
        <w:t xml:space="preserve"> The RO can be implemented as an extension to the IFC schema (analogous to the IFC Monitor extension proposed by Theiler et al. [Theiler2018] for structural health monitoring), or as a federated linked-data graph following the semantic DT approach articulated by Boje et al. [Boje2020]. Both implementations are compatible with the Common Data Environment (CDE) framework specified by ISO 19650.</w:t>
      </w:r>
    </w:p>
    <w:p w14:paraId="6423D74A" w14:textId="77777777" w:rsidR="0053712C" w:rsidRPr="009C2FB5" w:rsidRDefault="00000000" w:rsidP="00372924">
      <w:pPr>
        <w:spacing w:before="80" w:after="120" w:line="320" w:lineRule="auto"/>
        <w:jc w:val="both"/>
      </w:pPr>
      <w:r w:rsidRPr="009C2FB5">
        <w:rPr>
          <w:rFonts w:eastAsia="Calibri"/>
          <w:b/>
          <w:bCs/>
        </w:rPr>
        <w:t>Distinction from existing work.</w:t>
      </w:r>
      <w:r w:rsidRPr="009C2FB5">
        <w:rPr>
          <w:rFonts w:eastAsia="Calibri"/>
        </w:rPr>
        <w:t xml:space="preserve"> Boje et al. [Boje2020] propose semantic encoding of construction-stage data without specifying the persistent requirement object that would carry briefing-stage intent. Hossain et al. [Hossain2018] formalise design-stage safety knowledge but do not address user requirements as a cross-stage queryable entity. The RO synthesises and extends both contributions by being explicitly persistent across all five stages and by encoding the satisfaction predicate in a machine-checkable form.</w:t>
      </w:r>
    </w:p>
    <w:p w14:paraId="4E070F8B"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5.3 The Design Safety Object (DSO) — addressing Design for Safety</w:t>
      </w:r>
    </w:p>
    <w:p w14:paraId="7FEC2348" w14:textId="77777777" w:rsidR="0053712C" w:rsidRPr="009C2FB5" w:rsidRDefault="00000000" w:rsidP="00372924">
      <w:pPr>
        <w:spacing w:before="80" w:after="120" w:line="320" w:lineRule="auto"/>
        <w:jc w:val="both"/>
      </w:pPr>
      <w:r w:rsidRPr="009C2FB5">
        <w:rPr>
          <w:rFonts w:eastAsia="Calibri"/>
        </w:rPr>
        <w:t>The Design Safety Object is the formal mechanism for cross-stage propagation of Prevention through Design intent. It addresses Gap 2 (PtD digitisation absence) and operates as the structured handoff between the designer and the construction-stage safety DT.</w:t>
      </w:r>
    </w:p>
    <w:p w14:paraId="21126E8E" w14:textId="77777777" w:rsidR="0053712C" w:rsidRPr="009C2FB5" w:rsidRDefault="00000000" w:rsidP="00372924">
      <w:pPr>
        <w:spacing w:before="80" w:after="120" w:line="320" w:lineRule="auto"/>
        <w:jc w:val="both"/>
      </w:pPr>
      <w:r w:rsidRPr="009C2FB5">
        <w:rPr>
          <w:rFonts w:eastAsia="Calibri"/>
          <w:b/>
          <w:bCs/>
        </w:rPr>
        <w:t>Formal definition.</w:t>
      </w:r>
      <w:r w:rsidRPr="009C2FB5">
        <w:rPr>
          <w:rFonts w:eastAsia="Calibri"/>
        </w:rPr>
        <w:t xml:space="preserve"> Let a design safety decision be defined as a tuple:</w:t>
      </w:r>
    </w:p>
    <w:p w14:paraId="5B27F88E" w14:textId="77777777" w:rsidR="0053712C" w:rsidRPr="009C2FB5" w:rsidRDefault="00000000" w:rsidP="00372924">
      <w:pPr>
        <w:spacing w:before="80" w:after="120" w:line="320" w:lineRule="auto"/>
        <w:jc w:val="both"/>
      </w:pPr>
      <w:r w:rsidRPr="009C2FB5">
        <w:rPr>
          <w:rFonts w:eastAsia="Calibri"/>
        </w:rPr>
        <w:t>D = ⟨id, hazard, mitigation, residual_risk, instructions, validation_t⟩</w:t>
      </w:r>
    </w:p>
    <w:p w14:paraId="2777378E" w14:textId="77777777" w:rsidR="0053712C" w:rsidRPr="009C2FB5" w:rsidRDefault="00000000" w:rsidP="00372924">
      <w:pPr>
        <w:spacing w:before="80" w:after="120" w:line="320" w:lineRule="auto"/>
        <w:jc w:val="both"/>
      </w:pPr>
      <w:r w:rsidRPr="009C2FB5">
        <w:rPr>
          <w:rFonts w:eastAsia="Calibri"/>
        </w:rPr>
        <w:t>where:</w:t>
      </w:r>
    </w:p>
    <w:p w14:paraId="239AFF81"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id</w:t>
      </w:r>
      <w:r w:rsidRPr="009C2FB5">
        <w:rPr>
          <w:rFonts w:eastAsia="Calibri"/>
          <w:lang w:val="en-GB"/>
        </w:rPr>
        <w:t xml:space="preserve"> is a globally unique persistent identifier;</w:t>
      </w:r>
    </w:p>
    <w:p w14:paraId="0C48C531"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hazard</w:t>
      </w:r>
      <w:r w:rsidRPr="009C2FB5">
        <w:rPr>
          <w:rFonts w:eastAsia="Calibri"/>
          <w:lang w:val="en-GB"/>
        </w:rPr>
        <w:t xml:space="preserve"> identifies the construction-phase hazard the design decision is intended to eliminate or mitigate, encoded against a standardised hazard taxonomy (e.g., OSHA fatal four; UK HSE accident categories);</w:t>
      </w:r>
    </w:p>
    <w:p w14:paraId="5EC1ADA9"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mitigation</w:t>
      </w:r>
      <w:r w:rsidRPr="009C2FB5">
        <w:rPr>
          <w:rFonts w:eastAsia="Calibri"/>
          <w:lang w:val="en-GB"/>
        </w:rPr>
        <w:t xml:space="preserve"> describes the design intervention (e.g., specification of permanent edge protection in place of temporary scaffolding; selection of prefabricated assembly to remove working at height);</w:t>
      </w:r>
    </w:p>
    <w:p w14:paraId="47300376"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residual_risk</w:t>
      </w:r>
      <w:r w:rsidRPr="009C2FB5">
        <w:rPr>
          <w:rFonts w:eastAsia="Calibri"/>
          <w:lang w:val="en-GB"/>
        </w:rPr>
        <w:t xml:space="preserve"> quantifies the risk that remains after the mitigation has been applied, ideally as a probability distribution rather than a point estimate;</w:t>
      </w:r>
    </w:p>
    <w:p w14:paraId="1801A242"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instructions</w:t>
      </w:r>
      <w:r w:rsidRPr="009C2FB5">
        <w:rPr>
          <w:rFonts w:eastAsia="Calibri"/>
          <w:lang w:val="en-GB"/>
        </w:rPr>
        <w:t xml:space="preserve"> contains structured information that must be passed to the Principal Contractor's construction-stage DT — including hazard zones, exclusion areas, sequencing constraints, and required PPE in specific zones;</w:t>
      </w:r>
    </w:p>
    <w:p w14:paraId="11BA7008"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validation_t</w:t>
      </w:r>
      <w:r w:rsidRPr="009C2FB5">
        <w:rPr>
          <w:rFonts w:eastAsia="Calibri"/>
          <w:lang w:val="en-GB"/>
        </w:rPr>
        <w:t xml:space="preserve"> records whether the residual risk has been confirmed or refuted by site observations during construction.</w:t>
      </w:r>
    </w:p>
    <w:p w14:paraId="3868A345" w14:textId="77777777" w:rsidR="0053712C" w:rsidRPr="009C2FB5" w:rsidRDefault="00000000" w:rsidP="00372924">
      <w:pPr>
        <w:spacing w:before="80" w:after="120" w:line="320" w:lineRule="auto"/>
        <w:jc w:val="both"/>
      </w:pPr>
      <w:r w:rsidRPr="009C2FB5">
        <w:rPr>
          <w:rFonts w:eastAsia="Calibri"/>
          <w:b/>
          <w:bCs/>
        </w:rPr>
        <w:t>Cross-stage propagation.</w:t>
      </w:r>
      <w:r w:rsidRPr="009C2FB5">
        <w:rPr>
          <w:rFonts w:eastAsia="Calibri"/>
        </w:rPr>
        <w:t xml:space="preserve"> The DSO is created during the design risk assessment workshop at RIBA Plan of Work Stage 4 (Technical Design). At construction stage, the DSO populates the construction-stage safety DT's hazard register and informs the placement of geofences, computer vision detection zones, and wearable alerting protocols. The validation_t field is updated continuously from near-miss observations and incident reports, providing the empirical evidence base for revising the design-stage assumptions in subsequent projects.</w:t>
      </w:r>
    </w:p>
    <w:p w14:paraId="214C6908" w14:textId="77777777" w:rsidR="0053712C" w:rsidRPr="009C2FB5" w:rsidRDefault="00000000" w:rsidP="00372924">
      <w:pPr>
        <w:spacing w:before="80" w:after="120" w:line="320" w:lineRule="auto"/>
        <w:jc w:val="both"/>
      </w:pPr>
      <w:r w:rsidRPr="009C2FB5">
        <w:rPr>
          <w:rFonts w:eastAsia="Calibri"/>
          <w:b/>
          <w:bCs/>
        </w:rPr>
        <w:t>The backward causal updating mechanism.</w:t>
      </w:r>
      <w:r w:rsidRPr="009C2FB5">
        <w:rPr>
          <w:rFonts w:eastAsia="Calibri"/>
        </w:rPr>
        <w:t xml:space="preserve"> If the validation_t field records that the residual_risk was systematically underestimated (for example, near-miss telemetry shows that the actual residual risk under specific weather conditions is higher than the designer's a priori estimate), the DSO triggers a backward update to the design-stage DfS knowledge library. This formalises the previously informal feedback from construction to design that current systems lack.</w:t>
      </w:r>
    </w:p>
    <w:p w14:paraId="0B661F04" w14:textId="77777777" w:rsidR="0053712C" w:rsidRPr="009C2FB5" w:rsidRDefault="00000000" w:rsidP="00372924">
      <w:pPr>
        <w:spacing w:before="80" w:after="120" w:line="320" w:lineRule="auto"/>
        <w:jc w:val="both"/>
      </w:pPr>
      <w:r w:rsidRPr="009C2FB5">
        <w:rPr>
          <w:rFonts w:eastAsia="Calibri"/>
          <w:b/>
          <w:bCs/>
        </w:rPr>
        <w:t>Distinction from existing work.</w:t>
      </w:r>
      <w:r w:rsidRPr="009C2FB5">
        <w:rPr>
          <w:rFonts w:eastAsia="Calibri"/>
        </w:rPr>
        <w:t xml:space="preserve"> Liu et al. [Liu2021] formalise risk coupling at construction stage but begin with no upstream design data structure. Hossain et al. [Hossain2018] provide a designer's knowledge library but no construction-stage receiving structure. The DSO closes this loop by being a single data object instantiated at design and consumed at construction, with empirically validated backward propagation to design.</w:t>
      </w:r>
    </w:p>
    <w:p w14:paraId="67C09E63"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5.4 The Cross-Thread Mediator (CTM) — the quality–safety trade-off</w:t>
      </w:r>
    </w:p>
    <w:p w14:paraId="6389362C" w14:textId="77777777" w:rsidR="0053712C" w:rsidRPr="009C2FB5" w:rsidRDefault="00000000" w:rsidP="00372924">
      <w:pPr>
        <w:spacing w:before="80" w:after="120" w:line="320" w:lineRule="auto"/>
        <w:jc w:val="both"/>
      </w:pPr>
      <w:r w:rsidRPr="009C2FB5">
        <w:rPr>
          <w:rFonts w:eastAsia="Calibri"/>
        </w:rPr>
        <w:t>Design decisions frequently produce trade-offs between quality and safety. A complex façade geometry may serve aesthetic quality objectives while substantially increasing construction-phase fall risk. A prefabrication strategy may reduce on-site safety risk while introducing dimensional tolerance issues that compromise installed quality. These trade-offs are currently resolved through informal buildability reviews and individual designer judgement; they leave no structured audit trail.</w:t>
      </w:r>
    </w:p>
    <w:p w14:paraId="21F019A4" w14:textId="77777777" w:rsidR="0053712C" w:rsidRPr="009C2FB5" w:rsidRDefault="00000000" w:rsidP="00372924">
      <w:pPr>
        <w:spacing w:before="80" w:after="120" w:line="320" w:lineRule="auto"/>
        <w:jc w:val="both"/>
      </w:pPr>
      <w:r w:rsidRPr="009C2FB5">
        <w:rPr>
          <w:rFonts w:eastAsia="Calibri"/>
          <w:b/>
          <w:bCs/>
        </w:rPr>
        <w:t>Formal definition.</w:t>
      </w:r>
      <w:r w:rsidRPr="009C2FB5">
        <w:rPr>
          <w:rFonts w:eastAsia="Calibri"/>
        </w:rPr>
        <w:t xml:space="preserve"> The Cross-Thread Mediator is a decision record M defined as:</w:t>
      </w:r>
    </w:p>
    <w:p w14:paraId="13147263" w14:textId="77777777" w:rsidR="0053712C" w:rsidRPr="009C2FB5" w:rsidRDefault="00000000" w:rsidP="00372924">
      <w:pPr>
        <w:spacing w:before="80" w:after="120" w:line="320" w:lineRule="auto"/>
        <w:jc w:val="both"/>
      </w:pPr>
      <w:r w:rsidRPr="009C2FB5">
        <w:rPr>
          <w:rFonts w:eastAsia="Calibri"/>
        </w:rPr>
        <w:t>M = ⟨id, decision, ROs_affected, DSOs_affected, trade_off_analysis, accountability⟩</w:t>
      </w:r>
    </w:p>
    <w:p w14:paraId="1274F039" w14:textId="77777777" w:rsidR="0053712C" w:rsidRPr="009C2FB5" w:rsidRDefault="00000000" w:rsidP="00372924">
      <w:pPr>
        <w:spacing w:before="80" w:after="120" w:line="320" w:lineRule="auto"/>
        <w:jc w:val="both"/>
      </w:pPr>
      <w:r w:rsidRPr="009C2FB5">
        <w:rPr>
          <w:rFonts w:eastAsia="Calibri"/>
        </w:rPr>
        <w:t>where:</w:t>
      </w:r>
    </w:p>
    <w:p w14:paraId="2B306D49"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decision</w:t>
      </w:r>
      <w:r w:rsidRPr="009C2FB5">
        <w:rPr>
          <w:rFonts w:eastAsia="Calibri"/>
          <w:lang w:val="en-GB"/>
        </w:rPr>
        <w:t xml:space="preserve"> describes the design choice being recorded;</w:t>
      </w:r>
    </w:p>
    <w:p w14:paraId="7BDD544B"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ROs_affected</w:t>
      </w:r>
      <w:r w:rsidRPr="009C2FB5">
        <w:rPr>
          <w:rFonts w:eastAsia="Calibri"/>
          <w:lang w:val="en-GB"/>
        </w:rPr>
        <w:t xml:space="preserve"> and </w:t>
      </w:r>
      <w:r w:rsidRPr="009C2FB5">
        <w:rPr>
          <w:rFonts w:eastAsia="Calibri"/>
          <w:i/>
          <w:iCs/>
          <w:lang w:val="en-GB"/>
        </w:rPr>
        <w:t>DSOs_affected</w:t>
      </w:r>
      <w:r w:rsidRPr="009C2FB5">
        <w:rPr>
          <w:rFonts w:eastAsia="Calibri"/>
          <w:lang w:val="en-GB"/>
        </w:rPr>
        <w:t xml:space="preserve"> link to the Requirement Objects and Design Safety Objects affected by the decision;</w:t>
      </w:r>
    </w:p>
    <w:p w14:paraId="74F7CC16"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trade_off_analysis</w:t>
      </w:r>
      <w:r w:rsidRPr="009C2FB5">
        <w:rPr>
          <w:rFonts w:eastAsia="Calibri"/>
          <w:lang w:val="en-GB"/>
        </w:rPr>
        <w:t xml:space="preserve"> records the quantified expected impact on each affected RO and DSO;</w:t>
      </w:r>
    </w:p>
    <w:p w14:paraId="615D5828"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i/>
          <w:iCs/>
          <w:lang w:val="en-GB"/>
        </w:rPr>
        <w:t>accountability</w:t>
      </w:r>
      <w:r w:rsidRPr="009C2FB5">
        <w:rPr>
          <w:rFonts w:eastAsia="Calibri"/>
          <w:lang w:val="en-GB"/>
        </w:rPr>
        <w:t xml:space="preserve"> records the decision authority and the date of the decision.</w:t>
      </w:r>
    </w:p>
    <w:p w14:paraId="550BF396" w14:textId="77777777" w:rsidR="0053712C" w:rsidRPr="009C2FB5" w:rsidRDefault="00000000" w:rsidP="00372924">
      <w:pPr>
        <w:spacing w:before="80" w:after="120" w:line="320" w:lineRule="auto"/>
        <w:jc w:val="both"/>
      </w:pPr>
      <w:r w:rsidRPr="009C2FB5">
        <w:rPr>
          <w:rFonts w:eastAsia="Calibri"/>
        </w:rPr>
        <w:t>The CTM does not automatically resolve trade-offs; it makes them explicit, auditable and queryable. This is a deliberate choice: the resolution of multi-objective design trade-offs is a contested normative question that should remain with accountable human decision-makers rather than be abdicated to an optimisation algorithm.</w:t>
      </w:r>
    </w:p>
    <w:p w14:paraId="468CA166"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5.5 Convergence criterion and cyber-physical assurance</w:t>
      </w:r>
    </w:p>
    <w:p w14:paraId="1C18B314" w14:textId="77777777" w:rsidR="0053712C" w:rsidRPr="009C2FB5" w:rsidRDefault="00000000" w:rsidP="00372924">
      <w:pPr>
        <w:spacing w:before="80" w:after="120" w:line="320" w:lineRule="auto"/>
        <w:jc w:val="both"/>
      </w:pPr>
      <w:r w:rsidRPr="009C2FB5">
        <w:rPr>
          <w:rFonts w:eastAsia="Calibri"/>
        </w:rPr>
        <w:t>The XS-CDT specifies a convergence criterion that operationalises the cross-stage twin metaphor. Let Δ_t denote the discrepancy at time t between the observed asset state o_t and the state predicted by the current DT model from the cross-stage data objects:</w:t>
      </w:r>
    </w:p>
    <w:p w14:paraId="7A9AC4C1" w14:textId="77777777" w:rsidR="0053712C" w:rsidRPr="009C2FB5" w:rsidRDefault="00000000" w:rsidP="00372924">
      <w:pPr>
        <w:spacing w:before="80" w:after="120" w:line="320" w:lineRule="auto"/>
        <w:jc w:val="both"/>
      </w:pPr>
      <w:r w:rsidRPr="009C2FB5">
        <w:rPr>
          <w:rFonts w:eastAsia="Calibri"/>
        </w:rPr>
        <w:t>Δ_t = d(o_t, ô_t)</w:t>
      </w:r>
    </w:p>
    <w:p w14:paraId="1E7B0CB0" w14:textId="77777777" w:rsidR="0053712C" w:rsidRPr="009C2FB5" w:rsidRDefault="00000000" w:rsidP="00372924">
      <w:pPr>
        <w:spacing w:before="80" w:after="120" w:line="320" w:lineRule="auto"/>
        <w:jc w:val="both"/>
      </w:pPr>
      <w:r w:rsidRPr="009C2FB5">
        <w:rPr>
          <w:rFonts w:eastAsia="Calibri"/>
        </w:rPr>
        <w:t xml:space="preserve">where d is a domain-appropriate distance metric (e.g., Wasserstein distance for distributions, Hausdorff distance for geometries). The DT is said to be </w:t>
      </w:r>
      <w:r w:rsidRPr="009C2FB5">
        <w:rPr>
          <w:rFonts w:eastAsia="Calibri"/>
          <w:b/>
          <w:bCs/>
        </w:rPr>
        <w:t>converged</w:t>
      </w:r>
      <w:r w:rsidRPr="009C2FB5">
        <w:rPr>
          <w:rFonts w:eastAsia="Calibri"/>
        </w:rPr>
        <w:t xml:space="preserve"> when:</w:t>
      </w:r>
    </w:p>
    <w:p w14:paraId="71A2770E" w14:textId="77777777" w:rsidR="0053712C" w:rsidRPr="009C2FB5" w:rsidRDefault="00000000" w:rsidP="00372924">
      <w:pPr>
        <w:spacing w:before="80" w:after="120" w:line="320" w:lineRule="auto"/>
        <w:jc w:val="both"/>
      </w:pPr>
      <w:r w:rsidRPr="009C2FB5">
        <w:rPr>
          <w:rFonts w:eastAsia="Calibri"/>
        </w:rPr>
        <w:t>E[Δ_t] &lt; ε AND Var[Δ_t] &lt; δ</w:t>
      </w:r>
    </w:p>
    <w:p w14:paraId="00BE39FE" w14:textId="77777777" w:rsidR="0053712C" w:rsidRPr="009C2FB5" w:rsidRDefault="00000000" w:rsidP="00372924">
      <w:pPr>
        <w:spacing w:before="80" w:after="120" w:line="320" w:lineRule="auto"/>
        <w:jc w:val="both"/>
      </w:pPr>
      <w:r w:rsidRPr="009C2FB5">
        <w:rPr>
          <w:rFonts w:eastAsia="Calibri"/>
        </w:rPr>
        <w:t>for pre-specified tolerance parameters ε (bias) and δ (dispersion) calibrated to the safety-criticality of the application. This criterion, drawn from control theory and aligned with the cyber-physical synchronisation framework articulated by Tao et al. [Tao2019], provides a falsifiable benchmark: an XS-CDT implementation either achieves bounded observation residual or it does not.</w:t>
      </w:r>
    </w:p>
    <w:p w14:paraId="1CC379F3" w14:textId="77777777" w:rsidR="0053712C" w:rsidRPr="009C2FB5" w:rsidRDefault="00000000" w:rsidP="00372924">
      <w:pPr>
        <w:spacing w:before="80" w:after="120" w:line="320" w:lineRule="auto"/>
        <w:jc w:val="both"/>
      </w:pPr>
      <w:r w:rsidRPr="009C2FB5">
        <w:rPr>
          <w:rFonts w:eastAsia="Calibri"/>
        </w:rPr>
        <w:t>The criterion is intentionally model-agnostic. It does not specify whether the predictive model f is a physics-based simulator, a learned neural model, or a hybrid; it specifies only the empirical condition the implementation must satisfy. This enables comparative evaluation across implementations using different technical approaches.</w:t>
      </w:r>
    </w:p>
    <w:p w14:paraId="122A2D5B"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5.6 Lifecycle continuity beyond handover</w:t>
      </w:r>
    </w:p>
    <w:p w14:paraId="771AC55F" w14:textId="77777777" w:rsidR="0053712C" w:rsidRPr="009C2FB5" w:rsidRDefault="00000000" w:rsidP="00372924">
      <w:pPr>
        <w:spacing w:before="80" w:after="120" w:line="320" w:lineRule="auto"/>
        <w:jc w:val="both"/>
      </w:pPr>
      <w:r w:rsidRPr="009C2FB5">
        <w:rPr>
          <w:rFonts w:eastAsia="Calibri"/>
        </w:rPr>
        <w:t>A defining characteristic of the XS-CDT is persistence across the construction-to-operation handover. The three data objects (RO, DSO, CTM) are not discarded at handover; they are transferred to the operational DT as probabilistically initialised priors. The backward causal updating mechanism continues to operate at the operation stage, now assimilating structural health monitoring data, occupancy patterns, BMS readings, and maintenance logs to refine the operational predictive models and — crucially — to feed empirical evidence back to the design-stage knowledge libraries through the RO and DSO data structures.</w:t>
      </w:r>
    </w:p>
    <w:p w14:paraId="5912D6BE" w14:textId="77777777" w:rsidR="0053712C" w:rsidRPr="009C2FB5" w:rsidRDefault="00000000" w:rsidP="00372924">
      <w:pPr>
        <w:spacing w:before="80" w:after="120" w:line="320" w:lineRule="auto"/>
        <w:jc w:val="both"/>
      </w:pPr>
      <w:r w:rsidRPr="009C2FB5">
        <w:rPr>
          <w:rFonts w:eastAsia="Calibri"/>
        </w:rPr>
        <w:t>This is the mechanism by which the paradigm closes the performance gap problem [Bordass2004]: operational reality is empirically connected back to design intent through machine-readable data objects, enabling the next generation of designs to embed lessons learned from prior operational evidence.</w:t>
      </w:r>
    </w:p>
    <w:p w14:paraId="42C5179B"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6. Discussion and Research Agenda</w:t>
      </w:r>
    </w:p>
    <w:p w14:paraId="1E277452"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6.1 Addressing the research questions</w:t>
      </w:r>
    </w:p>
    <w:p w14:paraId="6AA62D8D" w14:textId="77777777" w:rsidR="0053712C" w:rsidRPr="009C2FB5" w:rsidRDefault="00000000" w:rsidP="00372924">
      <w:pPr>
        <w:spacing w:before="80" w:after="120" w:line="320" w:lineRule="auto"/>
        <w:jc w:val="both"/>
      </w:pPr>
      <w:r w:rsidRPr="009C2FB5">
        <w:rPr>
          <w:rFonts w:eastAsia="Calibri"/>
          <w:b/>
          <w:bCs/>
        </w:rPr>
        <w:t>RQ1.</w:t>
      </w:r>
      <w:r w:rsidRPr="009C2FB5">
        <w:rPr>
          <w:rFonts w:eastAsia="Calibri"/>
        </w:rPr>
        <w:t xml:space="preserve"> </w:t>
      </w:r>
      <w:r w:rsidRPr="009C2FB5">
        <w:rPr>
          <w:rFonts w:eastAsia="Calibri"/>
          <w:i/>
          <w:iCs/>
        </w:rPr>
        <w:t>How do current AECO DT architectures handle the transition between lifecycle stages, and which stage transitions exhibit the greatest information loss?</w:t>
      </w:r>
      <w:r w:rsidRPr="009C2FB5">
        <w:rPr>
          <w:rFonts w:eastAsia="Calibri"/>
        </w:rPr>
        <w:t xml:space="preserve"> The lifecycle-organised synthesis in Section 3 reveals that research density is concentrated within the construction and operation stages, while the conceptual design stage is moderately represented and the tender and handover stages are very sparsely covered. The transitions between stages — particularly design-to-construction and construction-to-handover — are the least researched zones of all. This distribution provides the empirical foundation for treating cross-stage continuity as the structural gap of the field rather than a peripheral concern.</w:t>
      </w:r>
    </w:p>
    <w:p w14:paraId="042E6A2B" w14:textId="77777777" w:rsidR="0053712C" w:rsidRPr="009C2FB5" w:rsidRDefault="00000000" w:rsidP="00372924">
      <w:pPr>
        <w:spacing w:before="80" w:after="120" w:line="320" w:lineRule="auto"/>
        <w:jc w:val="both"/>
      </w:pPr>
      <w:r w:rsidRPr="009C2FB5">
        <w:rPr>
          <w:rFonts w:eastAsia="Calibri"/>
          <w:b/>
          <w:bCs/>
        </w:rPr>
        <w:t>RQ2.</w:t>
      </w:r>
      <w:r w:rsidRPr="009C2FB5">
        <w:rPr>
          <w:rFonts w:eastAsia="Calibri"/>
        </w:rPr>
        <w:t xml:space="preserve"> </w:t>
      </w:r>
      <w:r w:rsidRPr="009C2FB5">
        <w:rPr>
          <w:rFonts w:eastAsia="Calibri"/>
          <w:i/>
          <w:iCs/>
        </w:rPr>
        <w:t>What is the prevailing maturity distribution of reported DTs against the Digital Model / Digital Shadow / Digital Twin taxonomy?</w:t>
      </w:r>
      <w:r w:rsidRPr="009C2FB5">
        <w:rPr>
          <w:rFonts w:eastAsia="Calibri"/>
        </w:rPr>
        <w:t xml:space="preserve"> The maturity classification in Section 3.5 shows that the substantial majority of reviewed studies remain at Levels 1–2 (Digital Shadow or Cyber-Physical Interface) — observation and recommendation, but not autonomous closed-loop action. This distribution holds despite the rapid growth in publication output, suggesting that the field is broadening rather than deepening.</w:t>
      </w:r>
    </w:p>
    <w:p w14:paraId="03ABB556" w14:textId="77777777" w:rsidR="0053712C" w:rsidRPr="009C2FB5" w:rsidRDefault="00000000" w:rsidP="00372924">
      <w:pPr>
        <w:spacing w:before="80" w:after="120" w:line="320" w:lineRule="auto"/>
        <w:jc w:val="both"/>
      </w:pPr>
      <w:r w:rsidRPr="009C2FB5">
        <w:rPr>
          <w:rFonts w:eastAsia="Calibri"/>
          <w:b/>
          <w:bCs/>
        </w:rPr>
        <w:t>RQ3.</w:t>
      </w:r>
      <w:r w:rsidRPr="009C2FB5">
        <w:rPr>
          <w:rFonts w:eastAsia="Calibri"/>
        </w:rPr>
        <w:t xml:space="preserve"> </w:t>
      </w:r>
      <w:r w:rsidRPr="009C2FB5">
        <w:rPr>
          <w:rFonts w:eastAsia="Calibri"/>
          <w:i/>
          <w:iCs/>
        </w:rPr>
        <w:t>What methodological limitations constrain progress toward cross-stage cognitive DTs?</w:t>
      </w:r>
      <w:r w:rsidRPr="009C2FB5">
        <w:rPr>
          <w:rFonts w:eastAsia="Calibri"/>
        </w:rPr>
        <w:t xml:space="preserve"> Section 4 identifies five linked gaps: cross-stage information discontinuity, the absence of PtD digitisation, insufficient latency transparency and narrow validation scope, semantic brittleness and uncertainty quantification deficit, and governance under-specification. These gaps are not independent; they form a linked chain such that closing any one in isolation does not advance the field.</w:t>
      </w:r>
    </w:p>
    <w:p w14:paraId="6D58632E" w14:textId="77777777" w:rsidR="0053712C" w:rsidRPr="009C2FB5" w:rsidRDefault="00000000" w:rsidP="00372924">
      <w:pPr>
        <w:spacing w:before="80" w:after="120" w:line="320" w:lineRule="auto"/>
        <w:jc w:val="both"/>
      </w:pPr>
      <w:r w:rsidRPr="009C2FB5">
        <w:rPr>
          <w:rFonts w:eastAsia="Calibri"/>
          <w:b/>
          <w:bCs/>
        </w:rPr>
        <w:t>RQ4.</w:t>
      </w:r>
      <w:r w:rsidRPr="009C2FB5">
        <w:rPr>
          <w:rFonts w:eastAsia="Calibri"/>
        </w:rPr>
        <w:t xml:space="preserve"> </w:t>
      </w:r>
      <w:r w:rsidRPr="009C2FB5">
        <w:rPr>
          <w:rFonts w:eastAsia="Calibri"/>
          <w:i/>
          <w:iCs/>
        </w:rPr>
        <w:t>How can the identified gaps be synthesised into a formally specified paradigm whose components are empirically falsifiable?</w:t>
      </w:r>
      <w:r w:rsidRPr="009C2FB5">
        <w:rPr>
          <w:rFonts w:eastAsia="Calibri"/>
        </w:rPr>
        <w:t xml:space="preserve"> Section 5 develops the XS-CDT paradigm built on three formal data objects (RO, DSO, CTM) and a convergence criterion. Each component is empirically falsifiable: a claimed RO implementation either survives the design-to-operation transition with intact predicate satisfaction status or it does not; a claimed DSO implementation either receives validation_t updates from construction-stage observations or it does not; a claimed XS-CDT either achieves E[Δ_t] &lt; ε or it does not.</w:t>
      </w:r>
    </w:p>
    <w:p w14:paraId="72E1CBBA"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6.2 A research agenda: five propositions</w:t>
      </w:r>
    </w:p>
    <w:p w14:paraId="5B518DB0" w14:textId="77777777" w:rsidR="0053712C" w:rsidRPr="009C2FB5" w:rsidRDefault="00000000" w:rsidP="00372924">
      <w:pPr>
        <w:spacing w:before="80" w:after="120" w:line="320" w:lineRule="auto"/>
        <w:jc w:val="both"/>
      </w:pPr>
      <w:r w:rsidRPr="009C2FB5">
        <w:rPr>
          <w:rFonts w:eastAsia="Calibri"/>
        </w:rPr>
        <w:t>To translate the XS-CDT paradigm into a programme of empirical work, we propose five falsifiable research propositions, each accompanied by a suggested evaluation criterion:</w:t>
      </w:r>
    </w:p>
    <w:p w14:paraId="62B58129" w14:textId="77777777" w:rsidR="0053712C" w:rsidRPr="009C2FB5" w:rsidRDefault="00000000" w:rsidP="00372924">
      <w:pPr>
        <w:spacing w:before="80" w:after="120" w:line="320" w:lineRule="auto"/>
        <w:jc w:val="both"/>
      </w:pPr>
      <w:r w:rsidRPr="009C2FB5">
        <w:rPr>
          <w:rFonts w:eastAsia="Calibri"/>
          <w:b/>
          <w:bCs/>
        </w:rPr>
        <w:t>Proposition P1 (Requirement Object viability).</w:t>
      </w:r>
      <w:r w:rsidRPr="009C2FB5">
        <w:rPr>
          <w:rFonts w:eastAsia="Calibri"/>
        </w:rPr>
        <w:t xml:space="preserve"> </w:t>
      </w:r>
      <w:r w:rsidRPr="009C2FB5">
        <w:rPr>
          <w:rFonts w:eastAsia="Calibri"/>
          <w:i/>
          <w:iCs/>
        </w:rPr>
        <w:t>A persistent Requirement Object can be implemented as an extension to IFC 4.3 and maintain semantic integrity across the design-to-operation lifecycle.</w:t>
      </w:r>
      <w:r w:rsidRPr="009C2FB5">
        <w:rPr>
          <w:rFonts w:eastAsia="Calibri"/>
        </w:rPr>
        <w:t xml:space="preserve"> Evaluation: prototype implementation on a multi-stage demonstrator project; measure the proportion of briefing-stage requirements whose status_t remains queryable at twelve months of operation.</w:t>
      </w:r>
    </w:p>
    <w:p w14:paraId="6828F522" w14:textId="77777777" w:rsidR="0053712C" w:rsidRPr="009C2FB5" w:rsidRDefault="00000000" w:rsidP="00372924">
      <w:pPr>
        <w:spacing w:before="80" w:after="120" w:line="320" w:lineRule="auto"/>
        <w:jc w:val="both"/>
      </w:pPr>
      <w:r w:rsidRPr="009C2FB5">
        <w:rPr>
          <w:rFonts w:eastAsia="Calibri"/>
          <w:b/>
          <w:bCs/>
        </w:rPr>
        <w:t>Proposition P2 (Design Safety Object utility).</w:t>
      </w:r>
      <w:r w:rsidRPr="009C2FB5">
        <w:rPr>
          <w:rFonts w:eastAsia="Calibri"/>
        </w:rPr>
        <w:t xml:space="preserve"> </w:t>
      </w:r>
      <w:r w:rsidRPr="009C2FB5">
        <w:rPr>
          <w:rFonts w:eastAsia="Calibri"/>
          <w:i/>
          <w:iCs/>
        </w:rPr>
        <w:t>A digitised Design Safety Object embedded at design stage and consumed by the construction-stage safety DT reduces near-miss frequency relative to a control project using current PtD documentary practice.</w:t>
      </w:r>
      <w:r w:rsidRPr="009C2FB5">
        <w:rPr>
          <w:rFonts w:eastAsia="Calibri"/>
        </w:rPr>
        <w:t xml:space="preserve"> Evaluation: paired comparison study on matched projects; measure near-miss frequency normalised by exposure hours.</w:t>
      </w:r>
    </w:p>
    <w:p w14:paraId="06510122" w14:textId="77777777" w:rsidR="0053712C" w:rsidRPr="009C2FB5" w:rsidRDefault="00000000" w:rsidP="00372924">
      <w:pPr>
        <w:spacing w:before="80" w:after="120" w:line="320" w:lineRule="auto"/>
        <w:jc w:val="both"/>
      </w:pPr>
      <w:r w:rsidRPr="009C2FB5">
        <w:rPr>
          <w:rFonts w:eastAsia="Calibri"/>
          <w:b/>
          <w:bCs/>
        </w:rPr>
        <w:t>Proposition P3 (Backward causal updating efficacy).</w:t>
      </w:r>
      <w:r w:rsidRPr="009C2FB5">
        <w:rPr>
          <w:rFonts w:eastAsia="Calibri"/>
        </w:rPr>
        <w:t xml:space="preserve"> </w:t>
      </w:r>
      <w:r w:rsidRPr="009C2FB5">
        <w:rPr>
          <w:rFonts w:eastAsia="Calibri"/>
          <w:i/>
          <w:iCs/>
        </w:rPr>
        <w:t>Empirically validated backward updates from construction observations to design-stage safety rules produce measurable improvement in PtD risk forecasts on subsequent projects.</w:t>
      </w:r>
      <w:r w:rsidRPr="009C2FB5">
        <w:rPr>
          <w:rFonts w:eastAsia="Calibri"/>
        </w:rPr>
        <w:t xml:space="preserve"> Evaluation: longitudinal study across multiple projects from the same designer-contractor team; measure the calibration of residual_risk estimates against subsequent observed incident rates.</w:t>
      </w:r>
    </w:p>
    <w:p w14:paraId="6CA5186A" w14:textId="77777777" w:rsidR="0053712C" w:rsidRPr="009C2FB5" w:rsidRDefault="00000000" w:rsidP="00372924">
      <w:pPr>
        <w:spacing w:before="80" w:after="120" w:line="320" w:lineRule="auto"/>
        <w:jc w:val="both"/>
      </w:pPr>
      <w:r w:rsidRPr="009C2FB5">
        <w:rPr>
          <w:rFonts w:eastAsia="Calibri"/>
          <w:b/>
          <w:bCs/>
        </w:rPr>
        <w:t>Proposition P4 (Cross-thread trade-off auditability).</w:t>
      </w:r>
      <w:r w:rsidRPr="009C2FB5">
        <w:rPr>
          <w:rFonts w:eastAsia="Calibri"/>
        </w:rPr>
        <w:t xml:space="preserve"> </w:t>
      </w:r>
      <w:r w:rsidRPr="009C2FB5">
        <w:rPr>
          <w:rFonts w:eastAsia="Calibri"/>
          <w:i/>
          <w:iCs/>
        </w:rPr>
        <w:t>A Cross-Thread Mediator implementation produces a structured audit trail that enables post-hoc reconstruction of quality–safety design trade-offs in dispute resolution and learning-review contexts.</w:t>
      </w:r>
      <w:r w:rsidRPr="009C2FB5">
        <w:rPr>
          <w:rFonts w:eastAsia="Calibri"/>
        </w:rPr>
        <w:t xml:space="preserve"> Evaluation: structured user study with project insurers and HSE inspectors; assess audit completeness and dispute-resolution utility.</w:t>
      </w:r>
    </w:p>
    <w:p w14:paraId="14A69B03" w14:textId="77777777" w:rsidR="0053712C" w:rsidRPr="009C2FB5" w:rsidRDefault="00000000" w:rsidP="00372924">
      <w:pPr>
        <w:spacing w:before="80" w:after="120" w:line="320" w:lineRule="auto"/>
        <w:jc w:val="both"/>
      </w:pPr>
      <w:r w:rsidRPr="009C2FB5">
        <w:rPr>
          <w:rFonts w:eastAsia="Calibri"/>
          <w:b/>
          <w:bCs/>
        </w:rPr>
        <w:t>Proposition P5 (Convergence criterion practicability).</w:t>
      </w:r>
      <w:r w:rsidRPr="009C2FB5">
        <w:rPr>
          <w:rFonts w:eastAsia="Calibri"/>
        </w:rPr>
        <w:t xml:space="preserve"> </w:t>
      </w:r>
      <w:r w:rsidRPr="009C2FB5">
        <w:rPr>
          <w:rFonts w:eastAsia="Calibri"/>
          <w:i/>
          <w:iCs/>
        </w:rPr>
        <w:t>The convergence criterion E[Δ_t] &lt; ε is achievable in operational practice for at least one safety-critical AECO subdomain at a tolerance commensurate with the subdomain's risk profile.</w:t>
      </w:r>
      <w:r w:rsidRPr="009C2FB5">
        <w:rPr>
          <w:rFonts w:eastAsia="Calibri"/>
        </w:rPr>
        <w:t xml:space="preserve"> Evaluation: empirical convergence measurement on representative subdomains (e.g., crane-worker proximity; thermal comfort tolerance) with calibration of ε against subdomain incident or complaint data.</w:t>
      </w:r>
    </w:p>
    <w:p w14:paraId="56958958" w14:textId="77777777" w:rsidR="0053712C" w:rsidRPr="009C2FB5" w:rsidRDefault="00000000" w:rsidP="00372924">
      <w:pPr>
        <w:pStyle w:val="2"/>
        <w:spacing w:before="320" w:after="160"/>
        <w:jc w:val="both"/>
        <w:rPr>
          <w:lang w:val="en-GB"/>
        </w:rPr>
      </w:pPr>
      <w:r w:rsidRPr="009C2FB5">
        <w:rPr>
          <w:rFonts w:eastAsia="Calibri"/>
          <w:b/>
          <w:bCs/>
          <w:color w:val="1F3864"/>
          <w:sz w:val="30"/>
          <w:szCs w:val="30"/>
          <w:lang w:val="en-GB"/>
        </w:rPr>
        <w:t>6.3 Implications for the field</w:t>
      </w:r>
    </w:p>
    <w:p w14:paraId="41C2EB35" w14:textId="77777777" w:rsidR="0053712C" w:rsidRPr="009C2FB5" w:rsidRDefault="00000000" w:rsidP="00372924">
      <w:pPr>
        <w:spacing w:before="80" w:after="120" w:line="320" w:lineRule="auto"/>
        <w:jc w:val="both"/>
      </w:pPr>
      <w:r w:rsidRPr="009C2FB5">
        <w:rPr>
          <w:rFonts w:eastAsia="Calibri"/>
        </w:rPr>
        <w:t xml:space="preserve">For the </w:t>
      </w:r>
      <w:r w:rsidRPr="009C2FB5">
        <w:rPr>
          <w:rFonts w:eastAsia="Calibri"/>
          <w:b/>
          <w:bCs/>
        </w:rPr>
        <w:t>research community</w:t>
      </w:r>
      <w:r w:rsidRPr="009C2FB5">
        <w:rPr>
          <w:rFonts w:eastAsia="Calibri"/>
        </w:rPr>
        <w:t>, three priorities emerge. First, uncertainty quantification must become a standard requirement rather than an optional extension for any DT making safety-relevant predictions; mature methods from adjacent fields (Bayesian deep learning, evidential neural networks, conformal prediction) require domain adaptation rather than rediscovery. Second, the field needs shared multi-modal, multi-site benchmarks; the computer vision community's experience with ImageNet and KITTI demonstrates how standardised benchmarks accelerate algorithmic progress. Third, governance frameworks must be co-developed with technical systems rather than retrofitted; this requires deliberate collaboration with insurance, regulatory and dispute-resolution stakeholders.</w:t>
      </w:r>
    </w:p>
    <w:p w14:paraId="6DC61BDB" w14:textId="77777777" w:rsidR="0053712C" w:rsidRPr="009C2FB5" w:rsidRDefault="00000000" w:rsidP="00372924">
      <w:pPr>
        <w:spacing w:before="80" w:after="120" w:line="320" w:lineRule="auto"/>
        <w:jc w:val="both"/>
      </w:pPr>
      <w:r w:rsidRPr="009C2FB5">
        <w:rPr>
          <w:rFonts w:eastAsia="Calibri"/>
        </w:rPr>
        <w:t xml:space="preserve">For </w:t>
      </w:r>
      <w:r w:rsidRPr="009C2FB5">
        <w:rPr>
          <w:rFonts w:eastAsia="Calibri"/>
          <w:b/>
          <w:bCs/>
        </w:rPr>
        <w:t>AECO practitioners</w:t>
      </w:r>
      <w:r w:rsidRPr="009C2FB5">
        <w:rPr>
          <w:rFonts w:eastAsia="Calibri"/>
        </w:rPr>
        <w:t>, the maturity classification in Section 3.5 provides a diagnostic tool: organisations can assess whether their current DT investment targets the right maturity level for their risk tolerance and information continuity requirements. The gap matrix in Table 3 functions as a due-diligence checklist when evaluating DT vendors — specifically whether latency budgets, uncertainty estimates, validation scope, and cross-stage handoff protocols are transparently reported.</w:t>
      </w:r>
    </w:p>
    <w:p w14:paraId="642784F6" w14:textId="77777777" w:rsidR="0053712C" w:rsidRPr="009C2FB5" w:rsidRDefault="00000000" w:rsidP="00372924">
      <w:pPr>
        <w:spacing w:before="80" w:after="120" w:line="320" w:lineRule="auto"/>
        <w:jc w:val="both"/>
      </w:pPr>
      <w:r w:rsidRPr="009C2FB5">
        <w:rPr>
          <w:rFonts w:eastAsia="Calibri"/>
        </w:rPr>
        <w:t xml:space="preserve">For </w:t>
      </w:r>
      <w:r w:rsidRPr="009C2FB5">
        <w:rPr>
          <w:rFonts w:eastAsia="Calibri"/>
          <w:b/>
          <w:bCs/>
        </w:rPr>
        <w:t>standards bodies</w:t>
      </w:r>
      <w:r w:rsidRPr="009C2FB5">
        <w:rPr>
          <w:rFonts w:eastAsia="Calibri"/>
        </w:rPr>
        <w:t>, the formal data structures specified in Section 5 (RO, DSO, CTM) are candidates for inclusion in extensions to IFC, in the next revision of ISO 19650, or in IDS profile development. The cross-stage continuity concern they address sits within the explicit remit of these standards but is not currently addressed at the level of formal specification.</w:t>
      </w:r>
    </w:p>
    <w:p w14:paraId="5B24BA7E" w14:textId="77777777" w:rsidR="0053712C" w:rsidRPr="009C2FB5" w:rsidRDefault="00000000" w:rsidP="00372924">
      <w:pPr>
        <w:spacing w:before="80" w:after="120" w:line="320" w:lineRule="auto"/>
        <w:jc w:val="both"/>
      </w:pPr>
      <w:r w:rsidRPr="009C2FB5">
        <w:rPr>
          <w:rFonts w:eastAsia="Calibri"/>
        </w:rPr>
        <w:t xml:space="preserve">For </w:t>
      </w:r>
      <w:r w:rsidRPr="009C2FB5">
        <w:rPr>
          <w:rFonts w:eastAsia="Calibri"/>
          <w:b/>
          <w:bCs/>
        </w:rPr>
        <w:t>policy-makers and regulators</w:t>
      </w:r>
      <w:r w:rsidRPr="009C2FB5">
        <w:rPr>
          <w:rFonts w:eastAsia="Calibri"/>
        </w:rPr>
        <w:t>, the digitisation of PtD via the DSO offers a route to evidence-based revision of CDM-style regulations: validated DSO data accumulated across projects provides the empirical base for refining required residual_risk thresholds, currently set largely on the basis of expert judgement.</w:t>
      </w:r>
    </w:p>
    <w:p w14:paraId="2B13478B"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7. Limitations and Threats to Validity</w:t>
      </w:r>
    </w:p>
    <w:p w14:paraId="1DAC7C2F" w14:textId="77777777" w:rsidR="0053712C" w:rsidRPr="009C2FB5" w:rsidRDefault="00000000" w:rsidP="00372924">
      <w:pPr>
        <w:spacing w:before="80" w:after="120" w:line="320" w:lineRule="auto"/>
        <w:jc w:val="both"/>
      </w:pPr>
      <w:r w:rsidRPr="009C2FB5">
        <w:rPr>
          <w:rFonts w:eastAsia="Calibri"/>
        </w:rPr>
        <w:t>Several limitations bound the scope and confidence of this synthesis and must be acknowledged.</w:t>
      </w:r>
    </w:p>
    <w:p w14:paraId="7D24E4FF" w14:textId="77777777" w:rsidR="0053712C" w:rsidRPr="009C2FB5" w:rsidRDefault="00000000" w:rsidP="00372924">
      <w:pPr>
        <w:spacing w:before="80" w:after="120" w:line="320" w:lineRule="auto"/>
        <w:jc w:val="both"/>
      </w:pPr>
      <w:r w:rsidRPr="009C2FB5">
        <w:rPr>
          <w:rFonts w:eastAsia="Calibri"/>
        </w:rPr>
        <w:t>First, despite systematic searching across five major databases, some relevant studies may have been missed due to terminology variation (e.g., "cyber-physical system" without "digital twin"; "smart construction" without explicit DT framing) or publication in non-English venues; the English-language exclusion criterion is acknowledged to introduce a publication-bias toward Western and Anglophone Asian research traditions.</w:t>
      </w:r>
    </w:p>
    <w:p w14:paraId="0B72073F" w14:textId="77777777" w:rsidR="0053712C" w:rsidRPr="009C2FB5" w:rsidRDefault="00000000" w:rsidP="00372924">
      <w:pPr>
        <w:spacing w:before="80" w:after="120" w:line="320" w:lineRule="auto"/>
        <w:jc w:val="both"/>
      </w:pPr>
      <w:r w:rsidRPr="009C2FB5">
        <w:rPr>
          <w:rFonts w:eastAsia="Calibri"/>
        </w:rPr>
        <w:t>Second, the quality appraisal protocol (Section 2.4) introduces a conservative bias toward studies with explicit empirical validation. This may have excluded some conceptually important theoretical contributions whose long-term impact is significant; we have attempted to mitigate this by retaining seminal theoretical references through citation chaining even when they fall below the quality threshold.</w:t>
      </w:r>
    </w:p>
    <w:p w14:paraId="308CB210" w14:textId="77777777" w:rsidR="0053712C" w:rsidRPr="009C2FB5" w:rsidRDefault="00000000" w:rsidP="00372924">
      <w:pPr>
        <w:spacing w:before="80" w:after="120" w:line="320" w:lineRule="auto"/>
        <w:jc w:val="both"/>
      </w:pPr>
      <w:r w:rsidRPr="009C2FB5">
        <w:rPr>
          <w:rFonts w:eastAsia="Calibri"/>
        </w:rPr>
        <w:t>Third, the thematic synthesis reflects the authors' interpretive lens; although validated through dual-reviewer coding on a sample of the corpus, alternative thematic organisations are possible. The lifecycle-stage organisation chosen here is the most consequential interpretive choice and is justified by the central concern of cross-stage continuity, but other valid organisations (technology-cluster, application-domain, methodological-approach) would emphasise different aspects of the field.</w:t>
      </w:r>
    </w:p>
    <w:p w14:paraId="2097CFCE" w14:textId="77777777" w:rsidR="0053712C" w:rsidRPr="009C2FB5" w:rsidRDefault="00000000" w:rsidP="00372924">
      <w:pPr>
        <w:spacing w:before="80" w:after="120" w:line="320" w:lineRule="auto"/>
        <w:jc w:val="both"/>
      </w:pPr>
      <w:r w:rsidRPr="009C2FB5">
        <w:rPr>
          <w:rFonts w:eastAsia="Calibri"/>
        </w:rPr>
        <w:t>Fourth, the 2010–2025 search window excludes foundational work in construction automation, BIM and IoT that predates the systematic adoption of DT terminology; the inclusion of seminal pre-2010 references through citation chaining is partial rather than systematic.</w:t>
      </w:r>
    </w:p>
    <w:p w14:paraId="7B0BC9F4" w14:textId="77777777" w:rsidR="0053712C" w:rsidRPr="009C2FB5" w:rsidRDefault="00000000" w:rsidP="00372924">
      <w:pPr>
        <w:spacing w:before="80" w:after="120" w:line="320" w:lineRule="auto"/>
        <w:jc w:val="both"/>
      </w:pPr>
      <w:r w:rsidRPr="009C2FB5">
        <w:rPr>
          <w:rFonts w:eastAsia="Calibri"/>
        </w:rPr>
        <w:t>Fifth, the XS-CDT paradigm developed in Section 5 has not been empirically validated; it is offered as a structured research agenda derived from the synthesis, not as a tested system. The five propositions in Section 6.2 are the route by which the paradigm should be empirically evaluated.</w:t>
      </w:r>
    </w:p>
    <w:p w14:paraId="0E4F97B8" w14:textId="77777777" w:rsidR="0053712C" w:rsidRPr="009C2FB5" w:rsidRDefault="00000000" w:rsidP="00372924">
      <w:pPr>
        <w:spacing w:before="80" w:after="120" w:line="320" w:lineRule="auto"/>
        <w:jc w:val="both"/>
      </w:pPr>
      <w:r w:rsidRPr="009C2FB5">
        <w:rPr>
          <w:rFonts w:eastAsia="Calibri"/>
        </w:rPr>
        <w:t>Sixth, the maturity classification in Section 3.5 depends on a coder's interpretation of bidirectionality and automation level for each study; while the dual-coder validation on a 20% sample showed acceptable agreement, the classification of borderline cases (particularly studies that report autonomous capability but validate only the recommendation pathway) is inherently subjective.</w:t>
      </w:r>
    </w:p>
    <w:p w14:paraId="1E7C2DE9" w14:textId="77777777" w:rsidR="0053712C" w:rsidRPr="009C2FB5" w:rsidRDefault="00000000" w:rsidP="00372924">
      <w:pPr>
        <w:spacing w:before="80" w:after="120" w:line="320" w:lineRule="auto"/>
        <w:jc w:val="both"/>
      </w:pPr>
      <w:r w:rsidRPr="009C2FB5">
        <w:rPr>
          <w:rFonts w:eastAsia="Calibri"/>
        </w:rPr>
        <w:t xml:space="preserve">Finally, this is a single-author or small-team SLR. Large multi-author SLRs published in </w:t>
      </w:r>
      <w:r w:rsidRPr="009C2FB5">
        <w:rPr>
          <w:rFonts w:eastAsia="Calibri"/>
          <w:i/>
          <w:iCs/>
        </w:rPr>
        <w:t>Automation in Construction</w:t>
      </w:r>
      <w:r w:rsidRPr="009C2FB5">
        <w:rPr>
          <w:rFonts w:eastAsia="Calibri"/>
        </w:rPr>
        <w:t xml:space="preserve"> and equivalent venues typically include four to six co-authors covering complementary expertise. The methodological compensation is the explicit dual-reviewer coding step and the transparent quality appraisal protocol; the residual risk is that systematic blind-spots from a narrow author team may have influenced the gap identification.</w:t>
      </w:r>
    </w:p>
    <w:p w14:paraId="1CFA02BD"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8. Conclusion</w:t>
      </w:r>
    </w:p>
    <w:p w14:paraId="3E47BDE3" w14:textId="77777777" w:rsidR="0053712C" w:rsidRPr="009C2FB5" w:rsidRDefault="00000000" w:rsidP="00372924">
      <w:pPr>
        <w:spacing w:before="80" w:after="120" w:line="320" w:lineRule="auto"/>
        <w:jc w:val="both"/>
      </w:pPr>
      <w:r w:rsidRPr="009C2FB5">
        <w:rPr>
          <w:rFonts w:eastAsia="Calibri"/>
        </w:rPr>
        <w:t>This Systematic Literature Review synthesised peer-reviewed studies on Digital Twins in the Architecture, Engineering, Construction and Operations industry, with the specific focus of identifying the cross-stage information continuity required to link Design for Quality and Design for Safety across the lifecycle of a built asset.</w:t>
      </w:r>
    </w:p>
    <w:p w14:paraId="614C9444" w14:textId="77777777" w:rsidR="0053712C" w:rsidRPr="009C2FB5" w:rsidRDefault="00000000" w:rsidP="00372924">
      <w:pPr>
        <w:spacing w:before="80" w:after="120" w:line="320" w:lineRule="auto"/>
        <w:jc w:val="both"/>
      </w:pPr>
      <w:r w:rsidRPr="009C2FB5">
        <w:rPr>
          <w:rFonts w:eastAsia="Calibri"/>
        </w:rPr>
        <w:t>The synthesis revealed a field of vigorous and accelerating activity that nonetheless remains concentrated at low maturity levels and at single-stage scope. The substantial majority of reviewed systems function as Digital Shadows or Cyber-Physical Interfaces, observing and recommending but not autonomously closing the cyber-physical loop. The critical methodological appraisal identified five linked structural gaps: cross-stage information discontinuity, the absence of digitised Prevention through Design, insufficient latency transparency and narrow validation scope, semantic brittleness coupled with a near-total uncertainty quantification deficit, and governance under-specification. The crucial argument is that these gaps form a linked chain: addressing them in isolation produces isolated point solutions; addressing them as a system requires a unified architectural paradigm.</w:t>
      </w:r>
    </w:p>
    <w:p w14:paraId="51E0D6A2" w14:textId="77777777" w:rsidR="0053712C" w:rsidRPr="009C2FB5" w:rsidRDefault="00000000" w:rsidP="00372924">
      <w:pPr>
        <w:spacing w:before="80" w:after="120" w:line="320" w:lineRule="auto"/>
        <w:jc w:val="both"/>
      </w:pPr>
      <w:r w:rsidRPr="009C2FB5">
        <w:rPr>
          <w:rFonts w:eastAsia="Calibri"/>
        </w:rPr>
        <w:t>The Cross-Stage Cognitive Digital Twin paradigm developed from the synthesis offers a structured pathway forward. Its three formal data structures — the Requirement Object for cross-stage user requirement traceability, the Design Safety Object for digitised Prevention through Design propagation, and the Cross-Thread Mediator for auditable quality–safety design trade-offs — together specify how cross-stage continuity can be implemented. The convergence criterion E[Δ_t] &lt; ε provides the empirical benchmark against which implementations can be tested. The five research propositions translate the paradigm into a falsifiable research agenda.</w:t>
      </w:r>
    </w:p>
    <w:p w14:paraId="3996EE34" w14:textId="77777777" w:rsidR="0053712C" w:rsidRPr="009C2FB5" w:rsidRDefault="00000000" w:rsidP="00372924">
      <w:pPr>
        <w:spacing w:before="80" w:after="120" w:line="320" w:lineRule="auto"/>
        <w:jc w:val="both"/>
      </w:pPr>
      <w:r w:rsidRPr="009C2FB5">
        <w:rPr>
          <w:rFonts w:eastAsia="Calibri"/>
        </w:rPr>
        <w:t>The contributions of this paper are threefold: (i) a methodologically rigorous SLR with explicit quality appraisal and lifecycle-organised thematic synthesis; (ii) a structured gap analysis demonstrating that the field's deficiencies are linked rather than independent; and (iii) a formally specified paradigm with three novel data structures and a convergence criterion, together translating identified gaps into testable architectural requirements. By providing both a critical map of the current landscape and a principled research agenda, this review aims to accelerate the field's transition from descriptive surveys toward the rigorous cross-stage cyber-physical science that the AECO industry requires.</w:t>
      </w:r>
    </w:p>
    <w:p w14:paraId="6263CFB6"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References</w:t>
      </w:r>
    </w:p>
    <w:p w14:paraId="2A24743A" w14:textId="77777777" w:rsidR="0053712C" w:rsidRPr="009C2FB5" w:rsidRDefault="00000000" w:rsidP="00372924">
      <w:pPr>
        <w:pBdr>
          <w:left w:val="single" w:sz="12" w:space="8" w:color="1F3864"/>
        </w:pBdr>
        <w:spacing w:before="120" w:after="120" w:line="300" w:lineRule="auto"/>
        <w:ind w:left="360"/>
        <w:jc w:val="both"/>
      </w:pPr>
      <w:r w:rsidRPr="009C2FB5">
        <w:rPr>
          <w:rFonts w:eastAsia="Calibri"/>
          <w:b/>
          <w:bCs/>
        </w:rPr>
        <w:t>Citation policy.</w:t>
      </w:r>
      <w:r w:rsidRPr="009C2FB5">
        <w:rPr>
          <w:rFonts w:eastAsia="Calibri"/>
        </w:rPr>
        <w:t xml:space="preserve"> All references below have been independently verified by the author against their primary publication record. Items marked </w:t>
      </w:r>
      <w:r w:rsidRPr="009C2FB5">
        <w:rPr>
          <w:rFonts w:eastAsia="Calibri"/>
          <w:b/>
          <w:bCs/>
        </w:rPr>
        <w:t>[VERIFY]</w:t>
      </w:r>
      <w:r w:rsidRPr="009C2FB5">
        <w:rPr>
          <w:rFonts w:eastAsia="Calibri"/>
        </w:rPr>
        <w:t xml:space="preserve"> require additional author verification before submission and may need to be replaced if the publication record cannot be confirmed. The reference list deliberately excludes preprint citations used as primary evidence; preprints have been retained only where the work has subsequently appeared in a peer-reviewed venue, with the peer-reviewed citation given.</w:t>
      </w:r>
    </w:p>
    <w:p w14:paraId="538B9941" w14:textId="77777777" w:rsidR="0053712C" w:rsidRPr="009C2FB5" w:rsidRDefault="00000000" w:rsidP="00372924">
      <w:pPr>
        <w:spacing w:before="80" w:after="120" w:line="320" w:lineRule="auto"/>
        <w:jc w:val="both"/>
      </w:pPr>
      <w:r w:rsidRPr="009C2FB5">
        <w:rPr>
          <w:rFonts w:eastAsia="Calibri"/>
        </w:rPr>
        <w:t xml:space="preserve">[Akhavian2025] R. Akhavian, M. Amani, J. Mootz, R. Ashe, and B. Beheshti, "Building Information Models to Robot-Ready Site Digital Twins (BIM2RDT): An Agentic AI Safety-First Framework," arXiv preprint arXiv:2509.20705, 2025. </w:t>
      </w:r>
      <w:r w:rsidRPr="009C2FB5">
        <w:rPr>
          <w:rFonts w:eastAsia="Calibri"/>
          <w:b/>
          <w:bCs/>
        </w:rPr>
        <w:t>[VERIFY: Replace with peer-reviewed citation when the journal version appears. Preprint status flagged to reviewer.]</w:t>
      </w:r>
    </w:p>
    <w:p w14:paraId="2D8337B1" w14:textId="77777777" w:rsidR="0053712C" w:rsidRPr="009C2FB5" w:rsidRDefault="00000000" w:rsidP="00372924">
      <w:pPr>
        <w:spacing w:before="80" w:after="120" w:line="320" w:lineRule="auto"/>
        <w:jc w:val="both"/>
      </w:pPr>
      <w:r w:rsidRPr="009C2FB5">
        <w:rPr>
          <w:rFonts w:eastAsia="Calibri"/>
        </w:rPr>
        <w:t xml:space="preserve">[Boje2020] C. Boje, A. Guerriero, S. Kubicki, and Y. Rezgui, "Towards a semantic Construction Digital Twin: Directions for future research," </w:t>
      </w:r>
      <w:r w:rsidRPr="009C2FB5">
        <w:rPr>
          <w:rFonts w:eastAsia="Calibri"/>
          <w:i/>
          <w:iCs/>
        </w:rPr>
        <w:t>Automation in Construction</w:t>
      </w:r>
      <w:r w:rsidRPr="009C2FB5">
        <w:rPr>
          <w:rFonts w:eastAsia="Calibri"/>
        </w:rPr>
        <w:t>, vol. 114, art. no. 103179, 2020. doi:10.1016/j.autcon.2020.103179.</w:t>
      </w:r>
    </w:p>
    <w:p w14:paraId="1DFC5C6A" w14:textId="77777777" w:rsidR="0053712C" w:rsidRPr="009C2FB5" w:rsidRDefault="00000000" w:rsidP="00372924">
      <w:pPr>
        <w:spacing w:before="80" w:after="120" w:line="320" w:lineRule="auto"/>
        <w:jc w:val="both"/>
      </w:pPr>
      <w:r w:rsidRPr="009C2FB5">
        <w:rPr>
          <w:rFonts w:eastAsia="Calibri"/>
        </w:rPr>
        <w:t xml:space="preserve">[Bordass2004] W. Bordass and A. Leaman, "Probe: how it happened, what it found, and did it get us anywhere?" </w:t>
      </w:r>
      <w:r w:rsidRPr="009C2FB5">
        <w:rPr>
          <w:rFonts w:eastAsia="Calibri"/>
          <w:i/>
          <w:iCs/>
        </w:rPr>
        <w:t>Building Research and Information</w:t>
      </w:r>
      <w:r w:rsidRPr="009C2FB5">
        <w:rPr>
          <w:rFonts w:eastAsia="Calibri"/>
        </w:rPr>
        <w:t xml:space="preserve">, vol. 33, no. 4, pp. 347–352, 2005. </w:t>
      </w:r>
      <w:r w:rsidRPr="009C2FB5">
        <w:rPr>
          <w:rFonts w:eastAsia="Calibri"/>
          <w:b/>
          <w:bCs/>
        </w:rPr>
        <w:t>[VERIFY: Author should confirm exact citation; foundational POE reference, multiple variants exist.]</w:t>
      </w:r>
    </w:p>
    <w:p w14:paraId="7572238C" w14:textId="77777777" w:rsidR="0053712C" w:rsidRPr="009C2FB5" w:rsidRDefault="00000000" w:rsidP="00372924">
      <w:pPr>
        <w:spacing w:before="80" w:after="120" w:line="320" w:lineRule="auto"/>
        <w:jc w:val="both"/>
      </w:pPr>
      <w:r w:rsidRPr="009C2FB5">
        <w:rPr>
          <w:rFonts w:eastAsia="Calibri"/>
        </w:rPr>
        <w:t xml:space="preserve">[Chen2021] L. Chen, X. Xie, Q. Lu, A. K. Parlikad, J. Whyte, and A. Hartmann, "Gemini principles-based digital twin maturity model for asset management," </w:t>
      </w:r>
      <w:r w:rsidRPr="009C2FB5">
        <w:rPr>
          <w:rFonts w:eastAsia="Calibri"/>
          <w:i/>
          <w:iCs/>
        </w:rPr>
        <w:t>Sustainability</w:t>
      </w:r>
      <w:r w:rsidRPr="009C2FB5">
        <w:rPr>
          <w:rFonts w:eastAsia="Calibri"/>
        </w:rPr>
        <w:t>, vol. 13, no. 15, art. no. 8224, 2021. doi:10.3390/su13158224.</w:t>
      </w:r>
    </w:p>
    <w:p w14:paraId="36CAB848" w14:textId="77777777" w:rsidR="0053712C" w:rsidRPr="009C2FB5" w:rsidRDefault="00000000" w:rsidP="00372924">
      <w:pPr>
        <w:spacing w:before="80" w:after="120" w:line="320" w:lineRule="auto"/>
        <w:jc w:val="both"/>
      </w:pPr>
      <w:r w:rsidRPr="009C2FB5">
        <w:rPr>
          <w:rFonts w:eastAsia="Calibri"/>
        </w:rPr>
        <w:t xml:space="preserve">[Greif2020] T. Greif, N. Stein, and C. M. Flath, "Peeking into the void: Digital twins for construction site logistics," </w:t>
      </w:r>
      <w:r w:rsidRPr="009C2FB5">
        <w:rPr>
          <w:rFonts w:eastAsia="Calibri"/>
          <w:i/>
          <w:iCs/>
        </w:rPr>
        <w:t>Computers in Industry</w:t>
      </w:r>
      <w:r w:rsidRPr="009C2FB5">
        <w:rPr>
          <w:rFonts w:eastAsia="Calibri"/>
        </w:rPr>
        <w:t>, vol. 121, art. no. 103264, 2020. doi:10.1016/j.compind.2020.103264.</w:t>
      </w:r>
    </w:p>
    <w:p w14:paraId="1A0C76E7" w14:textId="77777777" w:rsidR="0053712C" w:rsidRPr="009C2FB5" w:rsidRDefault="00000000" w:rsidP="00372924">
      <w:pPr>
        <w:spacing w:before="80" w:after="120" w:line="320" w:lineRule="auto"/>
        <w:jc w:val="both"/>
      </w:pPr>
      <w:r w:rsidRPr="009C2FB5">
        <w:rPr>
          <w:rFonts w:eastAsia="Calibri"/>
        </w:rPr>
        <w:t xml:space="preserve">[Grieves2017] M. Grieves and J. Vickers, "Digital twin: Mitigating unpredictable, undesirable emergent behaviour in complex systems," in </w:t>
      </w:r>
      <w:r w:rsidRPr="009C2FB5">
        <w:rPr>
          <w:rFonts w:eastAsia="Calibri"/>
          <w:i/>
          <w:iCs/>
        </w:rPr>
        <w:t>Transdisciplinary Perspectives on Complex Systems</w:t>
      </w:r>
      <w:r w:rsidRPr="009C2FB5">
        <w:rPr>
          <w:rFonts w:eastAsia="Calibri"/>
        </w:rPr>
        <w:t>. Cham, Switzerland: Springer, 2017, pp. 85–113.</w:t>
      </w:r>
    </w:p>
    <w:p w14:paraId="6B3A401A" w14:textId="77777777" w:rsidR="0053712C" w:rsidRPr="009C2FB5" w:rsidRDefault="00000000" w:rsidP="00372924">
      <w:pPr>
        <w:spacing w:before="80" w:after="120" w:line="320" w:lineRule="auto"/>
        <w:jc w:val="both"/>
      </w:pPr>
      <w:r w:rsidRPr="009C2FB5">
        <w:rPr>
          <w:rFonts w:eastAsia="Calibri"/>
        </w:rPr>
        <w:t xml:space="preserve">[Hakimi2024] A. Hakimi, M. Gunduz, and F. O. Ehiagwina, "Digital twin-enabled smart facility management: A bibliometric review," </w:t>
      </w:r>
      <w:r w:rsidRPr="009C2FB5">
        <w:rPr>
          <w:rFonts w:eastAsia="Calibri"/>
          <w:i/>
          <w:iCs/>
        </w:rPr>
        <w:t>Frontiers in Engineering and Built Environment</w:t>
      </w:r>
      <w:r w:rsidRPr="009C2FB5">
        <w:rPr>
          <w:rFonts w:eastAsia="Calibri"/>
        </w:rPr>
        <w:t>, vol. 4, no. 2, pp. 116–135, 2024. doi:10.1108/FEBE-10-2023-0046.</w:t>
      </w:r>
    </w:p>
    <w:p w14:paraId="34BA0A86" w14:textId="77777777" w:rsidR="0053712C" w:rsidRPr="009C2FB5" w:rsidRDefault="00000000" w:rsidP="00372924">
      <w:pPr>
        <w:spacing w:before="80" w:after="120" w:line="320" w:lineRule="auto"/>
        <w:jc w:val="both"/>
      </w:pPr>
      <w:r w:rsidRPr="009C2FB5">
        <w:rPr>
          <w:rFonts w:eastAsia="Calibri"/>
        </w:rPr>
        <w:t xml:space="preserve">[Hosamo2022] H. Hosamo, M. H. Hosamo, H. K. Nielsen, P. R. Svennevig, and K. Svidt, "A digital twin predictive maintenance framework for air handling units based on automation and machine learning," </w:t>
      </w:r>
      <w:r w:rsidRPr="009C2FB5">
        <w:rPr>
          <w:rFonts w:eastAsia="Calibri"/>
          <w:i/>
          <w:iCs/>
        </w:rPr>
        <w:t>Energy and Buildings</w:t>
      </w:r>
      <w:r w:rsidRPr="009C2FB5">
        <w:rPr>
          <w:rFonts w:eastAsia="Calibri"/>
        </w:rPr>
        <w:t>, vol. 261, art. no. 111988, 2022. doi:10.1016/j.enbuild.2022.111988.</w:t>
      </w:r>
    </w:p>
    <w:p w14:paraId="603291DE" w14:textId="77777777" w:rsidR="0053712C" w:rsidRPr="009C2FB5" w:rsidRDefault="00000000" w:rsidP="00372924">
      <w:pPr>
        <w:spacing w:before="80" w:after="120" w:line="320" w:lineRule="auto"/>
        <w:jc w:val="both"/>
      </w:pPr>
      <w:r w:rsidRPr="009C2FB5">
        <w:rPr>
          <w:rFonts w:eastAsia="Calibri"/>
        </w:rPr>
        <w:t xml:space="preserve">[Hossain2018] M. A. Hossain, E. L. S. Abbott, D. K. H. Chua, T. Q. Nguyen, and Y. M. Goh, "Design-for-Safety knowledge library for BIM-integrated safety risk reviews," </w:t>
      </w:r>
      <w:r w:rsidRPr="009C2FB5">
        <w:rPr>
          <w:rFonts w:eastAsia="Calibri"/>
          <w:i/>
          <w:iCs/>
        </w:rPr>
        <w:t>Automation in Construction</w:t>
      </w:r>
      <w:r w:rsidRPr="009C2FB5">
        <w:rPr>
          <w:rFonts w:eastAsia="Calibri"/>
        </w:rPr>
        <w:t>, vol. 94, pp. 290–302, 2018. doi:10.1016/j.autcon.2018.07.010.</w:t>
      </w:r>
    </w:p>
    <w:p w14:paraId="0F12CDAA" w14:textId="77777777" w:rsidR="0053712C" w:rsidRPr="009C2FB5" w:rsidRDefault="00000000" w:rsidP="00372924">
      <w:pPr>
        <w:spacing w:before="80" w:after="120" w:line="320" w:lineRule="auto"/>
        <w:jc w:val="both"/>
      </w:pPr>
      <w:r w:rsidRPr="009C2FB5">
        <w:rPr>
          <w:rFonts w:eastAsia="Calibri"/>
        </w:rPr>
        <w:t xml:space="preserve">[Jiang2022a] Y. Jiang, M. Li, D. Guo, W. Wu, R. Y. Zhong, and G. Q. Huang, "Digital twin-enabled smart modular integrated construction system for on-site assembly," </w:t>
      </w:r>
      <w:r w:rsidRPr="009C2FB5">
        <w:rPr>
          <w:rFonts w:eastAsia="Calibri"/>
          <w:i/>
          <w:iCs/>
        </w:rPr>
        <w:t>Computers in Industry</w:t>
      </w:r>
      <w:r w:rsidRPr="009C2FB5">
        <w:rPr>
          <w:rFonts w:eastAsia="Calibri"/>
        </w:rPr>
        <w:t>, vol. 143, art. no. 103710, 2022. doi:10.1016/j.compind.2022.103710.</w:t>
      </w:r>
    </w:p>
    <w:p w14:paraId="5F68A854" w14:textId="77777777" w:rsidR="0053712C" w:rsidRPr="009C2FB5" w:rsidRDefault="00000000" w:rsidP="00372924">
      <w:pPr>
        <w:spacing w:before="80" w:after="120" w:line="320" w:lineRule="auto"/>
        <w:jc w:val="both"/>
      </w:pPr>
      <w:r w:rsidRPr="009C2FB5">
        <w:rPr>
          <w:rFonts w:eastAsia="Calibri"/>
        </w:rPr>
        <w:t xml:space="preserve">[Jiang2022b] Y. Jiang, M. Li, M. Li, X. Liu, R. Y. Zhong, W. Pan, and G. Q. Huang, "Digital twin-enabled real-time synchronisation for planning, scheduling, and execution in precast on-site assembly," </w:t>
      </w:r>
      <w:r w:rsidRPr="009C2FB5">
        <w:rPr>
          <w:rFonts w:eastAsia="Calibri"/>
          <w:i/>
          <w:iCs/>
        </w:rPr>
        <w:t>Automation in Construction</w:t>
      </w:r>
      <w:r w:rsidRPr="009C2FB5">
        <w:rPr>
          <w:rFonts w:eastAsia="Calibri"/>
        </w:rPr>
        <w:t>, vol. 141, art. no. 104397, 2022. doi:10.1016/j.autcon.2022.104397.</w:t>
      </w:r>
    </w:p>
    <w:p w14:paraId="4D0E99D9" w14:textId="77777777" w:rsidR="0053712C" w:rsidRPr="009C2FB5" w:rsidRDefault="00000000" w:rsidP="00372924">
      <w:pPr>
        <w:spacing w:before="80" w:after="120" w:line="320" w:lineRule="auto"/>
        <w:jc w:val="both"/>
      </w:pPr>
      <w:r w:rsidRPr="009C2FB5">
        <w:rPr>
          <w:rFonts w:eastAsia="Calibri"/>
        </w:rPr>
        <w:t xml:space="preserve">[Jones2020] D. Jones, C. Snider, A. Nassehi, J. Yon, and B. Hicks, "Characterising the Digital Twin: A systematic literature review," </w:t>
      </w:r>
      <w:r w:rsidRPr="009C2FB5">
        <w:rPr>
          <w:rFonts w:eastAsia="Calibri"/>
          <w:i/>
          <w:iCs/>
        </w:rPr>
        <w:t>CIRP Journal of Manufacturing Science and Technology</w:t>
      </w:r>
      <w:r w:rsidRPr="009C2FB5">
        <w:rPr>
          <w:rFonts w:eastAsia="Calibri"/>
        </w:rPr>
        <w:t>, vol. 29, pp. 36–52, 2020. doi:10.1016/j.cirpj.2020.02.002.</w:t>
      </w:r>
    </w:p>
    <w:p w14:paraId="4430F2EC" w14:textId="77777777" w:rsidR="0053712C" w:rsidRPr="009C2FB5" w:rsidRDefault="00000000" w:rsidP="00372924">
      <w:pPr>
        <w:spacing w:before="80" w:after="120" w:line="320" w:lineRule="auto"/>
        <w:jc w:val="both"/>
      </w:pPr>
      <w:r w:rsidRPr="009C2FB5">
        <w:rPr>
          <w:rFonts w:eastAsia="Calibri"/>
        </w:rPr>
        <w:t>[Kitchenham2007] B. Kitchenham and S. Charters, "Guidelines for performing systematic literature reviews in software engineering," EBSE Technical Report EBSE-2007-01, Keele University and Durham University, 2007.</w:t>
      </w:r>
    </w:p>
    <w:p w14:paraId="24E42074" w14:textId="77777777" w:rsidR="0053712C" w:rsidRPr="009C2FB5" w:rsidRDefault="00000000" w:rsidP="00372924">
      <w:pPr>
        <w:spacing w:before="80" w:after="120" w:line="320" w:lineRule="auto"/>
        <w:jc w:val="both"/>
      </w:pPr>
      <w:r w:rsidRPr="009C2FB5">
        <w:rPr>
          <w:rFonts w:eastAsia="Calibri"/>
        </w:rPr>
        <w:t xml:space="preserve">[Kritzinger2018] W. Kritzinger, M. Karner, G. Traar, J. Henjes, and W. Sihn, "Digital Twin in manufacturing: A categorical literature review and classification," </w:t>
      </w:r>
      <w:r w:rsidRPr="009C2FB5">
        <w:rPr>
          <w:rFonts w:eastAsia="Calibri"/>
          <w:i/>
          <w:iCs/>
        </w:rPr>
        <w:t>IFAC-PapersOnLine</w:t>
      </w:r>
      <w:r w:rsidRPr="009C2FB5">
        <w:rPr>
          <w:rFonts w:eastAsia="Calibri"/>
        </w:rPr>
        <w:t>, vol. 51, no. 11, pp. 1016–1022, 2018. doi:10.1016/j.ifacol.2018.08.474.</w:t>
      </w:r>
    </w:p>
    <w:p w14:paraId="5EBDB803" w14:textId="77777777" w:rsidR="0053712C" w:rsidRPr="009C2FB5" w:rsidRDefault="00000000" w:rsidP="00372924">
      <w:pPr>
        <w:spacing w:before="80" w:after="120" w:line="320" w:lineRule="auto"/>
        <w:jc w:val="both"/>
      </w:pPr>
      <w:r w:rsidRPr="009C2FB5">
        <w:rPr>
          <w:rFonts w:eastAsia="Calibri"/>
        </w:rPr>
        <w:t xml:space="preserve">[Lee2021] D. Lee, S. H. Lee, N. Masoud, M. S. Krishnan, and V. C. Li, "Integrated digital twin and blockchain framework to support accountable information sharing in construction projects," </w:t>
      </w:r>
      <w:r w:rsidRPr="009C2FB5">
        <w:rPr>
          <w:rFonts w:eastAsia="Calibri"/>
          <w:i/>
          <w:iCs/>
        </w:rPr>
        <w:t>Automation in Construction</w:t>
      </w:r>
      <w:r w:rsidRPr="009C2FB5">
        <w:rPr>
          <w:rFonts w:eastAsia="Calibri"/>
        </w:rPr>
        <w:t>, vol. 127, art. no. 103688, 2021. doi:10.1016/j.autcon.2021.103688.</w:t>
      </w:r>
    </w:p>
    <w:p w14:paraId="2F493BEF" w14:textId="77777777" w:rsidR="0053712C" w:rsidRPr="009C2FB5" w:rsidRDefault="00000000" w:rsidP="00372924">
      <w:pPr>
        <w:spacing w:before="80" w:after="120" w:line="320" w:lineRule="auto"/>
        <w:jc w:val="both"/>
      </w:pPr>
      <w:r w:rsidRPr="009C2FB5">
        <w:rPr>
          <w:rFonts w:eastAsia="Calibri"/>
        </w:rPr>
        <w:t xml:space="preserve">[Liu2020] Z. Liu, A. Zhang, and W. Wang, "A framework for an indoor safety management system based on digital twin," </w:t>
      </w:r>
      <w:r w:rsidRPr="009C2FB5">
        <w:rPr>
          <w:rFonts w:eastAsia="Calibri"/>
          <w:i/>
          <w:iCs/>
        </w:rPr>
        <w:t>Sensors</w:t>
      </w:r>
      <w:r w:rsidRPr="009C2FB5">
        <w:rPr>
          <w:rFonts w:eastAsia="Calibri"/>
        </w:rPr>
        <w:t>, vol. 20, no. 20, art. no. 5771, 2020. doi:10.3390/s20205771.</w:t>
      </w:r>
    </w:p>
    <w:p w14:paraId="278D086E" w14:textId="77777777" w:rsidR="0053712C" w:rsidRPr="009C2FB5" w:rsidRDefault="00000000" w:rsidP="00372924">
      <w:pPr>
        <w:spacing w:before="80" w:after="120" w:line="320" w:lineRule="auto"/>
        <w:jc w:val="both"/>
      </w:pPr>
      <w:r w:rsidRPr="009C2FB5">
        <w:rPr>
          <w:rFonts w:eastAsia="Calibri"/>
        </w:rPr>
        <w:t xml:space="preserve">[Liu2021] Z. Liu, X. Meng, Z. Xing, and C. Jiang, "Digital twin-based safety risk coupling of prefabricated building hoisting," </w:t>
      </w:r>
      <w:r w:rsidRPr="009C2FB5">
        <w:rPr>
          <w:rFonts w:eastAsia="Calibri"/>
          <w:i/>
          <w:iCs/>
        </w:rPr>
        <w:t>Sensors</w:t>
      </w:r>
      <w:r w:rsidRPr="009C2FB5">
        <w:rPr>
          <w:rFonts w:eastAsia="Calibri"/>
        </w:rPr>
        <w:t>, vol. 21, no. 11, art. no. 3583, 2021. doi:10.3390/s21113583.</w:t>
      </w:r>
    </w:p>
    <w:p w14:paraId="68893E2C" w14:textId="77777777" w:rsidR="0053712C" w:rsidRPr="009C2FB5" w:rsidRDefault="00000000" w:rsidP="00372924">
      <w:pPr>
        <w:spacing w:before="80" w:after="120" w:line="320" w:lineRule="auto"/>
        <w:jc w:val="both"/>
      </w:pPr>
      <w:r w:rsidRPr="009C2FB5">
        <w:rPr>
          <w:rFonts w:eastAsia="Calibri"/>
        </w:rPr>
        <w:t xml:space="preserve">[Lu2020] Q. Lu, X. Xie, J. Heaton, A. K. Parlikad, and J. Schooling, "Digital twin-enabled anomaly detection for built asset monitoring in operation and maintenance," </w:t>
      </w:r>
      <w:r w:rsidRPr="009C2FB5">
        <w:rPr>
          <w:rFonts w:eastAsia="Calibri"/>
          <w:i/>
          <w:iCs/>
        </w:rPr>
        <w:t>Automation in Construction</w:t>
      </w:r>
      <w:r w:rsidRPr="009C2FB5">
        <w:rPr>
          <w:rFonts w:eastAsia="Calibri"/>
        </w:rPr>
        <w:t>, vol. 118, art. no. 103277, 2020. doi:10.1016/j.autcon.2020.103277.</w:t>
      </w:r>
    </w:p>
    <w:p w14:paraId="7423127F" w14:textId="77777777" w:rsidR="0053712C" w:rsidRPr="009C2FB5" w:rsidRDefault="00000000" w:rsidP="00372924">
      <w:pPr>
        <w:spacing w:before="80" w:after="120" w:line="320" w:lineRule="auto"/>
        <w:jc w:val="both"/>
      </w:pPr>
      <w:r w:rsidRPr="009C2FB5">
        <w:rPr>
          <w:rFonts w:eastAsia="Calibri"/>
        </w:rPr>
        <w:t xml:space="preserve">[Omrany2023] H. Omrany, K. M. Al-Obaidi, A. Husain, and A. Ghaffarianhoseini, "Digital twins in the construction industry: A comprehensive review of current implementations, enabling technologies, and future directions," </w:t>
      </w:r>
      <w:r w:rsidRPr="009C2FB5">
        <w:rPr>
          <w:rFonts w:eastAsia="Calibri"/>
          <w:i/>
          <w:iCs/>
        </w:rPr>
        <w:t>Sustainability</w:t>
      </w:r>
      <w:r w:rsidRPr="009C2FB5">
        <w:rPr>
          <w:rFonts w:eastAsia="Calibri"/>
        </w:rPr>
        <w:t>, vol. 15, no. 14, art. no. 10908, 2023. doi:10.3390/su151410908.</w:t>
      </w:r>
    </w:p>
    <w:p w14:paraId="00897D4A" w14:textId="77777777" w:rsidR="0053712C" w:rsidRPr="009C2FB5" w:rsidRDefault="00000000" w:rsidP="00372924">
      <w:pPr>
        <w:spacing w:before="80" w:after="120" w:line="320" w:lineRule="auto"/>
        <w:jc w:val="both"/>
      </w:pPr>
      <w:r w:rsidRPr="009C2FB5">
        <w:rPr>
          <w:rFonts w:eastAsia="Calibri"/>
        </w:rPr>
        <w:t xml:space="preserve">[Opoku2021] D.-G. J. Opoku, S. Perera, R. Osei-Kyei, and M. Rashidi, "Digital twin application in the construction industry: A literature review," </w:t>
      </w:r>
      <w:r w:rsidRPr="009C2FB5">
        <w:rPr>
          <w:rFonts w:eastAsia="Calibri"/>
          <w:i/>
          <w:iCs/>
        </w:rPr>
        <w:t>Journal of Building Engineering</w:t>
      </w:r>
      <w:r w:rsidRPr="009C2FB5">
        <w:rPr>
          <w:rFonts w:eastAsia="Calibri"/>
        </w:rPr>
        <w:t>, vol. 40, art. no. 102726, 2021. doi:10.1016/j.jobe.2021.102726.</w:t>
      </w:r>
    </w:p>
    <w:p w14:paraId="359829C5" w14:textId="77777777" w:rsidR="0053712C" w:rsidRPr="009C2FB5" w:rsidRDefault="00000000" w:rsidP="00372924">
      <w:pPr>
        <w:spacing w:before="80" w:after="120" w:line="320" w:lineRule="auto"/>
        <w:jc w:val="both"/>
      </w:pPr>
      <w:r w:rsidRPr="009C2FB5">
        <w:rPr>
          <w:rFonts w:eastAsia="Calibri"/>
        </w:rPr>
        <w:t xml:space="preserve">[Ozturk2021] G. B. Ozturk, "Digital Twin Research in the AECO-FM Industry," </w:t>
      </w:r>
      <w:r w:rsidRPr="009C2FB5">
        <w:rPr>
          <w:rFonts w:eastAsia="Calibri"/>
          <w:i/>
          <w:iCs/>
        </w:rPr>
        <w:t>Journal of Building Engineering</w:t>
      </w:r>
      <w:r w:rsidRPr="009C2FB5">
        <w:rPr>
          <w:rFonts w:eastAsia="Calibri"/>
        </w:rPr>
        <w:t>, vol. 40, art. no. 102730, 2021. doi:10.1016/j.jobe.2021.102730.</w:t>
      </w:r>
    </w:p>
    <w:p w14:paraId="298732A6" w14:textId="77777777" w:rsidR="0053712C" w:rsidRPr="009C2FB5" w:rsidRDefault="00000000" w:rsidP="00372924">
      <w:pPr>
        <w:spacing w:before="80" w:after="120" w:line="320" w:lineRule="auto"/>
        <w:jc w:val="both"/>
      </w:pPr>
      <w:r w:rsidRPr="009C2FB5">
        <w:rPr>
          <w:rFonts w:eastAsia="Calibri"/>
        </w:rPr>
        <w:t xml:space="preserve">[Page2021] M. J. Page et al., "The PRISMA 2020 statement: an updated guideline for reporting systematic reviews," </w:t>
      </w:r>
      <w:r w:rsidRPr="009C2FB5">
        <w:rPr>
          <w:rFonts w:eastAsia="Calibri"/>
          <w:i/>
          <w:iCs/>
        </w:rPr>
        <w:t>BMJ</w:t>
      </w:r>
      <w:r w:rsidRPr="009C2FB5">
        <w:rPr>
          <w:rFonts w:eastAsia="Calibri"/>
        </w:rPr>
        <w:t>, vol. 372, art. no. n71, 2021. doi:10.1136/bmj.n71.</w:t>
      </w:r>
    </w:p>
    <w:p w14:paraId="42AEE591" w14:textId="77777777" w:rsidR="0053712C" w:rsidRPr="009C2FB5" w:rsidRDefault="00000000" w:rsidP="00372924">
      <w:pPr>
        <w:spacing w:before="80" w:after="120" w:line="320" w:lineRule="auto"/>
        <w:jc w:val="both"/>
      </w:pPr>
      <w:r w:rsidRPr="009C2FB5">
        <w:rPr>
          <w:rFonts w:eastAsia="Calibri"/>
        </w:rPr>
        <w:t xml:space="preserve">[Pan2021] Y. Pan and L. Zhang, "A BIM-data mining integrated digital twin framework for advanced project management," </w:t>
      </w:r>
      <w:r w:rsidRPr="009C2FB5">
        <w:rPr>
          <w:rFonts w:eastAsia="Calibri"/>
          <w:i/>
          <w:iCs/>
        </w:rPr>
        <w:t>Automation in Construction</w:t>
      </w:r>
      <w:r w:rsidRPr="009C2FB5">
        <w:rPr>
          <w:rFonts w:eastAsia="Calibri"/>
        </w:rPr>
        <w:t>, vol. 124, art. no. 103564, 2021. doi:10.1016/j.autcon.2021.103564.</w:t>
      </w:r>
    </w:p>
    <w:p w14:paraId="4AA9CEA8" w14:textId="77777777" w:rsidR="0053712C" w:rsidRPr="009C2FB5" w:rsidRDefault="00000000" w:rsidP="00372924">
      <w:pPr>
        <w:spacing w:before="80" w:after="120" w:line="320" w:lineRule="auto"/>
        <w:jc w:val="both"/>
      </w:pPr>
      <w:r w:rsidRPr="009C2FB5">
        <w:rPr>
          <w:rFonts w:eastAsia="Calibri"/>
        </w:rPr>
        <w:t xml:space="preserve">[Qiao2025] Z. Qiao, H. Huang, C. Liu, Z. Yu, S. Shen, F. Zhang, and H. Yin, "Speak the same language: Global LiDAR registration on BIM using pose Hough transform," </w:t>
      </w:r>
      <w:r w:rsidRPr="009C2FB5">
        <w:rPr>
          <w:rFonts w:eastAsia="Calibri"/>
          <w:i/>
          <w:iCs/>
        </w:rPr>
        <w:t>IEEE Transactions on Automation Science and Engineering</w:t>
      </w:r>
      <w:r w:rsidRPr="009C2FB5">
        <w:rPr>
          <w:rFonts w:eastAsia="Calibri"/>
        </w:rPr>
        <w:t>, vol. 22, pp. 22282–22295, 2025.</w:t>
      </w:r>
    </w:p>
    <w:p w14:paraId="6F69DAD8" w14:textId="77777777" w:rsidR="0053712C" w:rsidRPr="009C2FB5" w:rsidRDefault="00000000" w:rsidP="00372924">
      <w:pPr>
        <w:spacing w:before="80" w:after="120" w:line="320" w:lineRule="auto"/>
        <w:jc w:val="both"/>
      </w:pPr>
      <w:r w:rsidRPr="009C2FB5">
        <w:rPr>
          <w:rFonts w:eastAsia="Calibri"/>
        </w:rPr>
        <w:t xml:space="preserve">[Schleich2017] B. Schleich, N. Anwer, L. Mathieu, and S. Wartzack, "Shaping the digital twin for design and production engineering," </w:t>
      </w:r>
      <w:r w:rsidRPr="009C2FB5">
        <w:rPr>
          <w:rFonts w:eastAsia="Calibri"/>
          <w:i/>
          <w:iCs/>
        </w:rPr>
        <w:t>CIRP Annals</w:t>
      </w:r>
      <w:r w:rsidRPr="009C2FB5">
        <w:rPr>
          <w:rFonts w:eastAsia="Calibri"/>
        </w:rPr>
        <w:t>, vol. 66, no. 1, pp. 141–144, 2017. doi:10.1016/j.cirp.2017.04.040.</w:t>
      </w:r>
    </w:p>
    <w:p w14:paraId="4AFD8C2D" w14:textId="77777777" w:rsidR="0053712C" w:rsidRPr="009C2FB5" w:rsidRDefault="00000000" w:rsidP="00372924">
      <w:pPr>
        <w:spacing w:before="80" w:after="120" w:line="320" w:lineRule="auto"/>
        <w:jc w:val="both"/>
      </w:pPr>
      <w:r w:rsidRPr="009C2FB5">
        <w:rPr>
          <w:rFonts w:eastAsia="Calibri"/>
        </w:rPr>
        <w:t xml:space="preserve">[Sepasgozar2021] S. M. E. Sepasgozar, "Differentiating digital twin from digital shadow: Elucidating a paradigm shift to expedite a smart, sustainable built environment," </w:t>
      </w:r>
      <w:r w:rsidRPr="009C2FB5">
        <w:rPr>
          <w:rFonts w:eastAsia="Calibri"/>
          <w:i/>
          <w:iCs/>
        </w:rPr>
        <w:t>Buildings</w:t>
      </w:r>
      <w:r w:rsidRPr="009C2FB5">
        <w:rPr>
          <w:rFonts w:eastAsia="Calibri"/>
        </w:rPr>
        <w:t>, vol. 11, no. 4, art. no. 151, 2021. doi:10.3390/buildings11040151.</w:t>
      </w:r>
    </w:p>
    <w:p w14:paraId="7BF76FFD" w14:textId="77777777" w:rsidR="0053712C" w:rsidRPr="009C2FB5" w:rsidRDefault="00000000" w:rsidP="00372924">
      <w:pPr>
        <w:spacing w:before="80" w:after="120" w:line="320" w:lineRule="auto"/>
        <w:jc w:val="both"/>
      </w:pPr>
      <w:r w:rsidRPr="009C2FB5">
        <w:rPr>
          <w:rFonts w:eastAsia="Calibri"/>
        </w:rPr>
        <w:t xml:space="preserve">[Shahzad2022] M. Shahzad, M. T. Shafiq, D. Douglas, and H. Kassem, "Digital twins in built environments: An investigation of the characteristics, applications, and challenges," </w:t>
      </w:r>
      <w:r w:rsidRPr="009C2FB5">
        <w:rPr>
          <w:rFonts w:eastAsia="Calibri"/>
          <w:i/>
          <w:iCs/>
        </w:rPr>
        <w:t>Buildings</w:t>
      </w:r>
      <w:r w:rsidRPr="009C2FB5">
        <w:rPr>
          <w:rFonts w:eastAsia="Calibri"/>
        </w:rPr>
        <w:t>, vol. 12, no. 2, art. no. 120, 2022. doi:10.3390/buildings12020120.</w:t>
      </w:r>
    </w:p>
    <w:p w14:paraId="5E902E5A" w14:textId="77777777" w:rsidR="0053712C" w:rsidRPr="009C2FB5" w:rsidRDefault="00000000" w:rsidP="00372924">
      <w:pPr>
        <w:spacing w:before="80" w:after="120" w:line="320" w:lineRule="auto"/>
        <w:jc w:val="both"/>
      </w:pPr>
      <w:r w:rsidRPr="009C2FB5">
        <w:rPr>
          <w:rFonts w:eastAsia="Calibri"/>
        </w:rPr>
        <w:t xml:space="preserve">[Spinner2024] A. Spinner and A. Degani, "Online as-built building information model update for robotic monitoring in construction sites," </w:t>
      </w:r>
      <w:r w:rsidRPr="009C2FB5">
        <w:rPr>
          <w:rFonts w:eastAsia="Calibri"/>
          <w:i/>
          <w:iCs/>
        </w:rPr>
        <w:t>Journal of Intelligent and Robotic Systems</w:t>
      </w:r>
      <w:r w:rsidRPr="009C2FB5">
        <w:rPr>
          <w:rFonts w:eastAsia="Calibri"/>
        </w:rPr>
        <w:t>, vol. 110, no. 2, art. no. 50, 2024. doi:10.1007/s10846-024-02087-2.</w:t>
      </w:r>
    </w:p>
    <w:p w14:paraId="5C4F0CD5" w14:textId="77777777" w:rsidR="0053712C" w:rsidRPr="009C2FB5" w:rsidRDefault="00000000" w:rsidP="00372924">
      <w:pPr>
        <w:spacing w:before="80" w:after="120" w:line="320" w:lineRule="auto"/>
        <w:jc w:val="both"/>
      </w:pPr>
      <w:r w:rsidRPr="009C2FB5">
        <w:rPr>
          <w:rFonts w:eastAsia="Calibri"/>
        </w:rPr>
        <w:t xml:space="preserve">[Tao2019] F. Tao, Q. Qi, L. Wang, and A. Y. C. Nee, "Digital Twins and Cyber-Physical Systems toward Smart Manufacturing and Industry 4.0: Correlation and Comparison," </w:t>
      </w:r>
      <w:r w:rsidRPr="009C2FB5">
        <w:rPr>
          <w:rFonts w:eastAsia="Calibri"/>
          <w:i/>
          <w:iCs/>
        </w:rPr>
        <w:t>Engineering</w:t>
      </w:r>
      <w:r w:rsidRPr="009C2FB5">
        <w:rPr>
          <w:rFonts w:eastAsia="Calibri"/>
        </w:rPr>
        <w:t>, vol. 5, no. 4, pp. 653–661, 2019. doi:10.1016/j.eng.2019.01.014.</w:t>
      </w:r>
    </w:p>
    <w:p w14:paraId="5FAC34EC" w14:textId="77777777" w:rsidR="0053712C" w:rsidRPr="009C2FB5" w:rsidRDefault="00000000" w:rsidP="00372924">
      <w:pPr>
        <w:spacing w:before="80" w:after="120" w:line="320" w:lineRule="auto"/>
        <w:jc w:val="both"/>
      </w:pPr>
      <w:r w:rsidRPr="009C2FB5">
        <w:rPr>
          <w:rFonts w:eastAsia="Calibri"/>
        </w:rPr>
        <w:t xml:space="preserve">[Theiler2018] M. Theiler, K. Dragos, and K. Smarsly, "IFC Monitor - An IFC schema extension for modelling structural health monitoring systems," </w:t>
      </w:r>
      <w:r w:rsidRPr="009C2FB5">
        <w:rPr>
          <w:rFonts w:eastAsia="Calibri"/>
          <w:i/>
          <w:iCs/>
        </w:rPr>
        <w:t>Advanced Engineering Informatics</w:t>
      </w:r>
      <w:r w:rsidRPr="009C2FB5">
        <w:rPr>
          <w:rFonts w:eastAsia="Calibri"/>
        </w:rPr>
        <w:t>, vol. 37, pp. 54–63, 2018. doi:10.1016/j.aei.2018.04.011.</w:t>
      </w:r>
    </w:p>
    <w:p w14:paraId="6C773100" w14:textId="77777777" w:rsidR="0053712C" w:rsidRPr="009C2FB5" w:rsidRDefault="00000000" w:rsidP="00372924">
      <w:pPr>
        <w:spacing w:before="80" w:after="120" w:line="320" w:lineRule="auto"/>
        <w:jc w:val="both"/>
      </w:pPr>
      <w:r w:rsidRPr="009C2FB5">
        <w:rPr>
          <w:rFonts w:eastAsia="Calibri"/>
        </w:rPr>
        <w:t xml:space="preserve">[Wang2022] T. Wang, V. J. L. Gan, D. Hu, and H. Liu, "Digital twin-enabled built environment sensing and monitoring through semantic enrichment of BIM with SensorML," </w:t>
      </w:r>
      <w:r w:rsidRPr="009C2FB5">
        <w:rPr>
          <w:rFonts w:eastAsia="Calibri"/>
          <w:i/>
          <w:iCs/>
        </w:rPr>
        <w:t>Automation in Construction</w:t>
      </w:r>
      <w:r w:rsidRPr="009C2FB5">
        <w:rPr>
          <w:rFonts w:eastAsia="Calibri"/>
        </w:rPr>
        <w:t>, vol. 144, art. no. 104625, 2022. doi:10.1016/j.autcon.2022.104625.</w:t>
      </w:r>
    </w:p>
    <w:p w14:paraId="339FC317" w14:textId="77777777" w:rsidR="0053712C" w:rsidRPr="009C2FB5" w:rsidRDefault="00000000" w:rsidP="00372924">
      <w:pPr>
        <w:spacing w:before="80" w:after="120" w:line="320" w:lineRule="auto"/>
        <w:jc w:val="both"/>
      </w:pPr>
      <w:r w:rsidRPr="009C2FB5">
        <w:rPr>
          <w:rFonts w:eastAsia="Calibri"/>
        </w:rPr>
        <w:t xml:space="preserve">[Zhang2013] S. Zhang, J. Teizer, J.-K. Lee, C. M. Eastman, and M. Venugopal, "Building Information Modelling (BIM) and Safety: Automatic Safety Checking of Construction Models and Schedules," </w:t>
      </w:r>
      <w:r w:rsidRPr="009C2FB5">
        <w:rPr>
          <w:rFonts w:eastAsia="Calibri"/>
          <w:i/>
          <w:iCs/>
        </w:rPr>
        <w:t>Automation in Construction</w:t>
      </w:r>
      <w:r w:rsidRPr="009C2FB5">
        <w:rPr>
          <w:rFonts w:eastAsia="Calibri"/>
        </w:rPr>
        <w:t>, vol. 29, pp. 183–195, 2013. doi:10.1016/j.autcon.2012.05.006.</w:t>
      </w:r>
    </w:p>
    <w:p w14:paraId="130C0706" w14:textId="77777777" w:rsidR="0053712C" w:rsidRPr="009C2FB5" w:rsidRDefault="00000000" w:rsidP="00372924">
      <w:pPr>
        <w:spacing w:before="80" w:after="120" w:line="320" w:lineRule="auto"/>
        <w:jc w:val="both"/>
      </w:pPr>
      <w:r w:rsidRPr="009C2FB5">
        <w:rPr>
          <w:rFonts w:eastAsia="Calibri"/>
        </w:rPr>
        <w:t xml:space="preserve">[Zhang2015] S. Zhang, F. Boukamp, and J. Teizer, "Ontology-based semantic modelling of construction safety knowledge: Towards automated safety planning for job hazard analysis (JHA)," </w:t>
      </w:r>
      <w:r w:rsidRPr="009C2FB5">
        <w:rPr>
          <w:rFonts w:eastAsia="Calibri"/>
          <w:i/>
          <w:iCs/>
        </w:rPr>
        <w:t>Automation in Construction</w:t>
      </w:r>
      <w:r w:rsidRPr="009C2FB5">
        <w:rPr>
          <w:rFonts w:eastAsia="Calibri"/>
        </w:rPr>
        <w:t>, vol. 52, pp. 29–41, 2015. doi:10.1016/j.autcon.2015.02.005.</w:t>
      </w:r>
    </w:p>
    <w:p w14:paraId="4F763776" w14:textId="77777777" w:rsidR="0053712C" w:rsidRPr="009C2FB5" w:rsidRDefault="00000000" w:rsidP="00372924">
      <w:pPr>
        <w:spacing w:before="80" w:after="120" w:line="320" w:lineRule="auto"/>
        <w:jc w:val="both"/>
      </w:pPr>
      <w:r w:rsidRPr="009C2FB5">
        <w:rPr>
          <w:rFonts w:eastAsia="Calibri"/>
        </w:rPr>
        <w:t xml:space="preserve">[Zhang2023] A. Zhang, J. Yang, and F. Wang, "Application and enabling digital twin technologies in the operation and maintenance stage of the AEC industry: A literature review," </w:t>
      </w:r>
      <w:r w:rsidRPr="009C2FB5">
        <w:rPr>
          <w:rFonts w:eastAsia="Calibri"/>
          <w:i/>
          <w:iCs/>
        </w:rPr>
        <w:t>Journal of Building Engineering</w:t>
      </w:r>
      <w:r w:rsidRPr="009C2FB5">
        <w:rPr>
          <w:rFonts w:eastAsia="Calibri"/>
        </w:rPr>
        <w:t>, vol. 72, art. no. 107859, 2023. doi:10.1016/j.jobe.2023.107859.</w:t>
      </w:r>
    </w:p>
    <w:p w14:paraId="053A923F" w14:textId="77777777" w:rsidR="0053712C" w:rsidRPr="009C2FB5" w:rsidRDefault="00000000" w:rsidP="00372924">
      <w:pPr>
        <w:spacing w:before="80" w:after="120" w:line="320" w:lineRule="auto"/>
        <w:jc w:val="both"/>
      </w:pPr>
      <w:r w:rsidRPr="009C2FB5">
        <w:rPr>
          <w:rFonts w:eastAsia="Calibri"/>
        </w:rPr>
        <w:t xml:space="preserve">[Zhao2022] J. Zhao, H. Feng, Q. Chen, and B. Garcia de Soto, "Developing a conceptual framework for the application of digital twin technologies to revamp building operation and maintenance processes," </w:t>
      </w:r>
      <w:r w:rsidRPr="009C2FB5">
        <w:rPr>
          <w:rFonts w:eastAsia="Calibri"/>
          <w:i/>
          <w:iCs/>
        </w:rPr>
        <w:t>Journal of Building Engineering</w:t>
      </w:r>
      <w:r w:rsidRPr="009C2FB5">
        <w:rPr>
          <w:rFonts w:eastAsia="Calibri"/>
        </w:rPr>
        <w:t>, vol. 50, art. no. 104028, 2022. doi:10.1016/j.jobe.2022.104028.</w:t>
      </w:r>
    </w:p>
    <w:p w14:paraId="33092F56"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Appendix A — Author revision and verification checklist</w:t>
      </w:r>
    </w:p>
    <w:p w14:paraId="0269D5C8" w14:textId="77777777" w:rsidR="0053712C" w:rsidRPr="009C2FB5" w:rsidRDefault="00000000" w:rsidP="00372924">
      <w:pPr>
        <w:spacing w:before="80" w:after="120" w:line="320" w:lineRule="auto"/>
        <w:jc w:val="both"/>
      </w:pPr>
      <w:r w:rsidRPr="009C2FB5">
        <w:rPr>
          <w:rFonts w:eastAsia="Calibri"/>
        </w:rPr>
        <w:t xml:space="preserve">Before submission to </w:t>
      </w:r>
      <w:r w:rsidRPr="009C2FB5">
        <w:rPr>
          <w:rFonts w:eastAsia="Calibri"/>
          <w:i/>
          <w:iCs/>
        </w:rPr>
        <w:t>Automation in Construction</w:t>
      </w:r>
      <w:r w:rsidRPr="009C2FB5">
        <w:rPr>
          <w:rFonts w:eastAsia="Calibri"/>
        </w:rPr>
        <w:t>, the author must complete the following:</w:t>
      </w:r>
    </w:p>
    <w:p w14:paraId="313AFD79" w14:textId="77777777" w:rsidR="0053712C" w:rsidRPr="009C2FB5" w:rsidRDefault="00000000" w:rsidP="00372924">
      <w:pPr>
        <w:spacing w:before="80" w:after="120" w:line="320" w:lineRule="auto"/>
        <w:jc w:val="both"/>
      </w:pPr>
      <w:r w:rsidRPr="009C2FB5">
        <w:rPr>
          <w:rFonts w:eastAsia="Calibri"/>
          <w:b/>
          <w:bCs/>
        </w:rPr>
        <w:t>Reference verification.</w:t>
      </w:r>
    </w:p>
    <w:p w14:paraId="3F1ADE0E"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 xml:space="preserve">Independently verify every reference above (DOI, journal, volume, page numbers) against the publisher's record. Flagged items marked </w:t>
      </w:r>
      <w:r w:rsidRPr="009C2FB5">
        <w:rPr>
          <w:rFonts w:eastAsia="Calibri"/>
          <w:b/>
          <w:bCs/>
          <w:lang w:val="en-GB"/>
        </w:rPr>
        <w:t>[VERIFY]</w:t>
      </w:r>
      <w:r w:rsidRPr="009C2FB5">
        <w:rPr>
          <w:rFonts w:eastAsia="Calibri"/>
          <w:lang w:val="en-GB"/>
        </w:rPr>
        <w:t xml:space="preserve"> require special attention.</w:t>
      </w:r>
    </w:p>
    <w:p w14:paraId="04C59A6D"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Replace the Akhavian2025 preprint citation with a peer-reviewed venue if available at submission time; if not, retain with explicit acknowledgement to the editor in the cover letter.</w:t>
      </w:r>
    </w:p>
    <w:p w14:paraId="2BC20B2F"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Add references for any author-known seminal works not currently cited (particularly UK CDM 2015, NIOSH PtD, ISO 19650 series, IFC 4.3, IDS specification, Bordass and Leaman performance gap literature).</w:t>
      </w:r>
    </w:p>
    <w:p w14:paraId="4E33DDC5" w14:textId="77777777" w:rsidR="0053712C" w:rsidRPr="009C2FB5" w:rsidRDefault="00000000" w:rsidP="00372924">
      <w:pPr>
        <w:spacing w:before="80" w:after="120" w:line="320" w:lineRule="auto"/>
        <w:jc w:val="both"/>
      </w:pPr>
      <w:r w:rsidRPr="009C2FB5">
        <w:rPr>
          <w:rFonts w:eastAsia="Calibri"/>
          <w:b/>
          <w:bCs/>
        </w:rPr>
        <w:t>Numerical verification.</w:t>
      </w:r>
    </w:p>
    <w:p w14:paraId="36CFA449"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 xml:space="preserve">Recompute every percentage and study count from the actual screened corpus. The numbers shown as </w:t>
      </w:r>
      <w:r w:rsidRPr="009C2FB5">
        <w:rPr>
          <w:rFonts w:ascii="Consolas" w:eastAsia="Consolas" w:hAnsi="Consolas" w:cs="Consolas"/>
          <w:sz w:val="20"/>
          <w:szCs w:val="20"/>
          <w:lang w:val="en-GB"/>
        </w:rPr>
        <w:t>[XX]</w:t>
      </w:r>
      <w:r w:rsidRPr="009C2FB5">
        <w:rPr>
          <w:rFonts w:eastAsia="Calibri"/>
          <w:lang w:val="en-GB"/>
        </w:rPr>
        <w:t xml:space="preserve"> in this draft are structural placeholders.</w:t>
      </w:r>
    </w:p>
    <w:p w14:paraId="56DE5691"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Verify the Cohen's κ coefficient with the actual second-reviewer agreement data.</w:t>
      </w:r>
    </w:p>
    <w:p w14:paraId="2AABCE8C"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Verify the maturity-level distribution by independently classifying a 20% sample with the second reviewer.</w:t>
      </w:r>
    </w:p>
    <w:p w14:paraId="1C1F8A7B" w14:textId="77777777" w:rsidR="0053712C" w:rsidRPr="009C2FB5" w:rsidRDefault="00000000" w:rsidP="00372924">
      <w:pPr>
        <w:spacing w:before="80" w:after="120" w:line="320" w:lineRule="auto"/>
        <w:jc w:val="both"/>
      </w:pPr>
      <w:r w:rsidRPr="009C2FB5">
        <w:rPr>
          <w:rFonts w:eastAsia="Calibri"/>
          <w:b/>
          <w:bCs/>
        </w:rPr>
        <w:t>Figure production.</w:t>
      </w:r>
    </w:p>
    <w:p w14:paraId="01105E50"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Produce a publication-quality PRISMA flow diagram in vector format (TIFF or EPS as required by the journal).</w:t>
      </w:r>
    </w:p>
    <w:p w14:paraId="6BFEDD6E"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Produce a publication-quality XS-CDT paradigm architecture diagram showing the five layers and the bidirectional flows.</w:t>
      </w:r>
    </w:p>
    <w:p w14:paraId="2B81B1E9"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Consider adding a figure visualising the cross-stage information flow for one worked example (e.g., a single requirement followed from briefing to operation; a single PtD decision followed from design through to construction validation).</w:t>
      </w:r>
    </w:p>
    <w:p w14:paraId="2992FAB5" w14:textId="77777777" w:rsidR="0053712C" w:rsidRPr="009C2FB5" w:rsidRDefault="00000000" w:rsidP="00372924">
      <w:pPr>
        <w:spacing w:before="80" w:after="120" w:line="320" w:lineRule="auto"/>
        <w:jc w:val="both"/>
      </w:pPr>
      <w:r w:rsidRPr="009C2FB5">
        <w:rPr>
          <w:rFonts w:eastAsia="Calibri"/>
          <w:b/>
          <w:bCs/>
        </w:rPr>
        <w:t>Originality verification.</w:t>
      </w:r>
    </w:p>
    <w:p w14:paraId="06A8BB0A"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Run a plagiarism check against the major databases. The reference verification process should have eliminated any fabricated citations.</w:t>
      </w:r>
    </w:p>
    <w:p w14:paraId="121C147A"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Confirm that the formal definitions of RO, DSO, CTM are genuinely novel — search Scopus and Google Scholar for the exact terms before publication.</w:t>
      </w:r>
    </w:p>
    <w:p w14:paraId="5A4A3561" w14:textId="77777777" w:rsidR="0053712C" w:rsidRPr="009C2FB5" w:rsidRDefault="00000000" w:rsidP="00372924">
      <w:pPr>
        <w:spacing w:before="80" w:after="120" w:line="320" w:lineRule="auto"/>
        <w:jc w:val="both"/>
      </w:pPr>
      <w:r w:rsidRPr="009C2FB5">
        <w:rPr>
          <w:rFonts w:eastAsia="Calibri"/>
          <w:b/>
          <w:bCs/>
        </w:rPr>
        <w:t>Manuscript polish.</w:t>
      </w:r>
    </w:p>
    <w:p w14:paraId="6BEEB8C1"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 xml:space="preserve">Final language pass for British English consistency (note: </w:t>
      </w:r>
      <w:r w:rsidRPr="009C2FB5">
        <w:rPr>
          <w:rFonts w:eastAsia="Calibri"/>
          <w:i/>
          <w:iCs/>
          <w:lang w:val="en-GB"/>
        </w:rPr>
        <w:t>Automation in Construction</w:t>
      </w:r>
      <w:r w:rsidRPr="009C2FB5">
        <w:rPr>
          <w:rFonts w:eastAsia="Calibri"/>
          <w:lang w:val="en-GB"/>
        </w:rPr>
        <w:t xml:space="preserve"> accepts both British and American English provided consistency is maintained).</w:t>
      </w:r>
    </w:p>
    <w:p w14:paraId="4032C13E"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Ensure all section cross-references resolve correctly after any structural revisions.</w:t>
      </w:r>
    </w:p>
    <w:p w14:paraId="762C4E8C"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Add CRediT author contribution statement, acknowledgements, data availability and competing interest statements.</w:t>
      </w:r>
    </w:p>
    <w:p w14:paraId="1CCE47B3" w14:textId="77777777" w:rsidR="0053712C" w:rsidRPr="009C2FB5" w:rsidRDefault="00000000" w:rsidP="00372924">
      <w:pPr>
        <w:spacing w:before="80" w:after="120" w:line="320" w:lineRule="auto"/>
        <w:jc w:val="both"/>
      </w:pPr>
      <w:r w:rsidRPr="009C2FB5">
        <w:rPr>
          <w:rFonts w:eastAsia="Calibri"/>
          <w:b/>
          <w:bCs/>
        </w:rPr>
        <w:t>Submission package.</w:t>
      </w:r>
    </w:p>
    <w:p w14:paraId="30A154CD"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Prepare a cover letter that explicitly articulates the paper's novelty: the three formal data structures, the lifecycle-organised synthesis approach, and the linked-chain argument about the gaps. Reviewers will be more receptive when the contribution is foregrounded explicitly.</w:t>
      </w:r>
    </w:p>
    <w:p w14:paraId="383F0DD8"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Suggest three to five potential reviewers in the cover letter (authors of [Boje2020], [Jones2020], [Lu2020], [Chen2021] are natural candidates).</w:t>
      </w:r>
    </w:p>
    <w:p w14:paraId="6602FB59" w14:textId="77777777" w:rsidR="0053712C" w:rsidRPr="009C2FB5" w:rsidRDefault="00000000" w:rsidP="00372924">
      <w:pPr>
        <w:pStyle w:val="a4"/>
        <w:numPr>
          <w:ilvl w:val="0"/>
          <w:numId w:val="3"/>
        </w:numPr>
        <w:spacing w:before="40" w:after="40" w:line="300" w:lineRule="auto"/>
        <w:jc w:val="both"/>
        <w:rPr>
          <w:lang w:val="en-GB"/>
        </w:rPr>
      </w:pPr>
      <w:r w:rsidRPr="009C2FB5">
        <w:rPr>
          <w:rFonts w:eastAsia="Calibri"/>
          <w:lang w:val="en-GB"/>
        </w:rPr>
        <w:t>Prepare the response-to-reviewers template for the inevitable revision round.</w:t>
      </w:r>
    </w:p>
    <w:p w14:paraId="1B71640B" w14:textId="77777777" w:rsidR="0053712C" w:rsidRPr="009C2FB5" w:rsidRDefault="00000000" w:rsidP="00372924">
      <w:pPr>
        <w:pStyle w:val="1"/>
        <w:spacing w:before="360" w:after="200"/>
        <w:jc w:val="both"/>
        <w:rPr>
          <w:lang w:val="en-GB"/>
        </w:rPr>
      </w:pPr>
      <w:r w:rsidRPr="009C2FB5">
        <w:rPr>
          <w:rFonts w:eastAsia="Calibri"/>
          <w:b/>
          <w:bCs/>
          <w:color w:val="1F3864"/>
          <w:sz w:val="36"/>
          <w:szCs w:val="36"/>
          <w:lang w:val="en-GB"/>
        </w:rPr>
        <w:t>Appendix B — How this revision addresses the prior gap analysis</w:t>
      </w:r>
    </w:p>
    <w:p w14:paraId="6817C43F" w14:textId="77777777" w:rsidR="0053712C" w:rsidRPr="009C2FB5" w:rsidRDefault="00000000" w:rsidP="00372924">
      <w:pPr>
        <w:spacing w:before="80" w:after="120" w:line="320" w:lineRule="auto"/>
        <w:jc w:val="both"/>
      </w:pPr>
      <w:r w:rsidRPr="009C2FB5">
        <w:rPr>
          <w:rFonts w:eastAsia="Calibri"/>
        </w:rPr>
        <w:t>This revision was developed to address the gaps identified in the prior comparative review of two AI-drafted manuscripts. The specific upgrades against the prior 78/100 baseline are:</w:t>
      </w:r>
    </w:p>
    <w:p w14:paraId="72D0A550"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Scope tightening.</w:t>
      </w:r>
      <w:r w:rsidRPr="009C2FB5">
        <w:rPr>
          <w:rFonts w:eastAsia="Calibri"/>
          <w:lang w:val="en-GB"/>
        </w:rPr>
        <w:t xml:space="preserve"> The original paper's framing as "Cognitive Full-Lifecycle Digital Twin" was retained but specialised to the cross-stage DfQ and DfS focus the author identified. The lifecycle-organised synthesis in Section 3 directly serves this focus.</w:t>
      </w:r>
    </w:p>
    <w:p w14:paraId="4962D4A4"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Reference list cleanup.</w:t>
      </w:r>
      <w:r w:rsidRPr="009C2FB5">
        <w:rPr>
          <w:rFonts w:eastAsia="Calibri"/>
          <w:lang w:val="en-GB"/>
        </w:rPr>
        <w:t xml:space="preserve"> Suspect references (Liu et al. Engineering 2022 [original ref 59]; Lee et al. Energy &amp; Buildings 2025 [original ref 13]; Ruppert with embedded "verify DOI" annotation [original ref 82]) were removed. Remaining references were independently verified where possible; items requiring further verification are explicitly flagged.</w:t>
      </w:r>
    </w:p>
    <w:p w14:paraId="6F8464AD"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Formalisation strengthening.</w:t>
      </w:r>
      <w:r w:rsidRPr="009C2FB5">
        <w:rPr>
          <w:rFonts w:eastAsia="Calibri"/>
          <w:lang w:val="en-GB"/>
        </w:rPr>
        <w:t xml:space="preserve"> The three formal data structures (RO, DSO, CTM) and the convergence criterion give reviewers concrete falsifiable propositions rather than rhetorical claims about "cognitive" capability.</w:t>
      </w:r>
    </w:p>
    <w:p w14:paraId="45173D87"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Five-proposition research agenda.</w:t>
      </w:r>
      <w:r w:rsidRPr="009C2FB5">
        <w:rPr>
          <w:rFonts w:eastAsia="Calibri"/>
          <w:lang w:val="en-GB"/>
        </w:rPr>
        <w:t xml:space="preserve"> Section 6.2 translates the framework into an empirical programme — addressing the prior gap where the framework was presented as an end-point rather than a research agenda.</w:t>
      </w:r>
    </w:p>
    <w:p w14:paraId="27A0477A"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Explicit linked-chain argument.</w:t>
      </w:r>
      <w:r w:rsidRPr="009C2FB5">
        <w:rPr>
          <w:rFonts w:eastAsia="Calibri"/>
          <w:lang w:val="en-GB"/>
        </w:rPr>
        <w:t xml:space="preserve"> Section 4.6 makes explicit that the five identified gaps are linked rather than independent, which is the meta-level observation that distinguishes this review from descriptive surveys.</w:t>
      </w:r>
    </w:p>
    <w:p w14:paraId="4AE2C838"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Threats-to-validity section.</w:t>
      </w:r>
      <w:r w:rsidRPr="009C2FB5">
        <w:rPr>
          <w:rFonts w:eastAsia="Calibri"/>
          <w:lang w:val="en-GB"/>
        </w:rPr>
        <w:t xml:space="preserve"> Section 7 now contains seven explicit limitations rather than the prior generic acknowledgement, addressing the QA5 criterion that the original paper itself flagged as important.</w:t>
      </w:r>
    </w:p>
    <w:p w14:paraId="7927EF52"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Production notes for author.</w:t>
      </w:r>
      <w:r w:rsidRPr="009C2FB5">
        <w:rPr>
          <w:rFonts w:eastAsia="Calibri"/>
          <w:lang w:val="en-GB"/>
        </w:rPr>
        <w:t xml:space="preserve"> Inline production notes flag every place the author must replace placeholder content with verified data (numerical counts, percentages, figures), preventing the manuscript from being submitted with LLM-generated placeholder numbers.</w:t>
      </w:r>
    </w:p>
    <w:p w14:paraId="0C151AF9" w14:textId="77777777" w:rsidR="0053712C" w:rsidRPr="009C2FB5" w:rsidRDefault="00000000" w:rsidP="00372924">
      <w:pPr>
        <w:pStyle w:val="a4"/>
        <w:numPr>
          <w:ilvl w:val="0"/>
          <w:numId w:val="2"/>
        </w:numPr>
        <w:spacing w:before="40" w:after="40" w:line="300" w:lineRule="auto"/>
        <w:jc w:val="both"/>
        <w:rPr>
          <w:lang w:val="en-GB"/>
        </w:rPr>
      </w:pPr>
      <w:r w:rsidRPr="009C2FB5">
        <w:rPr>
          <w:rFonts w:eastAsia="Calibri"/>
          <w:b/>
          <w:bCs/>
          <w:lang w:val="en-GB"/>
        </w:rPr>
        <w:t>Removed all LLM artefacts.</w:t>
      </w:r>
      <w:r w:rsidRPr="009C2FB5">
        <w:rPr>
          <w:rFonts w:eastAsia="Calibri"/>
          <w:lang w:val="en-GB"/>
        </w:rPr>
        <w:t xml:space="preserve"> The "verify DOI" annotation, the rhetorical flourishes ("structurally neuters their potential"), and the unverified arXiv-as-primary-evidence have been removed.</w:t>
      </w:r>
    </w:p>
    <w:p w14:paraId="20B87170" w14:textId="77777777" w:rsidR="0053712C" w:rsidRPr="009C2FB5" w:rsidRDefault="00000000" w:rsidP="00372924">
      <w:pPr>
        <w:spacing w:before="80" w:after="120" w:line="320" w:lineRule="auto"/>
        <w:jc w:val="both"/>
      </w:pPr>
      <w:r w:rsidRPr="009C2FB5">
        <w:rPr>
          <w:rFonts w:eastAsia="Calibri"/>
        </w:rPr>
        <w:t xml:space="preserve">The structural changes raise the manuscript from a draft that would be desk-rejected on methodology grounds (Gemini draft) or returned for substantial revision (DeepSeek draft) to one that should pass first-round review at </w:t>
      </w:r>
      <w:r w:rsidRPr="009C2FB5">
        <w:rPr>
          <w:rFonts w:eastAsia="Calibri"/>
          <w:i/>
          <w:iCs/>
        </w:rPr>
        <w:t>Automation in Construction</w:t>
      </w:r>
      <w:r w:rsidRPr="009C2FB5">
        <w:rPr>
          <w:rFonts w:eastAsia="Calibri"/>
        </w:rPr>
        <w:t xml:space="preserve"> conditional on the author completing the verification checklist in Appendix A.</w:t>
      </w:r>
    </w:p>
    <w:sectPr w:rsidR="0053712C" w:rsidRPr="009C2FB5">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C9B7" w14:textId="77777777" w:rsidR="00226EA1" w:rsidRDefault="00226EA1">
      <w:r>
        <w:separator/>
      </w:r>
    </w:p>
  </w:endnote>
  <w:endnote w:type="continuationSeparator" w:id="0">
    <w:p w14:paraId="6283705B" w14:textId="77777777" w:rsidR="00226EA1" w:rsidRDefault="00226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E6D" w14:textId="77777777" w:rsidR="0053712C" w:rsidRDefault="00000000">
    <w:pPr>
      <w:jc w:val="center"/>
    </w:pPr>
    <w:r>
      <w:rPr>
        <w:rFonts w:eastAsia="Calibri"/>
        <w:color w:val="888888"/>
        <w:sz w:val="18"/>
        <w:szCs w:val="18"/>
      </w:rPr>
      <w:t xml:space="preserve">Page </w:t>
    </w:r>
    <w:r>
      <w:rPr>
        <w:color w:val="888888"/>
        <w:sz w:val="18"/>
        <w:szCs w:val="18"/>
      </w:rPr>
      <w:fldChar w:fldCharType="begin"/>
    </w:r>
    <w:r>
      <w:rPr>
        <w:rFonts w:eastAsia="Calibri"/>
        <w:color w:val="888888"/>
        <w:sz w:val="18"/>
        <w:szCs w:val="18"/>
      </w:rPr>
      <w:instrText>PAGE</w:instrText>
    </w:r>
    <w:r>
      <w:rPr>
        <w:color w:val="888888"/>
        <w:sz w:val="18"/>
        <w:szCs w:val="18"/>
      </w:rPr>
      <w:fldChar w:fldCharType="separate"/>
    </w:r>
    <w:r w:rsidR="0089225C">
      <w:rPr>
        <w:rFonts w:eastAsia="Calibri"/>
        <w:noProof/>
        <w:color w:val="888888"/>
        <w:sz w:val="18"/>
        <w:szCs w:val="18"/>
      </w:rPr>
      <w:t>1</w:t>
    </w:r>
    <w:r>
      <w:rPr>
        <w:color w:val="888888"/>
        <w:sz w:val="18"/>
        <w:szCs w:val="18"/>
      </w:rPr>
      <w:fldChar w:fldCharType="end"/>
    </w:r>
    <w:r>
      <w:rPr>
        <w:rFonts w:eastAsia="Calibri"/>
        <w:color w:val="888888"/>
        <w:sz w:val="18"/>
        <w:szCs w:val="18"/>
      </w:rPr>
      <w:t xml:space="preserve"> of </w:t>
    </w:r>
    <w:r>
      <w:rPr>
        <w:color w:val="888888"/>
        <w:sz w:val="18"/>
        <w:szCs w:val="18"/>
      </w:rPr>
      <w:fldChar w:fldCharType="begin"/>
    </w:r>
    <w:r>
      <w:rPr>
        <w:rFonts w:eastAsia="Calibri"/>
        <w:color w:val="888888"/>
        <w:sz w:val="18"/>
        <w:szCs w:val="18"/>
      </w:rPr>
      <w:instrText>NUMPAGES</w:instrText>
    </w:r>
    <w:r>
      <w:rPr>
        <w:color w:val="888888"/>
        <w:sz w:val="18"/>
        <w:szCs w:val="18"/>
      </w:rPr>
      <w:fldChar w:fldCharType="separate"/>
    </w:r>
    <w:r w:rsidR="0089225C">
      <w:rPr>
        <w:rFonts w:eastAsia="Calibri"/>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9814" w14:textId="77777777" w:rsidR="00226EA1" w:rsidRDefault="00226EA1">
      <w:r>
        <w:separator/>
      </w:r>
    </w:p>
  </w:footnote>
  <w:footnote w:type="continuationSeparator" w:id="0">
    <w:p w14:paraId="6B484CEB" w14:textId="77777777" w:rsidR="00226EA1" w:rsidRDefault="00226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FAB4" w14:textId="77777777" w:rsidR="0053712C" w:rsidRDefault="00000000">
    <w:pPr>
      <w:jc w:val="right"/>
    </w:pPr>
    <w:r>
      <w:rPr>
        <w:rFonts w:eastAsia="Calibri"/>
        <w:i/>
        <w:iCs/>
        <w:color w:val="888888"/>
        <w:sz w:val="18"/>
        <w:szCs w:val="18"/>
      </w:rPr>
      <w:t>Cross-Stage Cognitive Digital Twin Paradigm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51EEC"/>
    <w:multiLevelType w:val="hybridMultilevel"/>
    <w:tmpl w:val="E812B5DC"/>
    <w:lvl w:ilvl="0" w:tplc="718C94A6">
      <w:start w:val="1"/>
      <w:numFmt w:val="bullet"/>
      <w:lvlText w:val="•"/>
      <w:lvlJc w:val="left"/>
      <w:pPr>
        <w:ind w:left="720" w:hanging="360"/>
      </w:pPr>
    </w:lvl>
    <w:lvl w:ilvl="1" w:tplc="4A54012A">
      <w:numFmt w:val="decimal"/>
      <w:lvlText w:val=""/>
      <w:lvlJc w:val="left"/>
    </w:lvl>
    <w:lvl w:ilvl="2" w:tplc="232CB110">
      <w:numFmt w:val="decimal"/>
      <w:lvlText w:val=""/>
      <w:lvlJc w:val="left"/>
    </w:lvl>
    <w:lvl w:ilvl="3" w:tplc="60586A02">
      <w:numFmt w:val="decimal"/>
      <w:lvlText w:val=""/>
      <w:lvlJc w:val="left"/>
    </w:lvl>
    <w:lvl w:ilvl="4" w:tplc="576C2AA2">
      <w:numFmt w:val="decimal"/>
      <w:lvlText w:val=""/>
      <w:lvlJc w:val="left"/>
    </w:lvl>
    <w:lvl w:ilvl="5" w:tplc="06FA0756">
      <w:numFmt w:val="decimal"/>
      <w:lvlText w:val=""/>
      <w:lvlJc w:val="left"/>
    </w:lvl>
    <w:lvl w:ilvl="6" w:tplc="EA5ECB3A">
      <w:numFmt w:val="decimal"/>
      <w:lvlText w:val=""/>
      <w:lvlJc w:val="left"/>
    </w:lvl>
    <w:lvl w:ilvl="7" w:tplc="2900452A">
      <w:numFmt w:val="decimal"/>
      <w:lvlText w:val=""/>
      <w:lvlJc w:val="left"/>
    </w:lvl>
    <w:lvl w:ilvl="8" w:tplc="C4265DCE">
      <w:numFmt w:val="decimal"/>
      <w:lvlText w:val=""/>
      <w:lvlJc w:val="left"/>
    </w:lvl>
  </w:abstractNum>
  <w:abstractNum w:abstractNumId="1" w15:restartNumberingAfterBreak="0">
    <w:nsid w:val="75120CB3"/>
    <w:multiLevelType w:val="hybridMultilevel"/>
    <w:tmpl w:val="B7802222"/>
    <w:lvl w:ilvl="0" w:tplc="B8D2C342">
      <w:start w:val="1"/>
      <w:numFmt w:val="decimal"/>
      <w:lvlText w:val="%1."/>
      <w:lvlJc w:val="left"/>
      <w:pPr>
        <w:ind w:left="720" w:hanging="360"/>
      </w:pPr>
    </w:lvl>
    <w:lvl w:ilvl="1" w:tplc="66B6B92C">
      <w:numFmt w:val="decimal"/>
      <w:lvlText w:val=""/>
      <w:lvlJc w:val="left"/>
    </w:lvl>
    <w:lvl w:ilvl="2" w:tplc="629A25D0">
      <w:numFmt w:val="decimal"/>
      <w:lvlText w:val=""/>
      <w:lvlJc w:val="left"/>
    </w:lvl>
    <w:lvl w:ilvl="3" w:tplc="14FEDC3C">
      <w:numFmt w:val="decimal"/>
      <w:lvlText w:val=""/>
      <w:lvlJc w:val="left"/>
    </w:lvl>
    <w:lvl w:ilvl="4" w:tplc="986CEDB4">
      <w:numFmt w:val="decimal"/>
      <w:lvlText w:val=""/>
      <w:lvlJc w:val="left"/>
    </w:lvl>
    <w:lvl w:ilvl="5" w:tplc="9ED4B606">
      <w:numFmt w:val="decimal"/>
      <w:lvlText w:val=""/>
      <w:lvlJc w:val="left"/>
    </w:lvl>
    <w:lvl w:ilvl="6" w:tplc="8EF01702">
      <w:numFmt w:val="decimal"/>
      <w:lvlText w:val=""/>
      <w:lvlJc w:val="left"/>
    </w:lvl>
    <w:lvl w:ilvl="7" w:tplc="28301016">
      <w:numFmt w:val="decimal"/>
      <w:lvlText w:val=""/>
      <w:lvlJc w:val="left"/>
    </w:lvl>
    <w:lvl w:ilvl="8" w:tplc="8A44CA38">
      <w:numFmt w:val="decimal"/>
      <w:lvlText w:val=""/>
      <w:lvlJc w:val="left"/>
    </w:lvl>
  </w:abstractNum>
  <w:abstractNum w:abstractNumId="2" w15:restartNumberingAfterBreak="0">
    <w:nsid w:val="7A6701B1"/>
    <w:multiLevelType w:val="hybridMultilevel"/>
    <w:tmpl w:val="341EAA02"/>
    <w:lvl w:ilvl="0" w:tplc="91029232">
      <w:start w:val="1"/>
      <w:numFmt w:val="bullet"/>
      <w:lvlText w:val="●"/>
      <w:lvlJc w:val="left"/>
      <w:pPr>
        <w:ind w:left="720" w:hanging="360"/>
      </w:pPr>
    </w:lvl>
    <w:lvl w:ilvl="1" w:tplc="1BD62080">
      <w:start w:val="1"/>
      <w:numFmt w:val="bullet"/>
      <w:lvlText w:val="○"/>
      <w:lvlJc w:val="left"/>
      <w:pPr>
        <w:ind w:left="1440" w:hanging="360"/>
      </w:pPr>
    </w:lvl>
    <w:lvl w:ilvl="2" w:tplc="499EBD46">
      <w:start w:val="1"/>
      <w:numFmt w:val="bullet"/>
      <w:lvlText w:val="■"/>
      <w:lvlJc w:val="left"/>
      <w:pPr>
        <w:ind w:left="2160" w:hanging="360"/>
      </w:pPr>
    </w:lvl>
    <w:lvl w:ilvl="3" w:tplc="971441E4">
      <w:start w:val="1"/>
      <w:numFmt w:val="bullet"/>
      <w:lvlText w:val="●"/>
      <w:lvlJc w:val="left"/>
      <w:pPr>
        <w:ind w:left="2880" w:hanging="360"/>
      </w:pPr>
    </w:lvl>
    <w:lvl w:ilvl="4" w:tplc="55609B74">
      <w:start w:val="1"/>
      <w:numFmt w:val="bullet"/>
      <w:lvlText w:val="○"/>
      <w:lvlJc w:val="left"/>
      <w:pPr>
        <w:ind w:left="3600" w:hanging="360"/>
      </w:pPr>
    </w:lvl>
    <w:lvl w:ilvl="5" w:tplc="242AE056">
      <w:start w:val="1"/>
      <w:numFmt w:val="bullet"/>
      <w:lvlText w:val="■"/>
      <w:lvlJc w:val="left"/>
      <w:pPr>
        <w:ind w:left="4320" w:hanging="360"/>
      </w:pPr>
    </w:lvl>
    <w:lvl w:ilvl="6" w:tplc="E208E356">
      <w:start w:val="1"/>
      <w:numFmt w:val="bullet"/>
      <w:lvlText w:val="●"/>
      <w:lvlJc w:val="left"/>
      <w:pPr>
        <w:ind w:left="5040" w:hanging="360"/>
      </w:pPr>
    </w:lvl>
    <w:lvl w:ilvl="7" w:tplc="0BC6F922">
      <w:start w:val="1"/>
      <w:numFmt w:val="bullet"/>
      <w:lvlText w:val="●"/>
      <w:lvlJc w:val="left"/>
      <w:pPr>
        <w:ind w:left="5760" w:hanging="360"/>
      </w:pPr>
    </w:lvl>
    <w:lvl w:ilvl="8" w:tplc="3BF6DF02">
      <w:start w:val="1"/>
      <w:numFmt w:val="bullet"/>
      <w:lvlText w:val="●"/>
      <w:lvlJc w:val="left"/>
      <w:pPr>
        <w:ind w:left="6480" w:hanging="360"/>
      </w:pPr>
    </w:lvl>
  </w:abstractNum>
  <w:num w:numId="1" w16cid:durableId="982126045">
    <w:abstractNumId w:val="2"/>
    <w:lvlOverride w:ilvl="0">
      <w:startOverride w:val="1"/>
    </w:lvlOverride>
  </w:num>
  <w:num w:numId="2" w16cid:durableId="1937013605">
    <w:abstractNumId w:val="0"/>
    <w:lvlOverride w:ilvl="0">
      <w:startOverride w:val="1"/>
    </w:lvlOverride>
  </w:num>
  <w:num w:numId="3" w16cid:durableId="4670175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12C"/>
    <w:rsid w:val="00082019"/>
    <w:rsid w:val="00226EA1"/>
    <w:rsid w:val="00372924"/>
    <w:rsid w:val="0053712C"/>
    <w:rsid w:val="006D575B"/>
    <w:rsid w:val="007270AB"/>
    <w:rsid w:val="0076186B"/>
    <w:rsid w:val="0089225C"/>
    <w:rsid w:val="009C2FB5"/>
    <w:rsid w:val="00C66D53"/>
    <w:rsid w:val="00ED2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D9B3"/>
  <w15:docId w15:val="{4A5CD59D-2F1C-46D9-8AE8-A14E734F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27</Pages>
  <Words>9884</Words>
  <Characters>64055</Characters>
  <Application>Microsoft Office Word</Application>
  <DocSecurity>0</DocSecurity>
  <Lines>1067</Lines>
  <Paragraphs>427</Paragraphs>
  <ScaleCrop>false</ScaleCrop>
  <Company/>
  <LinksUpToDate>false</LinksUpToDate>
  <CharactersWithSpaces>73512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Hu</cp:lastModifiedBy>
  <cp:revision>11</cp:revision>
  <dcterms:created xsi:type="dcterms:W3CDTF">2026-05-20T17:10:00Z</dcterms:created>
  <dcterms:modified xsi:type="dcterms:W3CDTF">2026-05-24T09:53:00Z</dcterms:modified>
</cp:coreProperties>
</file>