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EchoNet-Dynamic 测试报告</w:t>
      </w:r>
    </w:p>
    <w:p>
      <w:pPr>
        <w:spacing w:after="240"/>
      </w:pPr>
      <w:r>
        <w:rPr>
          <w:color w:val="555555"/>
          <w:sz w:val="21"/>
        </w:rPr>
        <w:t>由 EchoNet-Dynamic_report.md 自动转换生成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D:/cardioconsult_dense_validation/datasets/EchoNet-Dynamic</w:t>
      </w:r>
    </w:p>
    <w:p>
      <w:pPr>
        <w:pStyle w:val="ListBullet"/>
        <w:spacing w:after="160"/>
      </w:pPr>
      <w:r>
        <w:t>官方入口：https://echonet.github.io/dynamic/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manual_authorized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D:\cardioconsult_dense_validation\results\EchoNet-Dynamic\features.csv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D:\cardioconsult_dense_validation\results\EchoNet-Dynamic\end_to_end.csv</w:t>
      </w:r>
      <w:r>
        <w:t xml:space="preserve"> 缺失</w:t>
      </w:r>
    </w:p>
    <w:p>
      <w:pPr>
        <w:pStyle w:val="ListBullet"/>
        <w:spacing w:after="160"/>
      </w:pPr>
      <w:r>
        <w:t>说明：EchoNet-Dynamic requires accepting Stanford/AIMI research-use terms. Place authorized videos and metadata under this directory.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EchoNet-Dynamic 测试报告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