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Microsoft YaHei" w:hAnsi="Microsoft YaHei" w:eastAsia="Microsoft YaHei"/>
          <w:b/>
          <w:color w:val="0F172A"/>
          <w:sz w:val="38"/>
        </w:rPr>
        <w:t>CardioConsult PC V5 冻结版技术报告（APA 引用版）</w:t>
      </w:r>
    </w:p>
    <w:p>
      <w:pPr>
        <w:spacing w:after="100" w:line="259" w:lineRule="auto"/>
      </w:pPr>
      <w:r>
        <w:rPr>
          <w:rFonts w:ascii="Microsoft YaHei" w:hAnsi="Microsoft YaHei" w:eastAsia="Microsoft YaHei"/>
          <w:sz w:val="20"/>
        </w:rPr>
        <w:t>生成日期：2026-06-04</w:t>
      </w:r>
    </w:p>
    <w:p>
      <w:pPr>
        <w:spacing w:after="100" w:line="259" w:lineRule="auto"/>
      </w:pPr>
      <w:r>
        <w:rPr>
          <w:rFonts w:ascii="Microsoft YaHei" w:hAnsi="Microsoft YaHei" w:eastAsia="Microsoft YaHei"/>
          <w:sz w:val="20"/>
        </w:rPr>
        <w:t>系统版本：CardioConsult PC V5 freeze build `2026-06-04`</w:t>
      </w:r>
    </w:p>
    <w:p>
      <w:pPr>
        <w:spacing w:after="100" w:line="259" w:lineRule="auto"/>
      </w:pPr>
      <w:r>
        <w:rPr>
          <w:rFonts w:ascii="Microsoft YaHei" w:hAnsi="Microsoft YaHei" w:eastAsia="Microsoft YaHei"/>
          <w:sz w:val="20"/>
        </w:rPr>
        <w:t>定位：超声机器旁离线分析设备；医学教学、算法演示与基层参考工具，不是医疗器械。</w:t>
      </w:r>
    </w:p>
    <w:p>
      <w:pPr>
        <w:pStyle w:val="Heading2"/>
      </w:pPr>
      <w:r>
        <w:t>摘要</w:t>
      </w:r>
    </w:p>
    <w:p>
      <w:pPr>
        <w:spacing w:after="100" w:line="259" w:lineRule="auto"/>
      </w:pPr>
      <w:r>
        <w:rPr>
          <w:rFonts w:ascii="Microsoft YaHei" w:hAnsi="Microsoft YaHei" w:eastAsia="Microsoft YaHei"/>
          <w:sz w:val="20"/>
        </w:rPr>
        <w:t>CardioConsult PC V5 解决的问题是：在缺少心脏超声专科医生、网络条件有限或需要保护教学/脱敏病例数据的场景中，如何让超声初学者和基层医疗点从 PNG、DICOM/DCOM、cine/视频等文件中获得一份可解释、可审计、不会冒充正式诊断的心脏超声教学参考结果。系统把 PC 定义为接在超声机器、无线超声软件、DICOM 工作站或局域网导出目录旁的离线分析终端；所有图像预处理、特征提取、层级标签、轻量多智能体审计和 Gemma4 4B GGUF 文本生成都在本机完成。</w:t>
      </w:r>
    </w:p>
    <w:p>
      <w:pPr>
        <w:spacing w:after="100" w:line="259" w:lineRule="auto"/>
      </w:pPr>
      <w:r>
        <w:rPr>
          <w:rFonts w:ascii="Microsoft YaHei" w:hAnsi="Microsoft YaHei" w:eastAsia="Microsoft YaHei"/>
          <w:sz w:val="20"/>
        </w:rPr>
        <w:t>冻结前检查显示，当前仓库可以完成三类任务：第一，规则路径 `app.py --self-test-rule-only` 通过，输出包含 `教学参考病症判断：`、`最小病症：`、`逻辑链：` 和安全边界；第二，授权本地 60 例 EchoBench 完整证据场景 60/60 成功，平均 1.418 秒/例，MR F1=0.964、AR F1=0.700、低 EF F1=0.857；第三，12 帧代表输入场景 60/60 成功，warm-cache 平均 0.711 秒/例，MR F1=0.936、AR F1=0.326、低 EF F1=0.615。本地 `llama-server` 项目链路第 1 例服务模式诊断耗时 69.168 秒，报告保护层记录 `Gemma4 4B offline server: http://127.0.0.1:8088 (Gemma4 output received; report guard repaired required fields)`，最终输出 `has_prompt_leakage=false`、`report_source=gemma4_repaired`。</w:t>
      </w:r>
    </w:p>
    <w:p>
      <w:pPr>
        <w:spacing w:after="100" w:line="259" w:lineRule="auto"/>
      </w:pPr>
      <w:r>
        <w:rPr>
          <w:rFonts w:ascii="Microsoft YaHei" w:hAnsi="Microsoft YaHei" w:eastAsia="Microsoft YaHei"/>
          <w:sz w:val="20"/>
        </w:rPr>
        <w:t>从评委视角看，V5 的强项不是单一公开排行榜最高分，而是低成本可运行、输入格式兼容、输出合同明确、审计链完整、隐私边界清楚。它的主要风险也清楚：AR、RWMA、左房扩大和严重程度分级在 12 帧输入下仍受切面覆盖影响；当前 60 例报告链接标签不是多专家盲评金标准；系统不能作为临床诊断或治疗建议。这个边界在 UI、README、技术报告和诊断输出中均需保留。</w:t>
      </w:r>
    </w:p>
    <w:p>
      <w:pPr>
        <w:pStyle w:val="Heading2"/>
      </w:pPr>
      <w:r>
        <w:t>1. 问题陈述与用户价值</w:t>
      </w:r>
    </w:p>
    <w:p>
      <w:pPr>
        <w:spacing w:after="100" w:line="259" w:lineRule="auto"/>
      </w:pPr>
      <w:r>
        <w:rPr>
          <w:rFonts w:ascii="Microsoft YaHei" w:hAnsi="Microsoft YaHei" w:eastAsia="Microsoft YaHei"/>
          <w:sz w:val="20"/>
        </w:rPr>
        <w:t>基层医疗点和超声初学者常见困难不是“完全没有图像”，而是有图像、有 DICOM 或无线超声导出文件，却缺少稳定的心脏超声专科解读、补扫建议和教学级复盘。传统多人会诊依赖专家时间和网络条件；云端多模态模型又会带来隐私、成本、网络和部署不确定性。CardioConsult V5 的目标是提供一个离线、低边际成本、可审计的教学参考层，把系统输出限制在“疑似病症判断、证据链、补扫建议、安全分层”上。</w:t>
      </w:r>
    </w:p>
    <w:p>
      <w:pPr>
        <w:spacing w:after="100" w:line="259" w:lineRule="auto"/>
      </w:pPr>
      <w:r>
        <w:rPr>
          <w:rFonts w:ascii="Microsoft YaHei" w:hAnsi="Microsoft YaHei" w:eastAsia="Microsoft YaHei"/>
          <w:sz w:val="20"/>
        </w:rPr>
        <w:t>医学边界上，本项目遵循良好机器学习实践中关于目标人群、数据代表性、开发追溯、性能监测和人类监督的原则（FDA, Health Canada, &amp; Medicines and Healthcare products Regulatory Agency, 2021）。工程边界上，它借鉴 MLPerf 对客户端、离线和服务场景的分层测量思路，但 EchoBench v1 是项目自建 benchmark，不是 MLCommons 官方提交（MLCommons, n.d.-a, n.d.-b）。</w:t>
      </w:r>
    </w:p>
    <w:p>
      <w:pPr>
        <w:pStyle w:val="Heading2"/>
      </w:pPr>
      <w:r>
        <w:t>2. 系统方案</w:t>
      </w:r>
    </w:p>
    <w:p>
      <w:pPr>
        <w:spacing w:after="100" w:line="259" w:lineRule="auto"/>
      </w:pPr>
      <w:r>
        <w:rPr>
          <w:rFonts w:ascii="Microsoft YaHei" w:hAnsi="Microsoft YaHei" w:eastAsia="Microsoft YaHei"/>
          <w:sz w:val="20"/>
        </w:rPr>
        <w:t>系统分为五层：输入层读取 PNG/JPG、DICOM/DCOM、多帧 TIFF、GIF、MP4/MOV/AVI 等文件；B-mode 分支计算 SRAD/CLAHE 风格预处理、边缘密度、纹理熵、散斑残差、腔室面积代理和收缩舒张差；Color Doppler 分支将 HSV 血流颜色转为活跃区、连通域、喷流宽度、方向一致性、湍流和涡量代理；校准层用 V4 shared-EK/coupled-EK 与 V5 EchoNet-Dynamic 校准增强 EF / 左室收缩功能减低；报告层用规则或 Gemma4 4B GGUF 生成中文教学摘要，并由报告保护层清除提示词泄漏、截断和 AI 口吻。</w:t>
      </w:r>
    </w:p>
    <w:p>
      <w:pPr>
        <w:spacing w:after="100" w:line="259" w:lineRule="auto"/>
      </w:pPr>
      <w:r>
        <w:rPr>
          <w:rFonts w:ascii="Microsoft YaHei" w:hAnsi="Microsoft YaHei" w:eastAsia="Microsoft YaHei"/>
          <w:sz w:val="20"/>
        </w:rPr>
        <w:t>EchoNet-Dynamic 是公开心超视频数据集，包含心尖四腔视频和 EF/ESV/EDV/左室追踪标注，适合用于心功能任务（Ouyang et al., 2020）。CAMUS 则适合 2D 心超分割和腔室结构评估（Leclerc et al., 2019）。瓣膜反流和腔室定量的正式临床判断仍应遵循 ASE/EACVI 指南，而不能只依赖本项目的颜色代理特征（Lang et al., 2015; Zoghbi et al., 2017）。</w:t>
      </w:r>
    </w:p>
    <w:p>
      <w:pPr>
        <w:pStyle w:val="Heading2"/>
      </w:pPr>
      <w:r>
        <w:t>3. Benchmark 设计</w:t>
      </w:r>
    </w:p>
    <w:p>
      <w:pPr>
        <w:spacing w:after="100" w:line="259" w:lineRule="auto"/>
      </w:pPr>
      <w:r>
        <w:rPr>
          <w:rFonts w:ascii="Microsoft YaHei" w:hAnsi="Microsoft YaHei" w:eastAsia="Microsoft YaHei"/>
          <w:sz w:val="20"/>
        </w:rPr>
        <w:t>冻结版报告采用四组证据：</w:t>
      </w:r>
    </w:p>
    <w:p>
      <w:pPr>
        <w:spacing w:after="100" w:line="259" w:lineRule="auto"/>
      </w:pPr>
      <w:r>
        <w:rPr>
          <w:rFonts w:ascii="Microsoft YaHei" w:hAnsi="Microsoft YaHei" w:eastAsia="Microsoft YaHei"/>
          <w:sz w:val="20"/>
        </w:rPr>
        <w:t>1. 规则自检。 本地 synthetic A4C ED/ES 输入，验证文件读取、特征提取、层级标签、自然化报告和安全边界。</w:t>
      </w:r>
    </w:p>
    <w:p>
      <w:pPr>
        <w:spacing w:after="100" w:line="259" w:lineRule="auto"/>
      </w:pPr>
      <w:r>
        <w:rPr>
          <w:rFonts w:ascii="Microsoft YaHei" w:hAnsi="Microsoft YaHei" w:eastAsia="Microsoft YaHei"/>
          <w:sz w:val="20"/>
        </w:rPr>
        <w:t>2. EchoBench 完整证据。 60 例授权 DICOM/报告时间映射，每例读取全部可用文件，衡量资料充分时的系统上限。</w:t>
      </w:r>
    </w:p>
    <w:p>
      <w:pPr>
        <w:spacing w:after="100" w:line="259" w:lineRule="auto"/>
      </w:pPr>
      <w:r>
        <w:rPr>
          <w:rFonts w:ascii="Microsoft YaHei" w:hAnsi="Microsoft YaHei" w:eastAsia="Microsoft YaHei"/>
          <w:sz w:val="20"/>
        </w:rPr>
        <w:t>3. EchoBench 12 帧代表输入。 每例最多 12 个文件/帧，模拟产品输入上限和现场演示限制。</w:t>
      </w:r>
    </w:p>
    <w:p>
      <w:pPr>
        <w:spacing w:after="100" w:line="259" w:lineRule="auto"/>
      </w:pPr>
      <w:r>
        <w:rPr>
          <w:rFonts w:ascii="Microsoft YaHei" w:hAnsi="Microsoft YaHei" w:eastAsia="Microsoft YaHei"/>
          <w:sz w:val="20"/>
        </w:rPr>
        <w:t>4. 本地服务。 常驻 `llama-server` 加载 Gemma4 4B GGUF，测 `/completion` 热启动复用和项目级服务诊断链路。</w:t>
      </w:r>
    </w:p>
    <w:p>
      <w:pPr>
        <w:spacing w:after="100" w:line="259" w:lineRule="auto"/>
      </w:pPr>
      <w:r>
        <w:rPr>
          <w:rFonts w:ascii="Microsoft YaHei" w:hAnsi="Microsoft YaHei" w:eastAsia="Microsoft YaHei"/>
          <w:sz w:val="20"/>
        </w:rPr>
        <w:t>医疗项目指标包括准确率、敏感性、特异性、精确率、F1、EF MAE/RMSE/相关系数、报告安全字段、补扫提示和人工复核边界。一般工程指标包括启动可用性、每例延迟、P50/P90/P95/P99、热启动复用、边际调用成本、离线隐私、审计链和可复现命令。</w:t>
      </w:r>
    </w:p>
    <w:p>
      <w:pPr>
        <w:pStyle w:val="Heading2"/>
      </w:pPr>
      <w:r>
        <w:t>4. 主要性能结果</w:t>
      </w:r>
    </w:p>
    <w:p>
      <w:pPr>
        <w:pStyle w:val="Heading3"/>
      </w:pPr>
      <w:r>
        <w:t>4.1 完整证据：标签性能</w:t>
      </w:r>
    </w:p>
    <w:p>
      <w:pPr>
        <w:spacing w:after="100" w:line="259" w:lineRule="auto"/>
      </w:pPr>
      <w:r>
        <w:rPr>
          <w:rFonts w:ascii="Microsoft YaHei" w:hAnsi="Microsoft YaHei" w:eastAsia="Microsoft YaHei"/>
          <w:sz w:val="20"/>
        </w:rPr>
        <w:t>完整证据场景 60/60 例成功，平均 1.418 秒/例，P95=2.499 秒。MR、TR、低 EF 表现稳定；AR 中等；RWMA、心动过缓等标签因为样本少或未接入 ECG/完整报告结构化字段，不能过度宣称。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3214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f1_full_vs_12frame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14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hAnsi="Microsoft YaHei" w:eastAsia="Microsoft YaHei"/>
          <w:i/>
          <w:color w:val="475569"/>
          <w:sz w:val="17"/>
        </w:rPr>
        <w:t>图1：完整证据与12帧F1对比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903"/>
        <w:gridCol w:w="903"/>
        <w:gridCol w:w="903"/>
        <w:gridCol w:w="903"/>
        <w:gridCol w:w="903"/>
        <w:gridCol w:w="903"/>
        <w:gridCol w:w="903"/>
        <w:gridCol w:w="903"/>
        <w:gridCol w:w="903"/>
        <w:gridCol w:w="903"/>
        <w:gridCol w:w="903"/>
      </w:tblGrid>
      <w:tr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FF6FF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4"/>
              </w:rPr>
              <w:t>标签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FF6FF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4"/>
              </w:rPr>
              <w:t>n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FF6FF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4"/>
              </w:rPr>
              <w:t>阳性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FF6FF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4"/>
              </w:rPr>
              <w:t>TP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FF6FF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4"/>
              </w:rPr>
              <w:t>TN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FF6FF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4"/>
              </w:rPr>
              <w:t>FP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FF6FF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4"/>
              </w:rPr>
              <w:t>FN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FF6FF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4"/>
              </w:rPr>
              <w:t>准确率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FF6FF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4"/>
              </w:rPr>
              <w:t>敏感性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FF6FF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4"/>
              </w:rPr>
              <w:t>特异性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FF6FF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4"/>
              </w:rPr>
              <w:t>F1</w:t>
            </w:r>
          </w:p>
        </w:tc>
      </w:tr>
      <w:tr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二尖瓣反流 MR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60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55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53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3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2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2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0.933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0.964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0.600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0.964</w:t>
            </w:r>
          </w:p>
        </w:tc>
      </w:tr>
      <w:tr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三尖瓣反流 TR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60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60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60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1.000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1.000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0.000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1.000</w:t>
            </w:r>
          </w:p>
        </w:tc>
      </w:tr>
      <w:tr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主动脉瓣反流 AR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60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29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21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21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10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8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0.700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0.724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0.677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0.700</w:t>
            </w:r>
          </w:p>
        </w:tc>
      </w:tr>
      <w:tr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低 EF / 左室收缩功能减低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60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6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6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52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2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0.967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1.000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0.963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0.857</w:t>
            </w:r>
          </w:p>
        </w:tc>
      </w:tr>
      <w:tr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节段性室壁运动异常 RWMA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60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3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1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57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2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0.967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0.333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1.000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0.500</w:t>
            </w:r>
          </w:p>
        </w:tc>
      </w:tr>
      <w:tr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左房扩大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60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8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8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45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7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0.883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1.000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0.865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0.696</w:t>
            </w:r>
          </w:p>
        </w:tc>
      </w:tr>
      <w:tr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心动过缓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60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7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53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7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0.883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0.000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1.000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0.000</w:t>
            </w:r>
          </w:p>
        </w:tc>
      </w:tr>
    </w:tbl>
    <w:p/>
    <w:p>
      <w:pPr>
        <w:spacing w:after="100" w:line="259" w:lineRule="auto"/>
      </w:pPr>
      <w:r>
        <w:rPr>
          <w:rFonts w:ascii="Microsoft YaHei" w:hAnsi="Microsoft YaHei" w:eastAsia="Microsoft YaHei"/>
          <w:sz w:val="20"/>
        </w:rPr>
        <w:t>注：TR 在本批 60 例中全部为阳性，因此特异性没有统计解释价值。</w:t>
      </w:r>
    </w:p>
    <w:p>
      <w:pPr>
        <w:pStyle w:val="Heading3"/>
      </w:pPr>
      <w:r>
        <w:t>4.2 12 帧输入：现场演示上限</w:t>
      </w:r>
    </w:p>
    <w:p>
      <w:pPr>
        <w:spacing w:after="100" w:line="259" w:lineRule="auto"/>
      </w:pPr>
      <w:r>
        <w:rPr>
          <w:rFonts w:ascii="Microsoft YaHei" w:hAnsi="Microsoft YaHei" w:eastAsia="Microsoft YaHei"/>
          <w:sz w:val="20"/>
        </w:rPr>
        <w:t>12 帧代表输入场景 60/60 例成功，warm-cache 平均 0.711 秒/例，P95=0.763 秒。MR F1 仍为 0.936，低 EF F1 为 0.615；AR F1 降至 0.326，提示主动脉瓣反流需要更完整的 A5C/主动脉瓣相关切面和彩色多普勒序列。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32142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12frame_metric_profile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14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hAnsi="Microsoft YaHei" w:eastAsia="Microsoft YaHei"/>
          <w:i/>
          <w:color w:val="475569"/>
          <w:sz w:val="17"/>
        </w:rPr>
        <w:t>图2：12帧场景多指标画像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903"/>
        <w:gridCol w:w="903"/>
        <w:gridCol w:w="903"/>
        <w:gridCol w:w="903"/>
        <w:gridCol w:w="903"/>
        <w:gridCol w:w="903"/>
        <w:gridCol w:w="903"/>
        <w:gridCol w:w="903"/>
        <w:gridCol w:w="903"/>
        <w:gridCol w:w="903"/>
        <w:gridCol w:w="903"/>
      </w:tblGrid>
      <w:tr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FF6FF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4"/>
              </w:rPr>
              <w:t>标签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FF6FF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4"/>
              </w:rPr>
              <w:t>n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FF6FF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4"/>
              </w:rPr>
              <w:t>阳性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FF6FF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4"/>
              </w:rPr>
              <w:t>TP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FF6FF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4"/>
              </w:rPr>
              <w:t>TN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FF6FF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4"/>
              </w:rPr>
              <w:t>FP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FF6FF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4"/>
              </w:rPr>
              <w:t>FN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FF6FF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4"/>
              </w:rPr>
              <w:t>准确率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FF6FF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4"/>
              </w:rPr>
              <w:t>敏感性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FF6FF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4"/>
              </w:rPr>
              <w:t>特异性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FF6FF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4"/>
              </w:rPr>
              <w:t>F1</w:t>
            </w:r>
          </w:p>
        </w:tc>
      </w:tr>
      <w:tr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二尖瓣反流 MR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60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55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51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2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3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4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0.883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0.927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0.400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0.936</w:t>
            </w:r>
          </w:p>
        </w:tc>
      </w:tr>
      <w:tr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三尖瓣反流 TR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60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60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60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1.000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1.000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0.000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1.000</w:t>
            </w:r>
          </w:p>
        </w:tc>
      </w:tr>
      <w:tr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主动脉瓣反流 AR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60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29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7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24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7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22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0.517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0.241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0.774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0.326</w:t>
            </w:r>
          </w:p>
        </w:tc>
      </w:tr>
      <w:tr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低 EF / 左室收缩功能减低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60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6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4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51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3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2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0.917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0.667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0.944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0.615</w:t>
            </w:r>
          </w:p>
        </w:tc>
      </w:tr>
      <w:tr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节段性室壁运动异常 RWMA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60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3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1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55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2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2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0.933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0.333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0.965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0.333</w:t>
            </w:r>
          </w:p>
        </w:tc>
      </w:tr>
      <w:tr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左房扩大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60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8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3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42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10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5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0.750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0.375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0.808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0.286</w:t>
            </w:r>
          </w:p>
        </w:tc>
      </w:tr>
      <w:tr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心动过缓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60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7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53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7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0.883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0.000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1.000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0.000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32142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confusion_components_12fram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14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hAnsi="Microsoft YaHei" w:eastAsia="Microsoft YaHei"/>
          <w:i/>
          <w:color w:val="475569"/>
          <w:sz w:val="17"/>
        </w:rPr>
        <w:t>图3：12帧混淆矩阵组成</w:t>
      </w:r>
    </w:p>
    <w:p>
      <w:pPr>
        <w:pStyle w:val="Heading3"/>
      </w:pPr>
      <w:r>
        <w:t>4.3 延迟、缓存和本地服务</w:t>
      </w:r>
    </w:p>
    <w:p>
      <w:pPr>
        <w:spacing w:after="100" w:line="259" w:lineRule="auto"/>
      </w:pPr>
      <w:r>
        <w:rPr>
          <w:rFonts w:ascii="Microsoft YaHei" w:hAnsi="Microsoft YaHei" w:eastAsia="Microsoft YaHei"/>
          <w:sz w:val="20"/>
        </w:rPr>
        <w:t>SpeedOpt 前 12 帧基线平均 2.670 秒/例；SpeedOpt 冷缓存平均 1.813 秒/例；冻结版 warm-cache 12 帧平均 0.711 秒/例，相比旧基线下降 73.4%。完整证据 warm-cache 平均 1.418 秒/例，说明当前普通 PC 上已经可以支撑交互式教学演示。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32142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latency_speedopt_freez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14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hAnsi="Microsoft YaHei" w:eastAsia="Microsoft YaHei"/>
          <w:i/>
          <w:color w:val="475569"/>
          <w:sz w:val="17"/>
        </w:rPr>
        <w:t>图4：延迟阶梯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1242"/>
        <w:gridCol w:w="1242"/>
        <w:gridCol w:w="1242"/>
        <w:gridCol w:w="1242"/>
        <w:gridCol w:w="1242"/>
        <w:gridCol w:w="1242"/>
        <w:gridCol w:w="1242"/>
        <w:gridCol w:w="1242"/>
      </w:tblGrid>
      <w:tr>
        <w:tc>
          <w:tcPr>
            <w:tcW w:type="dxa" w:w="124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FF6FF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4"/>
              </w:rPr>
              <w:t>场景</w:t>
            </w:r>
          </w:p>
        </w:tc>
        <w:tc>
          <w:tcPr>
            <w:tcW w:type="dxa" w:w="124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FF6FF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4"/>
              </w:rPr>
              <w:t>平均秒/例</w:t>
            </w:r>
          </w:p>
        </w:tc>
        <w:tc>
          <w:tcPr>
            <w:tcW w:type="dxa" w:w="124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FF6FF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4"/>
              </w:rPr>
              <w:t>P50</w:t>
            </w:r>
          </w:p>
        </w:tc>
        <w:tc>
          <w:tcPr>
            <w:tcW w:type="dxa" w:w="124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FF6FF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4"/>
              </w:rPr>
              <w:t>P90</w:t>
            </w:r>
          </w:p>
        </w:tc>
        <w:tc>
          <w:tcPr>
            <w:tcW w:type="dxa" w:w="124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FF6FF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4"/>
              </w:rPr>
              <w:t>P95</w:t>
            </w:r>
          </w:p>
        </w:tc>
        <w:tc>
          <w:tcPr>
            <w:tcW w:type="dxa" w:w="124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FF6FF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4"/>
              </w:rPr>
              <w:t>P99</w:t>
            </w:r>
          </w:p>
        </w:tc>
        <w:tc>
          <w:tcPr>
            <w:tcW w:type="dxa" w:w="124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FF6FF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4"/>
              </w:rPr>
              <w:t>最大值</w:t>
            </w:r>
          </w:p>
        </w:tc>
        <w:tc>
          <w:tcPr>
            <w:tcW w:type="dxa" w:w="124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FF6FF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4"/>
              </w:rPr>
              <w:t>平均文件数</w:t>
            </w:r>
          </w:p>
        </w:tc>
      </w:tr>
      <w:tr>
        <w:tc>
          <w:tcPr>
            <w:tcW w:type="dxa" w:w="124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完整证据 warm-cache</w:t>
            </w:r>
          </w:p>
        </w:tc>
        <w:tc>
          <w:tcPr>
            <w:tcW w:type="dxa" w:w="124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1.418</w:t>
            </w:r>
          </w:p>
        </w:tc>
        <w:tc>
          <w:tcPr>
            <w:tcW w:type="dxa" w:w="124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1.107</w:t>
            </w:r>
          </w:p>
        </w:tc>
        <w:tc>
          <w:tcPr>
            <w:tcW w:type="dxa" w:w="124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2.225</w:t>
            </w:r>
          </w:p>
        </w:tc>
        <w:tc>
          <w:tcPr>
            <w:tcW w:type="dxa" w:w="124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2.499</w:t>
            </w:r>
          </w:p>
        </w:tc>
        <w:tc>
          <w:tcPr>
            <w:tcW w:type="dxa" w:w="124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3.105</w:t>
            </w:r>
          </w:p>
        </w:tc>
        <w:tc>
          <w:tcPr>
            <w:tcW w:type="dxa" w:w="124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3.394</w:t>
            </w:r>
          </w:p>
        </w:tc>
        <w:tc>
          <w:tcPr>
            <w:tcW w:type="dxa" w:w="124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17.283</w:t>
            </w:r>
          </w:p>
        </w:tc>
      </w:tr>
      <w:tr>
        <w:tc>
          <w:tcPr>
            <w:tcW w:type="dxa" w:w="124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12帧 warm-cache</w:t>
            </w:r>
          </w:p>
        </w:tc>
        <w:tc>
          <w:tcPr>
            <w:tcW w:type="dxa" w:w="124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0.711</w:t>
            </w:r>
          </w:p>
        </w:tc>
        <w:tc>
          <w:tcPr>
            <w:tcW w:type="dxa" w:w="124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0.705</w:t>
            </w:r>
          </w:p>
        </w:tc>
        <w:tc>
          <w:tcPr>
            <w:tcW w:type="dxa" w:w="124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0.749</w:t>
            </w:r>
          </w:p>
        </w:tc>
        <w:tc>
          <w:tcPr>
            <w:tcW w:type="dxa" w:w="124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0.763</w:t>
            </w:r>
          </w:p>
        </w:tc>
        <w:tc>
          <w:tcPr>
            <w:tcW w:type="dxa" w:w="124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0.858</w:t>
            </w:r>
          </w:p>
        </w:tc>
        <w:tc>
          <w:tcPr>
            <w:tcW w:type="dxa" w:w="124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0.986</w:t>
            </w:r>
          </w:p>
        </w:tc>
        <w:tc>
          <w:tcPr>
            <w:tcW w:type="dxa" w:w="124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12.000</w:t>
            </w:r>
          </w:p>
        </w:tc>
      </w:tr>
      <w:tr>
        <w:tc>
          <w:tcPr>
            <w:tcW w:type="dxa" w:w="124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12帧 SpeedOpt 冷缓存</w:t>
            </w:r>
          </w:p>
        </w:tc>
        <w:tc>
          <w:tcPr>
            <w:tcW w:type="dxa" w:w="124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1.813</w:t>
            </w:r>
          </w:p>
        </w:tc>
        <w:tc>
          <w:tcPr>
            <w:tcW w:type="dxa" w:w="124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</w:r>
          </w:p>
        </w:tc>
        <w:tc>
          <w:tcPr>
            <w:tcW w:type="dxa" w:w="124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</w:r>
          </w:p>
        </w:tc>
        <w:tc>
          <w:tcPr>
            <w:tcW w:type="dxa" w:w="124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</w:r>
          </w:p>
        </w:tc>
        <w:tc>
          <w:tcPr>
            <w:tcW w:type="dxa" w:w="124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</w:r>
          </w:p>
        </w:tc>
        <w:tc>
          <w:tcPr>
            <w:tcW w:type="dxa" w:w="124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</w:r>
          </w:p>
        </w:tc>
        <w:tc>
          <w:tcPr>
            <w:tcW w:type="dxa" w:w="124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12.000</w:t>
            </w:r>
          </w:p>
        </w:tc>
      </w:tr>
      <w:tr>
        <w:tc>
          <w:tcPr>
            <w:tcW w:type="dxa" w:w="124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12帧旧基线</w:t>
            </w:r>
          </w:p>
        </w:tc>
        <w:tc>
          <w:tcPr>
            <w:tcW w:type="dxa" w:w="124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2.670</w:t>
            </w:r>
          </w:p>
        </w:tc>
        <w:tc>
          <w:tcPr>
            <w:tcW w:type="dxa" w:w="124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</w:r>
          </w:p>
        </w:tc>
        <w:tc>
          <w:tcPr>
            <w:tcW w:type="dxa" w:w="124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</w:r>
          </w:p>
        </w:tc>
        <w:tc>
          <w:tcPr>
            <w:tcW w:type="dxa" w:w="124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</w:r>
          </w:p>
        </w:tc>
        <w:tc>
          <w:tcPr>
            <w:tcW w:type="dxa" w:w="124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</w:r>
          </w:p>
        </w:tc>
        <w:tc>
          <w:tcPr>
            <w:tcW w:type="dxa" w:w="124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</w:r>
          </w:p>
        </w:tc>
        <w:tc>
          <w:tcPr>
            <w:tcW w:type="dxa" w:w="124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12.000</w:t>
            </w:r>
          </w:p>
        </w:tc>
      </w:tr>
    </w:tbl>
    <w:p/>
    <w:p>
      <w:pPr>
        <w:spacing w:after="100" w:line="259" w:lineRule="auto"/>
      </w:pPr>
      <w:r>
        <w:rPr>
          <w:rFonts w:ascii="Microsoft YaHei" w:hAnsi="Microsoft YaHei" w:eastAsia="Microsoft YaHei"/>
          <w:sz w:val="20"/>
        </w:rPr>
        <w:t>本地服务 smoke 连续两次 `/completion` 均返回 OK：第一次 1.327 秒，第二次 0.522 秒。第二次请求 prompt tok/s 从 6.22 提升到 16.44，说明常驻模型复用有效。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36804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server_smoke_hot_reus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8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hAnsi="Microsoft YaHei" w:eastAsia="Microsoft YaHei"/>
          <w:i/>
          <w:color w:val="475569"/>
          <w:sz w:val="17"/>
        </w:rPr>
        <w:t>图5：llama-server 热启动复用</w:t>
      </w:r>
    </w:p>
    <w:p>
      <w:pPr>
        <w:spacing w:after="100" w:line="259" w:lineRule="auto"/>
      </w:pPr>
      <w:r>
        <w:rPr>
          <w:rFonts w:ascii="Microsoft YaHei" w:hAnsi="Microsoft YaHei" w:eastAsia="Microsoft YaHei"/>
          <w:sz w:val="20"/>
        </w:rPr>
        <w:t>项目级服务链路使用 EchoBench 第 1 例、12 个文件、`max_tokens=240`：文件加载 0.902 秒，特征提取 0.011 秒，Gemma4 服务诊断 69.168 秒；报告保护层启用，最终 `has_prompt_leakage=false`、`report_source=gemma4_repaired`，并保留医学安全边界。</w:t>
      </w:r>
    </w:p>
    <w:p>
      <w:pPr>
        <w:pStyle w:val="Heading3"/>
      </w:pPr>
      <w:r>
        <w:t>4.4 EchoNet-Dynamic 校准层</w:t>
      </w:r>
    </w:p>
    <w:p>
      <w:pPr>
        <w:spacing w:after="100" w:line="259" w:lineRule="auto"/>
      </w:pPr>
      <w:r>
        <w:rPr>
          <w:rFonts w:ascii="Microsoft YaHei" w:hAnsi="Microsoft YaHei" w:eastAsia="Microsoft YaHei"/>
          <w:sz w:val="20"/>
        </w:rPr>
        <w:t>V5 的 EchoNet-Dynamic 校准层用于补强 EF 和左室收缩功能减低识别，不替代瓣膜反流规则。held-out 指标为 EF MAE=7.271、EF RMSE=9.603、EF 相关系数=0.647、低 EF AUC=0.764、低 EF F1=0.496。这支持“教学提示”用途，但不足以宣称临床 EF 自动测量。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36804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echonet_training_metrics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8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hAnsi="Microsoft YaHei" w:eastAsia="Microsoft YaHei"/>
          <w:i/>
          <w:color w:val="475569"/>
          <w:sz w:val="17"/>
        </w:rPr>
        <w:t>图6：EchoNet-Dynamic 校准指标</w:t>
      </w:r>
    </w:p>
    <w:p>
      <w:pPr>
        <w:pStyle w:val="Heading2"/>
      </w:pPr>
      <w:r>
        <w:t>5. 数据来源与证据覆盖</w:t>
      </w:r>
    </w:p>
    <w:p>
      <w:pPr>
        <w:spacing w:after="100" w:line="259" w:lineRule="auto"/>
      </w:pPr>
      <w:r>
        <w:rPr>
          <w:rFonts w:ascii="Microsoft YaHei" w:hAnsi="Microsoft YaHei" w:eastAsia="Microsoft YaHei"/>
          <w:sz w:val="20"/>
        </w:rPr>
        <w:t>本仓库不分发原始 DICOM、公开数据集压缩包或 GGUF 权重，只保存汇总报告、指标和图表。CAMUS、EchoNet-Dynamic、HMC-QU、EchoXFlow、MR Ultrasound Images、MIMIC-IV-ECHO/ECHOVIEW、CACTUS 等来源按许可证或访问条件分级记录在 `DATASETS.md` 和 `integrated_test_results.`。从冻结评审角度，最强证据是授权本地 60 例、CAMUS 阶段测试、本地 smoke 和服务链路；计划数据集只能写成后续路线，不能包装成已完成结果。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32142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evidence_coverage_matrix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14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hAnsi="Microsoft YaHei" w:eastAsia="Microsoft YaHei"/>
          <w:i/>
          <w:color w:val="475569"/>
          <w:sz w:val="17"/>
        </w:rPr>
        <w:t>图7：证据覆盖情况</w:t>
      </w:r>
    </w:p>
    <w:p>
      <w:pPr>
        <w:pStyle w:val="Heading2"/>
      </w:pPr>
      <w:r>
        <w:t>6. 与现有方案的比较</w:t>
      </w:r>
    </w:p>
    <w:p>
      <w:pPr>
        <w:spacing w:after="100" w:line="259" w:lineRule="auto"/>
      </w:pPr>
      <w:r>
        <w:rPr>
          <w:rFonts w:ascii="Microsoft YaHei" w:hAnsi="Microsoft YaHei" w:eastAsia="Microsoft YaHei"/>
          <w:sz w:val="20"/>
        </w:rPr>
        <w:t>EchoNet-Dynamic 和 CAMUS 这类公开方案的优势是任务定义清晰、数据结构规范、适合学术复现；限制是通常聚焦 EF、容积或分割，不直接覆盖基层教学场景中的 DICOM/DCOM 兼容、Color Doppler 代理、中文层级病症报告和离线本地部署（Leclerc et al., 2019; Ouyang et al., 2020）。云端多模态模型可能具备更强的自然语言解释能力，但会引入病例上传、网络、费用、审计和服务可用性问题。</w:t>
      </w:r>
    </w:p>
    <w:p>
      <w:pPr>
        <w:spacing w:after="100" w:line="259" w:lineRule="auto"/>
      </w:pPr>
      <w:r>
        <w:rPr>
          <w:rFonts w:ascii="Microsoft YaHei" w:hAnsi="Microsoft YaHei" w:eastAsia="Microsoft YaHei"/>
          <w:sz w:val="20"/>
        </w:rPr>
        <w:t>CardioConsult V5 的差异化是：输入侧兼容真实超声导出文件；算法侧融合 B-mode、Color Doppler、动图差分和 EchoNet 校准；输出侧强制最小病症、逻辑链和安全边界；运行侧采用本地规则、小模型与 GGUF LLM，边际调用成本接近 0。代价是部分细粒度病症在缺切面时准确率下降，需要明确补扫和复核。</w:t>
      </w:r>
    </w:p>
    <w:p>
      <w:pPr>
        <w:pStyle w:val="Heading2"/>
      </w:pPr>
      <w:r>
        <w:t>7. 成本模型与取舍</w:t>
      </w:r>
    </w:p>
    <w:p>
      <w:pPr>
        <w:spacing w:after="100" w:line="259" w:lineRule="auto"/>
      </w:pPr>
      <w:r>
        <w:rPr>
          <w:rFonts w:ascii="Microsoft YaHei" w:hAnsi="Microsoft YaHei" w:eastAsia="Microsoft YaHei"/>
          <w:sz w:val="20"/>
        </w:rPr>
        <w:t>本地方案的主要成本是一次性 PC、存储和 GGUF 文件准备。运行时不按病例调用云 API，规则路径吞吐可按每小时数百到上千例估算；真实演示受人工选文件、磁盘、DICOM 解码和 GGUF 文本 token 数影响。以冻结版 warm-cache 为例，12 帧规则链路平均 0.711 秒/例，理论吞吐约 5063 例/小时；完整证据平均 1.418 秒/例，理论吞吐约 2539 例/小时。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36804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_cost_privacy_tradeoff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8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hAnsi="Microsoft YaHei" w:eastAsia="Microsoft YaHei"/>
          <w:i/>
          <w:color w:val="475569"/>
          <w:sz w:val="17"/>
        </w:rPr>
        <w:t>图8：工程取舍画像</w:t>
      </w:r>
    </w:p>
    <w:p>
      <w:pPr>
        <w:spacing w:after="100" w:line="259" w:lineRule="auto"/>
      </w:pPr>
      <w:r>
        <w:rPr>
          <w:rFonts w:ascii="Microsoft YaHei" w:hAnsi="Microsoft YaHei" w:eastAsia="Microsoft YaHei"/>
          <w:sz w:val="20"/>
        </w:rPr>
        <w:t>主要取舍如下：</w:t>
      </w:r>
    </w:p>
    <w:p>
      <w:pPr>
        <w:pStyle w:val="ListBullet"/>
      </w:pPr>
      <w:r>
        <w:rPr>
          <w:rFonts w:ascii="Microsoft YaHei" w:hAnsi="Microsoft YaHei" w:eastAsia="Microsoft YaHei"/>
          <w:sz w:val="19"/>
        </w:rPr>
        <w:t>为了离线和低成本，牺牲了云端大模型的算力弹性。</w:t>
      </w:r>
    </w:p>
    <w:p>
      <w:pPr>
        <w:pStyle w:val="ListBullet"/>
      </w:pPr>
      <w:r>
        <w:rPr>
          <w:rFonts w:ascii="Microsoft YaHei" w:hAnsi="Microsoft YaHei" w:eastAsia="Microsoft YaHei"/>
          <w:sz w:val="19"/>
        </w:rPr>
        <w:t>为了可审计和安全，核心标签由规则/校准层给出，LLM 主要负责表达，牺牲了部分自由生成能力。</w:t>
      </w:r>
    </w:p>
    <w:p>
      <w:pPr>
        <w:pStyle w:val="ListBullet"/>
      </w:pPr>
      <w:r>
        <w:rPr>
          <w:rFonts w:ascii="Microsoft YaHei" w:hAnsi="Microsoft YaHei" w:eastAsia="Microsoft YaHei"/>
          <w:sz w:val="19"/>
        </w:rPr>
        <w:t>为了兼容 DICOM/DCOM 和动图，保留了较复杂的文件解析与代表帧抽样。</w:t>
      </w:r>
    </w:p>
    <w:p>
      <w:pPr>
        <w:pStyle w:val="ListBullet"/>
      </w:pPr>
      <w:r>
        <w:rPr>
          <w:rFonts w:ascii="Microsoft YaHei" w:hAnsi="Microsoft YaHei" w:eastAsia="Microsoft YaHei"/>
          <w:sz w:val="19"/>
        </w:rPr>
        <w:t>为了提高基层筛查敏感性，低 EF 等标签更偏向“提示/待排”，正常特异性需要更多阴性样本继续优化。</w:t>
      </w:r>
    </w:p>
    <w:p>
      <w:pPr>
        <w:pStyle w:val="Heading2"/>
      </w:pPr>
      <w:r>
        <w:t>8. 冻结前补救与评审风险</w:t>
      </w:r>
    </w:p>
    <w:p>
      <w:pPr>
        <w:spacing w:after="100" w:line="259" w:lineRule="auto"/>
      </w:pPr>
      <w:r>
        <w:rPr>
          <w:rFonts w:ascii="Microsoft YaHei" w:hAnsi="Microsoft YaHei" w:eastAsia="Microsoft YaHei"/>
          <w:sz w:val="20"/>
        </w:rPr>
        <w:t>本轮冻结检查完成了以下补救：</w:t>
      </w:r>
    </w:p>
    <w:p>
      <w:pPr>
        <w:spacing w:after="100" w:line="259" w:lineRule="auto"/>
      </w:pPr>
      <w:r>
        <w:rPr>
          <w:rFonts w:ascii="Microsoft YaHei" w:hAnsi="Microsoft YaHei" w:eastAsia="Microsoft YaHei"/>
          <w:sz w:val="20"/>
        </w:rPr>
        <w:t>1. 删除无用或容易打不开的高级 BAT，只保留 `install_deps.bat` 和 `run_cardio_pc_v5.bat` 两个普通入口。</w:t>
      </w:r>
    </w:p>
    <w:p>
      <w:pPr>
        <w:spacing w:after="100" w:line="259" w:lineRule="auto"/>
      </w:pPr>
      <w:r>
        <w:rPr>
          <w:rFonts w:ascii="Microsoft YaHei" w:hAnsi="Microsoft YaHei" w:eastAsia="Microsoft YaHei"/>
          <w:sz w:val="20"/>
        </w:rPr>
        <w:t>2. 修正诊断链输出保护层，清除提示词泄漏、markdown 模板和“作为 AI / 我将”式口吻。</w:t>
      </w:r>
    </w:p>
    <w:p>
      <w:pPr>
        <w:spacing w:after="100" w:line="259" w:lineRule="auto"/>
      </w:pPr>
      <w:r>
        <w:rPr>
          <w:rFonts w:ascii="Microsoft YaHei" w:hAnsi="Microsoft YaHei" w:eastAsia="Microsoft YaHei"/>
          <w:sz w:val="20"/>
        </w:rPr>
        <w:t>3. 更新本地服务 JSON，旧的提示词泄漏片段已被干净报告替换。</w:t>
      </w:r>
    </w:p>
    <w:p>
      <w:pPr>
        <w:spacing w:after="100" w:line="259" w:lineRule="auto"/>
      </w:pPr>
      <w:r>
        <w:rPr>
          <w:rFonts w:ascii="Microsoft YaHei" w:hAnsi="Microsoft YaHei" w:eastAsia="Microsoft YaHei"/>
          <w:sz w:val="20"/>
        </w:rPr>
        <w:t>4. 重跑 60 例完整证据和 12 帧冻结 benchmark。</w:t>
      </w:r>
    </w:p>
    <w:p>
      <w:pPr>
        <w:spacing w:after="100" w:line="259" w:lineRule="auto"/>
      </w:pPr>
      <w:r>
        <w:rPr>
          <w:rFonts w:ascii="Microsoft YaHei" w:hAnsi="Microsoft YaHei" w:eastAsia="Microsoft YaHei"/>
          <w:sz w:val="20"/>
        </w:rPr>
        <w:t>5. 用 R 生成 8 张报告图，并同步到 submission 与 docs。</w:t>
      </w:r>
    </w:p>
    <w:p>
      <w:pPr>
        <w:spacing w:after="100" w:line="259" w:lineRule="auto"/>
      </w:pPr>
      <w:r>
        <w:rPr>
          <w:rFonts w:ascii="Microsoft YaHei" w:hAnsi="Microsoft YaHei" w:eastAsia="Microsoft YaHei"/>
          <w:sz w:val="20"/>
        </w:rPr>
        <w:t>6. 报告中明确写出医学边界、数据许可、未下载数据集和不可过度宣称的标签。</w:t>
      </w:r>
    </w:p>
    <w:p>
      <w:pPr>
        <w:spacing w:after="100" w:line="259" w:lineRule="auto"/>
      </w:pPr>
      <w:r>
        <w:rPr>
          <w:rFonts w:ascii="Microsoft YaHei" w:hAnsi="Microsoft YaHei" w:eastAsia="Microsoft YaHei"/>
          <w:sz w:val="20"/>
        </w:rPr>
        <w:t>仍需诚实呈现的风险：</w:t>
      </w:r>
    </w:p>
    <w:p>
      <w:pPr>
        <w:pStyle w:val="ListBullet"/>
      </w:pPr>
      <w:r>
        <w:rPr>
          <w:rFonts w:ascii="Microsoft YaHei" w:hAnsi="Microsoft YaHei" w:eastAsia="Microsoft YaHei"/>
          <w:sz w:val="19"/>
        </w:rPr>
        <w:t>当前 60 例是本地授权教学数据，不是多中心外部临床验证。</w:t>
      </w:r>
    </w:p>
    <w:p>
      <w:pPr>
        <w:pStyle w:val="ListBullet"/>
      </w:pPr>
      <w:r>
        <w:rPr>
          <w:rFonts w:ascii="Microsoft YaHei" w:hAnsi="Microsoft YaHei" w:eastAsia="Microsoft YaHei"/>
          <w:sz w:val="19"/>
        </w:rPr>
        <w:t>报告链接标签不是多专家盲评共识标签。</w:t>
      </w:r>
    </w:p>
    <w:p>
      <w:pPr>
        <w:pStyle w:val="ListBullet"/>
      </w:pPr>
      <w:r>
        <w:rPr>
          <w:rFonts w:ascii="Microsoft YaHei" w:hAnsi="Microsoft YaHei" w:eastAsia="Microsoft YaHei"/>
          <w:sz w:val="19"/>
        </w:rPr>
        <w:t>TR 全阳性导致特异性不可解释；PR、severe、HCM 等标签样本不足。</w:t>
      </w:r>
    </w:p>
    <w:p>
      <w:pPr>
        <w:pStyle w:val="ListBullet"/>
      </w:pPr>
      <w:r>
        <w:rPr>
          <w:rFonts w:ascii="Microsoft YaHei" w:hAnsi="Microsoft YaHei" w:eastAsia="Microsoft YaHei"/>
          <w:sz w:val="19"/>
        </w:rPr>
        <w:t>在线 demo 是规则匹配网页，不等于完整 PC 图像特征和 GGUF 推理。</w:t>
      </w:r>
    </w:p>
    <w:p>
      <w:pPr>
        <w:pStyle w:val="ListBullet"/>
      </w:pPr>
      <w:r>
        <w:rPr>
          <w:rFonts w:ascii="Microsoft YaHei" w:hAnsi="Microsoft YaHei" w:eastAsia="Microsoft YaHei"/>
          <w:sz w:val="19"/>
        </w:rPr>
        <w:t>项目不能被描述为临床诊断系统、医疗器械或治疗建议工具。</w:t>
      </w:r>
    </w:p>
    <w:p>
      <w:pPr>
        <w:pStyle w:val="Heading2"/>
      </w:pPr>
      <w:r>
        <w:t>9. 下一步</w:t>
      </w:r>
    </w:p>
    <w:p>
      <w:pPr>
        <w:spacing w:after="100" w:line="259" w:lineRule="auto"/>
      </w:pPr>
      <w:r>
        <w:rPr>
          <w:rFonts w:ascii="Microsoft YaHei" w:hAnsi="Microsoft YaHei" w:eastAsia="Microsoft YaHei"/>
          <w:sz w:val="20"/>
        </w:rPr>
        <w:t>1. 建立 2-3 位心超医生盲评表，计算 Cohen's Kappa、加权 Kappa 或 ICC（Bland &amp; Altman, 1986; Cohen, 1960）。</w:t>
      </w:r>
    </w:p>
    <w:p>
      <w:pPr>
        <w:spacing w:after="100" w:line="259" w:lineRule="auto"/>
      </w:pPr>
      <w:r>
        <w:rPr>
          <w:rFonts w:ascii="Microsoft YaHei" w:hAnsi="Microsoft YaHei" w:eastAsia="Microsoft YaHei"/>
          <w:sz w:val="20"/>
        </w:rPr>
        <w:t>2. 补充 AR、PR、severe regurgitation、RWMA、LVH/HCM、LA enlargement 的阳性和阴性平衡样本。</w:t>
      </w:r>
    </w:p>
    <w:p>
      <w:pPr>
        <w:spacing w:after="100" w:line="259" w:lineRule="auto"/>
      </w:pPr>
      <w:r>
        <w:rPr>
          <w:rFonts w:ascii="Microsoft YaHei" w:hAnsi="Microsoft YaHei" w:eastAsia="Microsoft YaHei"/>
          <w:sz w:val="20"/>
        </w:rPr>
        <w:t>3. 训练轻量 ONNX/TFLite 左室/左房分割模型，用 CAMUS 和 EchoNet tracing 改善 EF 与腔室大小代理。</w:t>
      </w:r>
    </w:p>
    <w:p>
      <w:pPr>
        <w:spacing w:after="100" w:line="259" w:lineRule="auto"/>
      </w:pPr>
      <w:r>
        <w:rPr>
          <w:rFonts w:ascii="Microsoft YaHei" w:hAnsi="Microsoft YaHei" w:eastAsia="Microsoft YaHei"/>
          <w:sz w:val="20"/>
        </w:rPr>
        <w:t>4. 将 PLAX、PSAX、A4C、A2C、A5C、subcostal 等切面识别作为显式中间任务。</w:t>
      </w:r>
    </w:p>
    <w:p>
      <w:pPr>
        <w:spacing w:after="100" w:line="259" w:lineRule="auto"/>
      </w:pPr>
      <w:r>
        <w:rPr>
          <w:rFonts w:ascii="Microsoft YaHei" w:hAnsi="Microsoft YaHei" w:eastAsia="Microsoft YaHei"/>
          <w:sz w:val="20"/>
        </w:rPr>
        <w:t>5. 按 HealthBench 类似的 rubric 思路建立医疗文本质量评估：事实性、完整性、风险提示、边界表达、教学价值（OpenAI, 2025）。</w:t>
      </w:r>
    </w:p>
    <w:p>
      <w:pPr>
        <w:pStyle w:val="Heading2"/>
      </w:pPr>
      <w:r>
        <w:t>10. 可复现信息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4968"/>
        <w:gridCol w:w="4968"/>
      </w:tblGrid>
      <w:tr>
        <w:tc>
          <w:tcPr>
            <w:tcW w:type="dxa" w:w="49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FF6FF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6"/>
              </w:rPr>
              <w:t>项目</w:t>
            </w:r>
          </w:p>
        </w:tc>
        <w:tc>
          <w:tcPr>
            <w:tcW w:type="dxa" w:w="49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FF6FF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6"/>
              </w:rPr>
              <w:t>值</w:t>
            </w:r>
          </w:p>
        </w:tc>
      </w:tr>
      <w:tr>
        <w:tc>
          <w:tcPr>
            <w:tcW w:type="dxa" w:w="49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仓库目录</w:t>
            </w:r>
          </w:p>
        </w:tc>
        <w:tc>
          <w:tcPr>
            <w:tcW w:type="dxa" w:w="49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D:\gdc-shanghai-project-PC-speedopt_20260604</w:t>
            </w:r>
          </w:p>
        </w:tc>
      </w:tr>
      <w:tr>
        <w:tc>
          <w:tcPr>
            <w:tcW w:type="dxa" w:w="49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规则自检</w:t>
            </w:r>
          </w:p>
        </w:tc>
        <w:tc>
          <w:tcPr>
            <w:tcW w:type="dxa" w:w="49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python app.py --self-test-rule-only</w:t>
            </w:r>
          </w:p>
        </w:tc>
      </w:tr>
      <w:tr>
        <w:tc>
          <w:tcPr>
            <w:tcW w:type="dxa" w:w="49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完整证据 run</w:t>
            </w:r>
          </w:p>
        </w:tc>
        <w:tc>
          <w:tcPr>
            <w:tcW w:type="dxa" w:w="49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validation_speedopt/freeze_runs_full/echobench_20260604_180638</w:t>
            </w:r>
          </w:p>
        </w:tc>
      </w:tr>
      <w:tr>
        <w:tc>
          <w:tcPr>
            <w:tcW w:type="dxa" w:w="49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12帧 run</w:t>
            </w:r>
          </w:p>
        </w:tc>
        <w:tc>
          <w:tcPr>
            <w:tcW w:type="dxa" w:w="49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validation_speedopt/freeze_runs/echobench_20260604_175653</w:t>
            </w:r>
          </w:p>
        </w:tc>
      </w:tr>
      <w:tr>
        <w:tc>
          <w:tcPr>
            <w:tcW w:type="dxa" w:w="49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服务 smoke</w:t>
            </w:r>
          </w:p>
        </w:tc>
        <w:tc>
          <w:tcPr>
            <w:tcW w:type="dxa" w:w="49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validation_speedopt/server_smoke_general_current_20260604.json</w:t>
            </w:r>
          </w:p>
        </w:tc>
      </w:tr>
      <w:tr>
        <w:tc>
          <w:tcPr>
            <w:tcW w:type="dxa" w:w="49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项目服务链路</w:t>
            </w:r>
          </w:p>
        </w:tc>
        <w:tc>
          <w:tcPr>
            <w:tcW w:type="dxa" w:w="49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validation_speedopt/server_pipeline_case1_current_20260604.json</w:t>
            </w:r>
          </w:p>
        </w:tc>
      </w:tr>
      <w:tr>
        <w:tc>
          <w:tcPr>
            <w:tcW w:type="dxa" w:w="49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R 图表脚本</w:t>
            </w:r>
          </w:p>
        </w:tc>
        <w:tc>
          <w:tcPr>
            <w:tcW w:type="dxa" w:w="49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submission/technical_report/make_freeze_figures.R</w:t>
            </w:r>
          </w:p>
        </w:tc>
      </w:tr>
    </w:tbl>
    <w:p/>
    <w:p>
      <w:pPr>
        <w:spacing w:after="100" w:line="259" w:lineRule="auto"/>
      </w:pPr>
      <w:r>
        <w:rPr>
          <w:rFonts w:ascii="Microsoft YaHei" w:hAnsi="Microsoft YaHei" w:eastAsia="Microsoft YaHei"/>
          <w:sz w:val="20"/>
        </w:rPr>
        <w:t>核心重跑命令：</w:t>
      </w:r>
    </w:p>
    <w:p>
      <w:pPr>
        <w:spacing w:after="120"/>
        <w:ind w:left="360"/>
      </w:pPr>
      <w:r>
        <w:rPr>
          <w:rFonts w:ascii="Consolas" w:hAnsi="Consolas" w:eastAsia="Consolas"/>
          <w:color w:val="334155"/>
          <w:sz w:val="16"/>
        </w:rPr>
        <w:t>.\.venv\Scripts\python.exe app.py --self-test-rule-only</w:t>
        <w:br/>
        <w:t>.\.venv\Scripts\python.exe tools\run_echobench_v1.py --mapping &lt;mapping.csv&gt; --out-root validation_speedopt\freeze_runs_full --case-limit 60</w:t>
        <w:br/>
        <w:t>.\.venv\Scripts\python.exe tools\run_echobench_v1.py --mapping &lt;mapping.csv&gt; --out-root validation_speedopt\freeze_runs --case-limit 60 --max-files-per-case 12</w:t>
        <w:br/>
        <w:t>.\.venv\Scripts\python.exe tools\benchmark_server_smoke.py --url http://127.0.0.1:8088 --out validation_speedopt\server_smoke_general_current_20260604.json</w:t>
      </w:r>
    </w:p>
    <w:p>
      <w:pPr>
        <w:pStyle w:val="Heading2"/>
      </w:pPr>
      <w:r>
        <w:t>参考文献</w:t>
      </w:r>
    </w:p>
    <w:p>
      <w:pPr>
        <w:pStyle w:val="ListBullet"/>
      </w:pPr>
      <w:r>
        <w:rPr>
          <w:rFonts w:ascii="Microsoft YaHei" w:hAnsi="Microsoft YaHei" w:eastAsia="Microsoft YaHei"/>
          <w:sz w:val="19"/>
        </w:rPr>
        <w:t>Bland, J. M., &amp; Altman, D. G. (1986). Statistical methods for assessing agreement between two methods of clinical measurement. The Lancet, 327(8476), 307-310. https://doi.org/10.1016/S0140-6736(86)90837-8</w:t>
      </w:r>
    </w:p>
    <w:p>
      <w:pPr>
        <w:pStyle w:val="ListBullet"/>
      </w:pPr>
      <w:r>
        <w:rPr>
          <w:rFonts w:ascii="Microsoft YaHei" w:hAnsi="Microsoft YaHei" w:eastAsia="Microsoft YaHei"/>
          <w:sz w:val="19"/>
        </w:rPr>
        <w:t>Cohen, J. (1960). A coefficient of agreement for nominal scales. Educational and Psychological Measurement, 20(1), 37-46. https://doi.org/10.1177/001316446002000104</w:t>
      </w:r>
    </w:p>
    <w:p>
      <w:pPr>
        <w:pStyle w:val="ListBullet"/>
      </w:pPr>
      <w:r>
        <w:rPr>
          <w:rFonts w:ascii="Microsoft YaHei" w:hAnsi="Microsoft YaHei" w:eastAsia="Microsoft YaHei"/>
          <w:sz w:val="19"/>
        </w:rPr>
        <w:t>FDA, Health Canada, &amp; Medicines and Healthcare products Regulatory Agency. (2021). Good machine learning practice for medical device development: Guiding principles. https://www.gov.uk/government/publications/good-machine-learning-practice-for-medical-device-development-guiding-principles</w:t>
      </w:r>
    </w:p>
    <w:p>
      <w:pPr>
        <w:pStyle w:val="ListBullet"/>
      </w:pPr>
      <w:r>
        <w:rPr>
          <w:rFonts w:ascii="Microsoft YaHei" w:hAnsi="Microsoft YaHei" w:eastAsia="Microsoft YaHei"/>
          <w:sz w:val="19"/>
        </w:rPr>
        <w:t>ggml-org. (n.d.). GGUF file format - llama.cpp. Retrieved June 4, 2026, from https://www.mintlify.com/ggml-org/llama.cpp/concepts/gguf-format</w:t>
      </w:r>
    </w:p>
    <w:p>
      <w:pPr>
        <w:pStyle w:val="ListBullet"/>
      </w:pPr>
      <w:r>
        <w:rPr>
          <w:rFonts w:ascii="Microsoft YaHei" w:hAnsi="Microsoft YaHei" w:eastAsia="Microsoft YaHei"/>
          <w:sz w:val="19"/>
        </w:rPr>
        <w:t>Google AI for Developers. (n.d.). Get started with Gemma models. Retrieved June 4, 2026, from https://ai.google.dev/gemma/docs/get_started</w:t>
      </w:r>
    </w:p>
    <w:p>
      <w:pPr>
        <w:pStyle w:val="ListBullet"/>
      </w:pPr>
      <w:r>
        <w:rPr>
          <w:rFonts w:ascii="Microsoft YaHei" w:hAnsi="Microsoft YaHei" w:eastAsia="Microsoft YaHei"/>
          <w:sz w:val="19"/>
        </w:rPr>
        <w:t>Google AI for Developers. (n.d.). Run Gemma content generation and inferences. Retrieved June 4, 2026, from https://ai.google.dev/gemma/docs/run</w:t>
      </w:r>
    </w:p>
    <w:p>
      <w:pPr>
        <w:pStyle w:val="ListBullet"/>
      </w:pPr>
      <w:r>
        <w:rPr>
          <w:rFonts w:ascii="Microsoft YaHei" w:hAnsi="Microsoft YaHei" w:eastAsia="Microsoft YaHei"/>
          <w:sz w:val="19"/>
        </w:rPr>
        <w:t>Karargyris, A., Umeton, R., Sheller, M. J., Aristizabal, A., George, J., Wuest, A., Pati, S., Kassem, H., Zenk, M., Baid, U., et al. (2023). Federated benchmarking of medical artificial intelligence with MedPerf. Nature Machine Intelligence, 5, 799-810. https://doi.org/10.1038/s42256-023-00652-2</w:t>
      </w:r>
    </w:p>
    <w:p>
      <w:pPr>
        <w:pStyle w:val="ListBullet"/>
      </w:pPr>
      <w:r>
        <w:rPr>
          <w:rFonts w:ascii="Microsoft YaHei" w:hAnsi="Microsoft YaHei" w:eastAsia="Microsoft YaHei"/>
          <w:sz w:val="19"/>
        </w:rPr>
        <w:t>Lang, R. M., Badano, L. P., Mor-Avi, V., Afilalo, J., Armstrong, A., Ernande, L., Flachskampf, F. A., Foster, E., Goldstein, S. A., Kuznetsova, T., Lancellotti, P., Muraru, D., Picard, M. H., Rietzschel, E. R., Rudski, L., Spencer, K. T., Tsang, W., &amp; Voigt, J.-U. (2015). Recommendations for cardiac chamber quantification by echocardiography in adults: An update from the American Society of Echocardiography and the European Association of Cardiovascular Imaging. Journal of the American Society of Echocardiography, 28(1), 1-39.e14. https://doi.org/10.1016/j.echo.2014.10.003</w:t>
      </w:r>
    </w:p>
    <w:p>
      <w:pPr>
        <w:pStyle w:val="ListBullet"/>
      </w:pPr>
      <w:r>
        <w:rPr>
          <w:rFonts w:ascii="Microsoft YaHei" w:hAnsi="Microsoft YaHei" w:eastAsia="Microsoft YaHei"/>
          <w:sz w:val="19"/>
        </w:rPr>
        <w:t>Leclerc, S., Smistad, E., Pedrosa, J., Ostvik, A., Cervenansky, F., Espinosa, F., Espeland, T., Berg, E. A. R., Jodoin, P.-M., Grenier, T., Lartizien, C., D'Hooge, J., Lovstakken, L., &amp; Bernard, O. (2019). Deep learning for segmentation using an open large-scale dataset in 2D echocardiography. IEEE Transactions on Medical Imaging, 38(9), 2198-2210. https://doi.org/10.1109/TMI.2019.2900516</w:t>
      </w:r>
    </w:p>
    <w:p>
      <w:pPr>
        <w:pStyle w:val="ListBullet"/>
      </w:pPr>
      <w:r>
        <w:rPr>
          <w:rFonts w:ascii="Microsoft YaHei" w:hAnsi="Microsoft YaHei" w:eastAsia="Microsoft YaHei"/>
          <w:sz w:val="19"/>
        </w:rPr>
        <w:t>MLCommons. (n.d.-a). MLPerf Client. Retrieved June 4, 2026, from https://mlcommons.org/benchmarks/client/</w:t>
      </w:r>
    </w:p>
    <w:p>
      <w:pPr>
        <w:pStyle w:val="ListBullet"/>
      </w:pPr>
      <w:r>
        <w:rPr>
          <w:rFonts w:ascii="Microsoft YaHei" w:hAnsi="Microsoft YaHei" w:eastAsia="Microsoft YaHei"/>
          <w:sz w:val="19"/>
        </w:rPr>
        <w:t>MLCommons. (n.d.-b). MLPerf Inference benchmarks. Retrieved June 4, 2026, from https://docs.mlcommons.org/inference/</w:t>
      </w:r>
    </w:p>
    <w:p>
      <w:pPr>
        <w:pStyle w:val="ListBullet"/>
      </w:pPr>
      <w:r>
        <w:rPr>
          <w:rFonts w:ascii="Microsoft YaHei" w:hAnsi="Microsoft YaHei" w:eastAsia="Microsoft YaHei"/>
          <w:sz w:val="19"/>
        </w:rPr>
        <w:t>OpenAI. (2025). Introducing HealthBench. https://openai.com/index/healthbench/</w:t>
      </w:r>
    </w:p>
    <w:p>
      <w:pPr>
        <w:pStyle w:val="ListBullet"/>
      </w:pPr>
      <w:r>
        <w:rPr>
          <w:rFonts w:ascii="Microsoft YaHei" w:hAnsi="Microsoft YaHei" w:eastAsia="Microsoft YaHei"/>
          <w:sz w:val="19"/>
        </w:rPr>
        <w:t>OpenAI. (2025). HealthBench: Evaluating large language models towards improved human health. https://arxiv.org/abs/2505.08775</w:t>
      </w:r>
    </w:p>
    <w:p>
      <w:pPr>
        <w:pStyle w:val="ListBullet"/>
      </w:pPr>
      <w:r>
        <w:rPr>
          <w:rFonts w:ascii="Microsoft YaHei" w:hAnsi="Microsoft YaHei" w:eastAsia="Microsoft YaHei"/>
          <w:sz w:val="19"/>
        </w:rPr>
        <w:t>Ouyang, D., He, B., Ghorbani, A., Yuan, N., Ebinger, J., Langlotz, C. P., Heidenreich, P. A., Harrington, R. A., Liang, D. H., Ashley, E. A., &amp; Zou, J. Y. (2020). Video-based AI for beat-to-beat assessment of cardiac function. Nature, 580(7802), 252-256. https://doi.org/10.1038/s41586-020-2145-8</w:t>
      </w:r>
    </w:p>
    <w:p>
      <w:pPr>
        <w:pStyle w:val="ListBullet"/>
      </w:pPr>
      <w:r>
        <w:rPr>
          <w:rFonts w:ascii="Microsoft YaHei" w:hAnsi="Microsoft YaHei" w:eastAsia="Microsoft YaHei"/>
          <w:sz w:val="19"/>
        </w:rPr>
        <w:t>Vickers, A. J., &amp; Elkin, E. B. (2006). Decision curve analysis: A novel method for evaluating prediction models. Medical Decision Making, 26(6), 565-574. https://doi.org/10.1177/0272989X06295361</w:t>
      </w:r>
    </w:p>
    <w:p>
      <w:pPr>
        <w:pStyle w:val="ListBullet"/>
      </w:pPr>
      <w:r>
        <w:rPr>
          <w:rFonts w:ascii="Microsoft YaHei" w:hAnsi="Microsoft YaHei" w:eastAsia="Microsoft YaHei"/>
          <w:sz w:val="19"/>
        </w:rPr>
        <w:t>Yu, Y., &amp; Acton, S. T. (2002). Speckle reducing anisotropic diffusion. IEEE Transactions on Image Processing, 11(11), 1260-1270. https://doi.org/10.1109/TIP.2002.804276</w:t>
      </w:r>
    </w:p>
    <w:p>
      <w:pPr>
        <w:pStyle w:val="ListBullet"/>
      </w:pPr>
      <w:r>
        <w:rPr>
          <w:rFonts w:ascii="Microsoft YaHei" w:hAnsi="Microsoft YaHei" w:eastAsia="Microsoft YaHei"/>
          <w:sz w:val="19"/>
        </w:rPr>
        <w:t>Zoghbi, W. A., Adams, D., Bonow, R. O., Enriquez-Sarano, M., Foster, E., Grayburn, P. A., Hahn, R. T., Han, Y., Hung, J., Lang, R. M., Little, S. H., Shah, D. J., Shernan, S., Thavendiranathan, P., Thomas, J. D., &amp; Weissman, N. J. (2017). Recommendations for noninvasive evaluation of native valvular regurgitation: A report from the American Society of Echocardiography developed in collaboration with the Society for Cardiovascular Magnetic Resonance. Journal of the American Society of Echocardiography, 30(4), 303-371. https://doi.org/10.1016/j.echo.2017.01.007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医学教学与算法演示用途，不作为临床诊断或治疗建议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CardioConsult PC V5 冻结版技术报告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F172A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F172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7556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g"/><Relationship Id="rId12" Type="http://schemas.openxmlformats.org/officeDocument/2006/relationships/image" Target="media/image2.jpg"/><Relationship Id="rId13" Type="http://schemas.openxmlformats.org/officeDocument/2006/relationships/image" Target="media/image3.jpg"/><Relationship Id="rId14" Type="http://schemas.openxmlformats.org/officeDocument/2006/relationships/image" Target="media/image4.jpg"/><Relationship Id="rId15" Type="http://schemas.openxmlformats.org/officeDocument/2006/relationships/image" Target="media/image5.jpg"/><Relationship Id="rId16" Type="http://schemas.openxmlformats.org/officeDocument/2006/relationships/image" Target="media/image6.jpg"/><Relationship Id="rId17" Type="http://schemas.openxmlformats.org/officeDocument/2006/relationships/image" Target="media/image7.jpg"/><Relationship Id="rId18" Type="http://schemas.openxmlformats.org/officeDocument/2006/relationships/image" Target="media/image8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