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4"/>
        </w:rPr>
        <w:t>CardioConsult PC V5 EchoBench 技术报告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2"/>
        </w:rPr>
        <w:t>APA 引用版 · 带图带表 · 生成日期：2026-06-04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技术摘要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CardioConsult PC V5 面向心脏超声教学参考和基层辅助初筛场景，目标是在普通 PC 上离线读取 PNG、DICOM/DCOM 与超声动图文件，输出从大方向到最小病症的结构化疑似诊断文字。V5 在原有 B-mode、Color Doppler、层级标签规则和 Gemma4 4B GGUF 本地报告生成基础上，加入 EchoNet-Dynamic 动态 B-mode 校准层，用于增强 EF 和左室收缩功能减低识别。</w:t>
            </w:r>
          </w:p>
        </w:tc>
      </w:tr>
    </w:tbl>
    <w:p/>
    <w:p>
      <w:pPr>
        <w:pStyle w:val="Heading1"/>
      </w:pPr>
      <w:r>
        <w:t>关键结论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完整证据场景 60/60 例成功，平均 3.76 秒/例；12 帧代表抽样场景 60/60 例成功，平均 2.56 秒/例。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完整证据下 MR F1 为 0.964，AR F1 为 0.700，低 EF F1 为 0.857；MR 与低 EF 已达到较稳定的教学演示水平。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12 帧场景下 MR F1 仍为 0.936，但 AR F1 降至 0.326，说明主动脉瓣反流强依赖切面覆盖和彩色多普勒代表帧。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GGUF 本地生成建议使用常驻 llama-server：冷启动首次 completion 约 8.78 秒，热启动 completion 约 0.49 秒。</w:t>
      </w:r>
    </w:p>
    <w:p>
      <w:pPr>
        <w:pStyle w:val="Heading1"/>
      </w:pPr>
      <w:r>
        <w:t>完整证据场景：核心指标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完整证据场景使用每例所有可用文件，平均 17.3 个文件/例，最多 33 个文件/例。该场景代表资料相对充分时的系统能力上限。TR 在本批数据中没有阴性样本，因此特异性不能作为有效结论。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标签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阳性金标准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准确率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敏感性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特异性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F1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MR（二尖瓣）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0.964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TR（三尖瓣）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0.000*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AR（主动脉瓣）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0.724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0.677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0.857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RWMA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0.333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0.500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左房扩大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0.883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0.865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1_full_vs_12fra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55555"/>
          <w:sz w:val="19"/>
        </w:rPr>
        <w:t>图 1. EchoBench v1 F1：完整证据与 12 帧代表抽样对比。</w:t>
      </w:r>
    </w:p>
    <w:p>
      <w:pPr>
        <w:pStyle w:val="Heading1"/>
      </w:pPr>
      <w:r>
        <w:t>12 帧代表抽样：输入受限场景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12 帧场景将每例文件做均匀代表抽样，而不是只取前 12 个文件。该场景更接近现场演示和标准输入上限，但会牺牲部分细粒度病症定位能力。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标签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阳性金标准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准确率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敏感性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特异性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F1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MR（二尖瓣）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0.883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0.936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TR（三尖瓣）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0.000*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AR（主动脉瓣）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0.517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0.241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0.774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0.326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0.917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0.667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0.944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0.615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RWMA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0.333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0.965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0.333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左房扩大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0.375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0.808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0.286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ccuracy_full_vs_12fra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55555"/>
          <w:sz w:val="19"/>
        </w:rPr>
        <w:t>图 2. EchoBench v1 准确率：完整证据与 12 帧代表抽样对比。</w:t>
      </w:r>
    </w:p>
    <w:p>
      <w:pPr>
        <w:pStyle w:val="Heading1"/>
      </w:pPr>
      <w:r>
        <w:t>延迟与本地 GGUF 性能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完整证据场景平均 3.76 秒/例，P95 为 5.51 秒；12 帧场景平均 2.56 秒/例，P95 为 3.20 秒。规则与小模型校准流水线不包含每例完整 GGUF 文本生成。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场景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成功例数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平均秒/例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P50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P90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P95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最大值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完整证据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60/60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3.761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3.311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5.012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5.513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6.704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7.282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 帧代表抽样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60/60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2.562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2.471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2.796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3.201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3.624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3.680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atency_full_vs_12fra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55555"/>
          <w:sz w:val="19"/>
        </w:rPr>
        <w:t>图 3. EchoBench v1 每例延迟百分位。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GGUF/llama.cpp 指标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GGUF 文件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gemma-4-4b-it-Q4_K_M.gguf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SHA256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519b9793ed6ce0ff530f1b7c96e848e08e49e7af4d57bb97f76215963a54146d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llama.cpp build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b9469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CPU threads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prompt processing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37.76 tokens/s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6.19 tokens/s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 首次 completion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8.775 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server 热启动 completion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0.492 s</w:t>
            </w:r>
          </w:p>
        </w:tc>
      </w:tr>
    </w:tbl>
    <w:p/>
    <w:p>
      <w:pPr>
        <w:pStyle w:val="Heading1"/>
      </w:pPr>
      <w:r>
        <w:t>数据、模型与方法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本次主测试集来自授权本地 DICOM/报告时间映射，共 60 个病例。该数据只用于本地授权教育验证，不随代码发布，不作为公开数据集再分发。报告链接标签被用作当前 benchmark 的报告链接金标准，但不是独立多专家盲法复核金标准。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V5 使用 EchoNet-Dynamic 公开数据进行动态 B-mode EF 校准。实际读取 10,030 个心尖四腔 .avi 视频、FileList.csv 中的 EF/ESV/EDV/FPS/帧数/官方 split，以及 VolumeTracings.csv 中的专家左室追踪帧。EchoNet-Dynamic 原论文证明心超视频深度学习可用于逐搏心功能评估（Ouyang et al., 2020）。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子任务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选中模型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选择依据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EF 回归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HistGradientBoostingRegressor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验证集 MAE/RMSE 优于 Ridge 与 MLP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分类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LogisticRegression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验证集 F1 最优，AUC 接近树模型，推理更轻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EchoNet-Dynamic held-out 指标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EF MAE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7.271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EF RMSE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9.603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EF 相关系数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0.647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准确率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0.770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精确率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0.479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召回率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0.515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F1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0.496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低 EF AUC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0.764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chonet_training_metric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555555"/>
          <w:sz w:val="19"/>
        </w:rPr>
        <w:t>图 4. V5 EchoNet-Dynamic 校准层 held-out 指标。</w:t>
      </w:r>
    </w:p>
    <w:p>
      <w:pPr>
        <w:pStyle w:val="Heading1"/>
      </w:pPr>
      <w:r>
        <w:t>Benchmark 设计与现有方案比较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EchoBench v1 是项目级 benchmark，而不是单脚本 smoke test。它包含单例交互、离线批量和常驻 server 三类场景。本次主报告使用离线批量完整证据、离线批量 12 帧代表抽样和 GGUF server smoke。性能测量思路参考 MLPerf 对离线、客户端和服务端场景的拆分，但本报告不是 MLPerf 官方提交结果（MLCommons, n.d.-a, n.d.-b）。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现有公开心超 AI 方案中，EchoNet-Dynamic 聚焦 EF 与左室功能，CAMUS 聚焦 2D 心超分割（Leclerc et al., 2019; Ouyang et al., 2020）。CardioConsult V5 的差异化在于多格式输入、B-mode 与 Color Doppler 代理特征、动图兼容、层级病症输出和本地离线 Gemma4 4B GGUF 中文报告生成。</w:t>
      </w:r>
    </w:p>
    <w:p>
      <w:pPr>
        <w:pStyle w:val="Heading1"/>
      </w:pPr>
      <w:r>
        <w:t>成本模型与工程取舍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V5 的成本结构主要是一次性硬件和模型文件成本，运行时不需要按病例调用云 API。完整证据场景按平均 3.76 秒/例估算，规则流水线理论吞吐约 957 例/小时；12 帧场景按平均 2.56 秒/例估算，理论吞吐约 1,405 例/小时。真实 UI 使用会受人工选文件、磁盘读取、DICOM 解码和 GGUF 文本生成影响，因此演示吞吐应按更保守数值估计。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端到端大型视频模型可能在 EF 或分割任务上更强，但会带来 GPU/NPU 依赖、模型体积、训练时间和移动端迁移成本。V5 选择小模型校准和规则融合，是为了确保普通 PC 可跑、移动端后续可迁移，并且每条诊断都有特征证据和规则路径可追踪。</w:t>
      </w:r>
    </w:p>
    <w:p>
      <w:pPr>
        <w:pStyle w:val="Heading1"/>
      </w:pPr>
      <w:r>
        <w:t>限制与下一步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本地 60 例测试集规模有限，且来自授权本地数据，不是公开多中心盲法验证集。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报告链接标签是当前 benchmark 的金标准，但不是 2-3 位超声专家独立盲评后的共识标签。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TR 在本批数据中全为阳性，PR 和 severe 标签样本不足，不能做有效结论。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EchoNet-Dynamic 只增强 A4C B-mode 心功能相关任务，不提供瓣膜反流分级监督。</w:t>
      </w:r>
    </w:p>
    <w:p>
      <w:pPr>
        <w:pStyle w:val="ListBullet"/>
        <w:spacing w:after="100"/>
      </w:pPr>
      <w:r>
        <w:rPr>
          <w:rFonts w:ascii="Calibri" w:hAnsi="Calibri" w:eastAsia="Microsoft YaHei"/>
        </w:rPr>
        <w:t>AR、RWMA 和左房扩大在 12 帧抽样下降明显，未来必须增强切面识别、动图分割和标签平衡。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安全边界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本系统仅用于医学教学、算法演示和基层参考，不是医疗器械输出，不作为正式临床诊断、治疗建议或医嘱。若患者存在胸痛、晕厥、明显呼吸困难、低血压、发绀或急性心衰表现，应直接进入正式医疗流程并由有资质医师复核。</w:t>
            </w:r>
          </w:p>
        </w:tc>
      </w:tr>
    </w:tbl>
    <w:p/>
    <w:p>
      <w:pPr>
        <w:pStyle w:val="Heading1"/>
      </w:pPr>
      <w:r>
        <w:t>可复现信息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V5 根目录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&lt;V5_ROOT&gt;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PC 应用目录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&lt;V5_ROOT&gt;\05_pc_v5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完整证据 run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runs\echobench_20260604_114319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 帧 run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runs\echobench_20260604_114016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EchoNet 训练报告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training\echonet_v5\training_report.json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 图表脚本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reports\make_benchmark_figures.R</w:t>
            </w:r>
          </w:p>
        </w:tc>
      </w:tr>
    </w:tbl>
    <w:p/>
    <w:p>
      <w:pPr>
        <w:pStyle w:val="Heading1"/>
      </w:pPr>
      <w:r>
        <w:t>参考文献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FDA, Health Canada, &amp; Medicines and Healthcare products Regulatory Agency. (2021). Good machine learning practice for medical device development: Guiding principles. https://www.gov.uk/government/publications/good-machine-learning-practice-for-medical-device-development-guiding-principles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ggml-org. (n.d.). GGUF file format - llama.cpp. Retrieved June 4, 2026, from https://www.mintlify.com/ggml-org/llama.cpp/concepts/gguf-format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Google AI for Developers. (n.d.). Get started with Gemma models. Retrieved June 4, 2026, from https://ai.google.dev/gemma/docs/get_started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Lang, R. M., Badano, L. P., Mor-Avi, V., Afilalo, J., Armstrong, A., Ernande, L., Flachskampf, F. A., Foster, E., Goldstein, S. A., Kuznetsova, T., Lancellotti, P., Muraru, D., Picard, M. H., Rietzschel, E. R., Rudski, L., Spencer, K. T., Tsang, W., &amp; Voigt, J.-U. (2015). Recommendations for cardiac chamber quantification by echocardiography in adults: An update from the American Society of Echocardiography and the European Association of Cardiovascular Imaging. Journal of the American Society of Echocardiography, 28(1), 1-39.e14. https://doi.org/10.1016/j.echo.2014.10.003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Leclerc, S., Smistad, E., Pedrosa, J., Ostvik, A., Cervenansky, F., Espinosa, F., Espeland, T., Berg, E. A. R., Jodoin, P.-M., Grenier, T., Lartizien, C., Dhooge, J., Lovstakken, L., Bernard, O., &amp; Grenier, T. (2019). Deep learning for segmentation using an open large-scale dataset in 2D echocardiography. IEEE Transactions on Medical Imaging, 38(9), 2198-2210. https://doi.org/10.1109/TMI.2019.2900516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MLCommons. (n.d.-a). MLPerf Client. Retrieved June 4, 2026, from https://mlcommons.org/benchmarks/client/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MLCommons. (n.d.-b). MLPerf Inference benchmarks. Retrieved June 4, 2026, from https://docs.mlcommons.org/inference/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MLCommons. (n.d.-c). MedPerf: An open benchmarking platform for medical artificial intelligence using federated evaluation. Retrieved June 4, 2026, from https://github.com/mlcommons/medperf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OpenAI. (2025). Introducing HealthBench. https://openai.com/index/healthbench/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Ouyang, D., He, B., Ghorbani, A., Yuan, N., Ebinger, J., Langlotz, C. P., Heidenreich, P. A., Harrington, R. A., Liang, D. H., Ashley, E. A., &amp; Zou, J. Y. (2020). Video-based AI for beat-to-beat assessment of cardiac function. Nature, 580(7802), 252-256. https://doi.org/10.1038/s41586-020-2145-8</w:t>
      </w:r>
    </w:p>
    <w:p>
      <w:pPr>
        <w:spacing w:after="120" w:line="252" w:lineRule="auto"/>
        <w:ind w:left="432" w:hanging="432"/>
      </w:pPr>
      <w:r>
        <w:rPr>
          <w:rFonts w:ascii="Calibri" w:hAnsi="Calibri" w:eastAsia="Microsoft YaHei"/>
          <w:sz w:val="18"/>
        </w:rPr>
        <w:t>Zoghbi, W. A., Adams, D., Bonow, R. O., Enriquez-Sarano, M., Foster, E., Grayburn, P. A., Hahn, R. T., Han, Y., Hung, J., Lang, R. M., Little, S. H., Shah, D. J., Shernan, S., Thavendiranathan, P., Thomas, J. D., &amp; Weissman, N. J. (2017). Recommendations for noninvasive evaluation of native valvular regurgitation: A report from the American Society of Echocardiography developed in collaboration with the Society for Cardiovascular Magnetic Resonance. Journal of the American Society of Echocardiography, 30(4), 303-371. https://doi.org/10.1016/j.echo.2017.01.007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>医学教学与算法演示用途，不作为临床诊断或治疗建议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CardioConsult PC V5 EchoBench 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