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icrosoft YaHei" w:hAnsi="Microsoft YaHei" w:eastAsia="Microsoft YaHei"/>
          <w:b/>
          <w:color w:val="0B2545"/>
          <w:sz w:val="46"/>
        </w:rPr>
        <w:t>CardioConsult PC V5 技术报告</w:t>
      </w:r>
    </w:p>
    <w:p>
      <w:pPr>
        <w:spacing w:after="280"/>
      </w:pPr>
      <w:r>
        <w:rPr>
          <w:rFonts w:ascii="Microsoft YaHei" w:hAnsi="Microsoft YaHei" w:eastAsia="Microsoft YaHei"/>
          <w:color w:val="2E74B5"/>
          <w:sz w:val="23"/>
        </w:rPr>
        <w:t>离线心脏超声教学参考系统：可运行性、准确性、成本与安全边界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生成日期：2026-06-07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报告版本：可视化增强版，APA 引用版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系统版本：CardioConsult PC V5 freeze build `2026-06-04`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定位：超声机器旁离线分析设备；医学教学、算法演示与基层参考工具，不是医疗器械。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摘要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CardioConsult PC V5 解决的问题是：在缺少心脏超声专科医生、网络条件有限或需要保护教学/脱敏病例数据的场景中，如何让超声初学者和基层医疗点从 PNG、DICOM/DCOM、cine/视频等文件中获得一份可解释、可审计、不会冒充正式诊断的心脏超声教学参考结果。系统把 PC 定义为接在超声机器、无线超声软件、DICOM 工作站或局域网导出目录旁的离线分析终端；所有图像预处理、特征提取、层级标签、Doppler 瓣膜定位评分、轻量多智能体审计和 Gemma4 4B GGUF 结构化报告生成都在本机完成。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本版报告按 Tableau Software（2014）《Visual Analysis Best Practices》的视觉分析原则重排：每张图先回答一个问题，避免颜色和形状过载，优先使用共享基线、直接标注、少量强调色和明确的证据边界。旧版 8 张 R 图仍保留为可复核资产，主文改用 7 张叙事型图，把“能运行、准到哪里、哪里必须补扫、为什么低成本”讲清楚。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冻结前检查显示，当前仓库可以完成三类任务：第一，规则路径 `app.py --self-test-rule-only` 通过，输出包含 `教学参考病症判断：`、`最小病症：`、`逻辑链：` 和安全边界；第二，授权本地 60 例 EchoBench 完整证据场景 60/60 成功，平均 1.418 秒/例，MR F1=0.964、AR F1=0.700、低 EF F1=0.857；第三，12 帧代表输入场景 60/60 成功，warm-cache 平均 0.711 秒/例，MR F1=0.936、AR F1=0.326、低 EF F1=0.615。需要特别说明的是，TR 在本批 60 例中全部为阳性，表格中的 1.000 只代表本批同质阳性样本内召回/一致性，不能当作真实世界泛化准确率、特异性或阴性排除能力。本地 `llama-server` 项目链路第 1 例服务模式诊断耗时 69.168 秒，报告保护层记录 `Gemma4 4B offline server: http://127.0.0.1:8088 (Gemma4 output received; report guard repaired required fields)`，最终输出 `has_prompt_leakage=false`、`report_source=gemma4_repaired`；当前默认提示词进一步新增 `gemma4_structured` JSON 渲染路径。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从评委视角看，V5 的强项不是单一公开排行榜最高分，而是低成本可运行、输入格式兼容、输出合同明确、审计链完整、隐私边界清楚。它的主要风险也清楚：AR、RWMA、左房扩大和严重程度分级在 12 帧输入下仍受切面覆盖影响；当前 60 例报告链接标签不是多专家盲评金标准；系统不能作为临床诊断或治疗建议。这个边界在 UI、README、技术报告和诊断输出中均需保留。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3_submission_readines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图0：提交材料状态与阅读地图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1. 问题陈述与用户价值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基层医疗点和超声初学者常见困难不是“完全没有图像”，而是有图像、有 DICOM 或无线超声导出文件，却缺少稳定的心脏超声专科解读、补扫建议和教学级复盘。传统多人会诊依赖专家时间和网络条件；云端多模态模型又会带来隐私、成本、网络和部署不确定性。CardioConsult V5 的目标是提供一个离线、低边际成本、可审计的教学参考层，把系统输出限制在“疑似病症判断、证据链、补扫建议、安全分层”上。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医学边界上，本项目遵循良好机器学习实践中关于目标人群、数据代表性、开发追溯、性能监测和人类监督的原则（FDA, Health Canada, &amp; Medicines and Healthcare products Regulatory Agency, 2021）。工程边界上，它借鉴 MLPerf 对客户端、离线和服务场景的分层测量思路，但 EchoBench v1 是项目自建 benchmark，不是 MLCommons 官方提交（MLCommons, n.d.-a, n.d.-b）。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2. 系统方案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系统分为五层：输入层读取 PNG/JPG、DICOM/DCOM、多帧 TIFF、GIF、MP4/MOV/AVI 等文件；B-mode 分支计算 SRAD/CLAHE 风格预处理、边缘密度、纹理熵、散斑残差、腔室面积代理和收缩舒张差；Color Doppler 分支将 HSV 血流颜色转为活跃区、连通域、喷流宽度、方向一致性、湍流、涡量代理和 MR/TR/AR/PR 瓣膜定位评分；校准层用 V4 shared-EK/coupled-EK 与 V5 EchoNet-Dynamic 校准增强 EF / 左室收缩功能减低；报告层默认要求 Gemma4 4B GGUF 输出 JSON object，再由报告保护层按本地诊断合同重渲染为中文教学摘要，并清除提示词泄漏、截断和 AI 口吻。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为对齐 Gemma4 提交指南中的原生函数调用要求，当前代码新增 `cardio_pc/function_calling.py` 和 `docs/gemma4_function_calling_contract.md`。离线 Gemma4 增强路径可按 JSON tool-call 合同请求 `summarize_ultrasound_features`、`run_rule_diagnosis` 和 `safety_boundary_check` 三个白名单内部工具；本地执行器拒绝非白名单工具和额外参数。该设计让模型只能查询低维超声证据、确定性规则诊断和安全边界，不能执行任意代码或读取原始病人文件。`tools/function_calling_smoke.py` 可在无 GGUF、无网络条件下复现 tool manifest、白名单执行和非法工具拒绝逻辑。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4_system_flo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图1：离线读片链路与报告输出合同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EchoNet-Dynamic 是公开心超视频数据集，包含心尖四腔视频和 EF/ESV/EDV/左室追踪标注，适合用于心功能任务（Ouyang et al., 2020）。CAMUS 则适合 2D 心超分割和腔室结构评估（Leclerc et al., 2019）。瓣膜反流和腔室定量的正式临床判断仍应遵循 ASE/EACVI 指南，而不能只依赖本项目的颜色代理特征（Lang et al., 2015; Zoghbi et al., 2017）。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3. Benchmark 设计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冻结版报告采用四组证据：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1. 规则自检。 本地 synthetic A4C ED/ES 输入，验证文件读取、特征提取、层级标签、自然化报告和安全边界。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2. EchoBench 完整证据。 60 例授权 DICOM/报告时间映射，每例读取全部可用文件，衡量资料充分时的系统上限。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3. EchoBench 12 帧代表输入。 每例最多 12 个文件/帧，模拟产品输入上限和现场演示限制。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4. 本地服务。 常驻 `llama-server` 加载 Gemma4 4B GGUF，测 `/completion` 热启动复用和项目级服务诊断链路。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医疗项目指标包括准确率、敏感性、特异性、精确率、F1、EF MAE/RMSE/相关系数、报告安全字段、补扫提示和人工复核边界。一般工程指标包括启动可用性、每例延迟、P50/P90/P95/P99、热启动复用、边际调用成本、离线隐私、审计链和可复现命令。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4. 主要性能结果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4.1 完整证据：标签性能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完整证据场景 60/60 例成功，平均 1.418 秒/例，P95=2.499 秒。MR、低 EF 表现稳定；AR 中等；RWMA、心动过缓等标签因为样本少或未接入 ECG/完整报告结构化字段，不能过度宣称。TR 虽在表中显示 1.000，但本批 60 例全部带 TR 阳性标签，缺少阴性样本，因此这不是严格意义上的泛化性能估计。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1_f1_stor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图2：完整证据与 12 帧输入的 F1 稳定性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088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</w:tblGrid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TR*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0.724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0.677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0.857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0.865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0.696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注：TR 在本批 60 例中全部为阳性，因此 TN=0、FP=0，特异性和阴性排除能力没有统计解释价值；TR F1=1.000 只能解释为本批同质阳性样本内召回一致，不能作为“真实准确率 100%”宣传。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4.2 12 帧输入：现场演示上限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12 帧代表输入场景 60/60 例成功，warm-cache 平均 0.711 秒/例，P95=0.763 秒。MR F1 仍为 0.936，低 EF F1 为 0.615；AR F1 降至 0.326，提示主动脉瓣反流需要更完整的 A5C/主动脉瓣相关切面和彩色多普勒序列。TR 在 12 帧输入中同样全阳性，仍只能作为“这批 TR 阳性病例没有漏报”的证据，而不能评价对正常/无 TR 病例的区分能力。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2frame_metric_profil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图3：12 帧输入的诊断画像与切面敏感项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088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</w:tblGrid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0.927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0.400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TR*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0.517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0.241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0.774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0.326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0.917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0.667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0.944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0.615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0.750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0.375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0.808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0.286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注：12 帧 TR 结果同样受全阳性标签分布影响。后续需要引入明确无 TR 的阴性病例、不同机器/不同导出格式和更宽的严重程度分布，才能报告可靠的 TR 特异性、AUC 或校准曲线。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fusion_components_12fram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图4：12 帧混淆矩阵组成，供细节复核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4.3 延迟、缓存和本地服务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SpeedOpt 前 12 帧基线平均 2.670 秒/例；SpeedOpt 冷缓存平均 1.813 秒/例；冻结版 warm-cache 12 帧平均 0.711 秒/例，相比旧基线下降 73.4%。完整证据 warm-cache 平均 1.418 秒/例，说明当前普通 PC 上已经可以支撑交互式教学演示。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2_latency_stor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图5：延迟阶梯与本地 Gemma4 服务定位</w:t>
      </w:r>
    </w:p>
    <w:tbl>
      <w:tblPr>
        <w:tblW w:type="dxa" w:w="9357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664"/>
        <w:gridCol w:w="956"/>
        <w:gridCol w:w="956"/>
        <w:gridCol w:w="956"/>
        <w:gridCol w:w="956"/>
        <w:gridCol w:w="956"/>
        <w:gridCol w:w="956"/>
        <w:gridCol w:w="956"/>
      </w:tblGrid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场景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平均秒/例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P50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P90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P99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最大值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平均文件数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完整证据 warm-cache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1.418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1.107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2.225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2.499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3.105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3.394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17.283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warm-cache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0.711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0.749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0.763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0.858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0.986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SpeedOpt 冷缓存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1.813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12帧旧基线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2.670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本地服务 smoke 连续两次 `/completion` 均返回 OK：第一次 1.327 秒，第二次 0.522 秒。第二次请求 prompt tok/s 从 6.22 提升到 16.44，说明常驻模型复用有效。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erver_smoke_hot_reus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图6：llama-server 热启动复用，供模型服务复核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项目级服务链路使用 EchoBench 第 1 例、12 个文件、`max_tokens=240`：文件加载 0.902 秒，特征提取 0.011 秒，Gemma4 服务诊断 69.168 秒；报告保护层启用，最终 `has_prompt_leakage=false`、`report_source=gemma4_repaired`，并保留医学安全边界。该服务证据来自结构化 JSON 默认启用前的旧服务复现；当前代码默认新增 `structured_llm_output=true`，下一次模型服务复现可记录 `report_source=gemma4_structured`。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4.4 EchoNet-Dynamic 校准层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V5 的 EchoNet-Dynamic 校准层用于补强 EF 和左室收缩功能减低识别，不替代瓣膜反流规则。held-out 指标为 EF MAE=7.271、EF RMSE=9.603、EF 相关系数=0.647、低 EF AUC=0.764、低 EF F1=0.496。这支持“教学提示”用途，但不足以宣称临床 EF 自动测量。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chonet_training_metric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图7：EchoNet-Dynamic 校准指标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5. 数据来源与证据覆盖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本仓库不分发原始 DICOM、公开数据集压缩包或 GGUF 权重，只保存汇总报告、指标和图表。CAMUS、EchoNet-Dynamic、HMC-QU、EchoXFlow、MR Ultrasound Images、MIMIC-IV-ECHO/ECHOVIEW、CACTUS 等来源按许可证或访问条件分级记录在 `DATASETS.md` 和 `integrated_test_results.`。从冻结评审角度，最强证据是授权本地 60 例、CAMUS 阶段测试、本地 smoke 和服务链路；计划数据集只能写成后续路线，不能包装成已完成结果。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5_evidence_ladde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图8：证据覆盖情况与不可过度宣称边界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6. 与现有方案的比较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EchoNet-Dynamic 和 CAMUS 这类公开方案的优势是任务定义清晰、数据结构规范、适合学术复现；限制是通常聚焦 EF、容积或分割，不直接覆盖基层教学场景中的 DICOM/DCOM 兼容、Color Doppler 代理、中文层级病症报告和离线本地部署（Leclerc et al., 2019; Ouyang et al., 2020）。云端多模态模型可能具备更强的自然语言解释能力，但会引入病例上传、网络、费用、审计和服务可用性问题。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CardioConsult V5 的差异化是：输入侧兼容真实超声导出文件；算法侧融合 B-mode、Color Doppler、Doppler 瓣膜定位评分、动图差分和 EchoNet 校准；输出侧强制最小病症、逻辑链和安全边界，并用 JSON 合同限制 Gemma4 自由漂移；运行侧采用本地规则、小模型与 GGUF LLM，边际调用成本接近 0。代价是部分细粒度病症在缺切面时准确率下降，需要明确补扫和复核。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7. 成本模型与取舍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本地方案的主要成本是一次性 PC、存储和 GGUF 文件准备。运行时不按病例调用云 API，规则路径吞吐可按每小时数百到上千例估算；真实演示受人工选文件、磁盘、DICOM 解码和 GGUF 文本 token 数影响。以冻结版 warm-cache 为例，12 帧规则链路平均 0.711 秒/例，理论吞吐约 5063 例/小时；完整证据平均 1.418 秒/例，理论吞吐约 2539 例/小时。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6_cost_boundar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图9：成本、隐私与准确性取舍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主要取舍如下：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为了离线和低成本，牺牲了云端大模型的算力弹性。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为了可审计和安全，核心标签由规则/校准层给出，LLM 主要负责表达，牺牲了部分自由生成能力。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为了兼容 DICOM/DCOM 和动图，保留了较复杂的文件解析与代表帧抽样。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为了提高基层筛查敏感性，低 EF 等标签更偏向“提示/待排”，正常特异性需要更多阴性样本继续优化。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8. 冻结前补救与评审风险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本轮冻结检查完成了以下补救：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1. 删除无用或容易打不开的高级 BAT，只保留 `install_deps.bat` 和 `run_cardio_pc_v5.bat` 两个普通入口。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2. 修正诊断链输出保护层，清除提示词泄漏、markdown 模板和“作为 AI / 我将”式口吻。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3. 更新本地服务 JSON，旧的提示词泄漏片段已被干净报告替换。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4. 重跑 60 例完整证据和 12 帧冻结 benchmark。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5. 保留 8 张 R 复核图，同时新增 7 张白皮书式叙事图，并同步到 submission 与 docs。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6. 报告中明确写出医学边界、数据许可、未下载数据集和不可过度宣称的标签。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仍需诚实呈现的风险：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当前 60 例是本地授权教学数据，不是多中心外部临床验证。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报告链接标签不是多专家盲评共识标签。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TR 全阳性导致特异性、AUC 和真实阴性排除能力不可解释；PR、severe、HCM 等标签样本不足。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在线 demo 是规则匹配网页，不等于完整 PC 图像特征和 GGUF 推理。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项目不能被描述为临床诊断系统、医疗器械或治疗建议工具。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7_safety_contrac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图10：最终输出合同与安全边界</w:t>
      </w:r>
    </w:p>
    <w:p>
      <w:r>
        <w:br w:type="page"/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9. 下一步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1. 建立 2-3 位心超医生盲评表，计算 Cohen's Kappa、加权 Kappa 或 ICC（Bland &amp; Altman, 1986; Cohen, 1960）。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2. 补充 AR、PR、severe regurgitation、RWMA、LVH/HCM、LA enlargement 的阳性和阴性平衡样本。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3. 训练轻量 ONNX/TFLite 左室/左房分割模型，用 CAMUS 和 EchoNet tracing 改善 EF 与腔室大小代理。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4. 将 PLAX、PSAX、A4C、A2C、A5C、subcostal 等切面识别作为显式中间任务。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5. 按 HealthBench 类似的 rubric 思路建立医疗文本质量评估：事实性、完整性、风险提示、边界表达、教学价值（OpenAI, 2025）。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10. 可复现信息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024"/>
        <w:gridCol w:w="6336"/>
      </w:tblGrid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值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仓库目录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D:\gdc-shanghai-project-PC-rule-demo-switch_20260607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规则自检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python app.py --self-test-rule-only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 run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validation_speedopt/freeze_runs_full/echobench_20260604_180638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12帧 run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validation_speedopt/freeze_runs/echobench_20260604_175653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服务 smoke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validation_speedopt/server_smoke_general_current_20260604.json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项目服务链路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validation_speedopt/server_pipeline_case1_current_20260604.json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 图表脚本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submission/technical_report/make_freeze_figures.R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叙事图脚本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submission/technical_report/make_nyt_style_figures.py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核心重跑命令：</w:t>
      </w:r>
    </w:p>
    <w:p>
      <w:pPr>
        <w:spacing w:after="120"/>
        <w:ind w:left="360"/>
      </w:pPr>
      <w:r>
        <w:rPr>
          <w:rFonts w:ascii="Consolas" w:hAnsi="Consolas" w:eastAsia="Consolas"/>
          <w:color w:val="334155"/>
          <w:sz w:val="16"/>
        </w:rPr>
        <w:t>.\.venv\Scripts\python.exe app.py --self-test-rule-only</w:t>
        <w:br/>
        <w:t>.\.venv\Scripts\python.exe tools\run_echobench_v1.py --mapping &lt;mapping.csv&gt; --out-root validation_speedopt\freeze_runs_full --case-limit 60</w:t>
        <w:br/>
        <w:t>.\.venv\Scripts\python.exe tools\run_echobench_v1.py --mapping &lt;mapping.csv&gt; --out-root validation_speedopt\freeze_runs --case-limit 60 --max-files-per-case 12</w:t>
        <w:br/>
        <w:t>.\.venv\Scripts\python.exe tools\benchmark_server_smoke.py --url http://127.0.0.1:8088 --out validation_speedopt\server_smoke_general_current_20260604.json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参考文献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Bland, J. M., &amp; Altman, D. G. (1986). Statistical methods for assessing agreement between two methods of clinical measurement. The Lancet, 327(8476), 307-310. https://doi.org/10.1016/S0140-6736(86)90837-8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Cohen, J. (1960). A coefficient of agreement for nominal scales. Educational and Psychological Measurement, 20(1), 37-46. https://doi.org/10.1177/001316446002000104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FDA, Health Canada, &amp; Medicines and Healthcare products Regulatory Agency. (2021). Good machine learning practice for medical device development: Guiding principles. https://www.gov.uk/government/publications/good-machine-learning-practice-for-medical-device-development-guiding-principles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ggml-org. (n.d.). GGUF file format - llama.cpp. Retrieved June 4, 2026, from https://www.mintlify.com/ggml-org/llama.cpp/concepts/gguf-format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Get started with Gemma models. Retrieved June 4, 2026, from https://ai.google.dev/gemma/docs/get_started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Run Gemma content generation and inferences. Retrieved June 4, 2026, from https://ai.google.dev/gemma/docs/run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Karargyris, A., Umeton, R., Sheller, M. J., Aristizabal, A., George, J., Wuest, A., Pati, S., Kassem, H., Zenk, M., Baid, U., et al. (2023). Federated benchmarking of medical artificial intelligence with MedPerf. Nature Machine Intelligence, 5, 799-810. https://doi.org/10.1038/s42256-023-00652-2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Lang, R. M., Badano, L. P., Mor-Avi, V., Afilalo, J., Armstrong, A., Ernande, L., Flachskampf, F. A., Foster, E., Goldstein, S. A., Kuznetsova, T., Lancellotti, P., Muraru, D., Picard, M. H., Rietzschel, E. R., Rudski, L., Spencer, K. T., Tsang, W., &amp; Voigt, J.-U. (2015). Recommendations for cardiac chamber quantification by echocardiography in adults: An update from the American Society of Echocardiography and the European Association of Cardiovascular Imaging. Journal of the American Society of Echocardiography, 28(1), 1-39.e14. https://doi.org/10.1016/j.echo.2014.10.003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Leclerc, S., Smistad, E., Pedrosa, J., Ostvik, A., Cervenansky, F., Espinosa, F., Espeland, T., Berg, E. A. R., Jodoin, P.-M., Grenier, T., Lartizien, C., D'Hooge, J., Lovstakken, L., &amp; Bernard, O. (2019). Deep learning for segmentation using an open large-scale dataset in 2D echocardiography. IEEE Transactions on Medical Imaging, 38(9), 2198-2210. https://doi.org/10.1109/TMI.2019.2900516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(n.d.-a). MLPerf Client. Retrieved June 4, 2026, from https://mlcommons.org/benchmarks/client/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(n.d.-b). MLPerf Inference benchmarks. Retrieved June 4, 2026, from https://docs.mlcommons.org/inference/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Introducing HealthBench. https://openai.com/index/healthbench/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HealthBench: Evaluating large language models towards improved human health. https://arxiv.org/abs/2505.08775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Ouyang, D., He, B., Ghorbani, A., Yuan, N., Ebinger, J., Langlotz, C. P., Heidenreich, P. A., Harrington, R. A., Liang, D. H., Ashley, E. A., &amp; Zou, J. Y. (2020). Video-based AI for beat-to-beat assessment of cardiac function. Nature, 580(7802), 252-256. https://doi.org/10.1038/s41586-020-2145-8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Tableau Software. (2014). Visual analysis best practices: Simple techniques for making every data visualization useful and beautiful. Tableau Software.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Vickers, A. J., &amp; Elkin, E. B. (2006). Decision curve analysis: A novel method for evaluating prediction models. Medical Decision Making, 26(6), 565-574. https://doi.org/10.1177/0272989X06295361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Yu, Y., &amp; Acton, S. T. (2002). Speckle reducing anisotropic diffusion. IEEE Transactions on Image Processing, 11(11), 1260-1270. https://doi.org/10.1109/TIP.2002.804276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Zoghbi, W. A., Adams, D., Bonow, R. O., Enriquez-Sarano, M., Foster, E., Grayburn, P. A., Hahn, R. T., Han, Y., Hung, J., Lang, R. M., Little, S. H., Shah, D. J., Shernan, S., Thavendiranathan, P., Thomas, J. D., &amp; Weissman, N. J. (2017). Recommendations for noninvasive evaluation of native valvular regurgitation: A report from the American Society of Echocardiography developed in collaboration with the Society for Cardiovascular Magnetic Resonance. Journal of the American Society of Echocardiography, 30(4), 303-371. https://doi.org/10.1016/j.echo.2017.01.007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icrosoft YaHei" w:hAnsi="Microsoft YaHei" w:eastAsia="Microsoft YaHei"/>
        <w:color w:val="475569"/>
        <w:sz w:val="17"/>
      </w:rPr>
      <w:t>医学教学与算法演示用途，不作为临床诊断或治疗建议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475569"/>
        <w:sz w:val="17"/>
      </w:rPr>
      <w:t>CardioConsult PC V5 技术报告 | 可视化增强版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