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Microsoft YaHei" w:hAnsi="Microsoft YaHei" w:eastAsia="Microsoft YaHei"/>
          <w:b/>
          <w:color w:val="0B2545"/>
          <w:sz w:val="44"/>
        </w:rPr>
        <w:t>CardioConsult PC V5 EchoBench 技术报告</w:t>
      </w:r>
    </w:p>
    <w:p>
      <w:pPr>
        <w:spacing w:after="280"/>
      </w:pPr>
      <w:r>
        <w:rPr>
          <w:rFonts w:ascii="Microsoft YaHei" w:hAnsi="Microsoft YaHei" w:eastAsia="Microsoft YaHei"/>
          <w:color w:val="555555"/>
          <w:sz w:val="22"/>
        </w:rPr>
        <w:t>APA 引用版 · 带图带表 · 生成日期：2026-06-04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9072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技术摘要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20"/>
              </w:rPr>
              <w:t>CardioConsult PC V5 面向心脏超声教学参考和基层辅助初筛场景。这里的 PC 被定义为可直接接入超声机器或超声工作站的离线分析设备：它可以通过 USB、局域网共享目录、DICOM 工作站导出目录或无线超声软件导出文件读取 PNG、DICOM/DCOM 与超声动图，并在本机输出从大方向到最小病症的结构化疑似诊断文字。V5 在原有 B-mode、Color Doppler、层级标签规则和 Gemma4 4B GGUF 本地报告生成基础上，加入 EchoNet-Dynamic 动态 B-mode 校准层，用于增强 EF 和左室收缩功能减低识别。</w:t>
            </w:r>
          </w:p>
        </w:tc>
      </w:tr>
    </w:tbl>
    <w:p/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PC 设备定位：超声机器旁离线分析终端</w:t>
      </w:r>
    </w:p>
    <w:p>
      <w:pPr>
        <w:spacing w:after="120" w:line="264" w:lineRule="auto"/>
      </w:pPr>
      <w:r>
        <w:rPr>
          <w:rFonts w:ascii="Microsoft YaHei" w:hAnsi="Microsoft YaHei" w:eastAsia="Microsoft YaHei"/>
        </w:rPr>
        <w:t>本报告中的 PC 不是云端后台，也不是仅用于展示的通用桌面软件，而是放置在超声检查室、教学训练室或基层医疗点的本地分析设备。实际工作流中，超声机器或无线超声软件完成采集后，可把 PNG、DICOM/DCOM、cine 或视频导出到 USB、局域网共享目录、DICOM 工作站目录或本机指定文件夹，PC V5 从这些位置读取资料并完成本地预处理、特征提取、规则判断和 Gemma4 4B GGUF 报告生成。</w:t>
      </w:r>
    </w:p>
    <w:p>
      <w:pPr>
        <w:spacing w:after="120" w:line="264" w:lineRule="auto"/>
      </w:pPr>
      <w:r>
        <w:rPr>
          <w:rFonts w:ascii="Microsoft YaHei" w:hAnsi="Microsoft YaHei" w:eastAsia="Microsoft YaHei"/>
        </w:rPr>
        <w:t>这种定位的目的有三点。第一，敏感图像和授权教学病例不需要上传云端，便于在网络不稳定或隐私要求高的场景中演示。第二，PC 能承担比手机更稳定的批量文件解析、视频抽帧、DICOM 兼容和 GGUF 常驻推理任务，适合作为超声设备旁的离线辅助终端。第三，输出始终限定为医学教学和基层参考，不替代正式超声报告、医师诊断、治疗建议或急诊分诊。</w:t>
      </w:r>
    </w:p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关键结论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</w:rPr>
        <w:t>完整证据场景 60/60 例成功，平均 3.76 秒/例；12 帧代表抽样场景 60/60 例成功，平均 2.56 秒/例。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</w:rPr>
        <w:t>完整证据下 MR F1 为 0.964，AR F1 为 0.700，低 EF F1 为 0.857；MR 与低 EF 已达到较稳定的教学演示水平。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</w:rPr>
        <w:t>12 帧场景下 MR F1 仍为 0.936，但 AR F1 降至 0.326，说明主动脉瓣反流强依赖切面覆盖和彩色多普勒代表帧。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</w:rPr>
        <w:t>GGUF 本地生成建议使用常驻 llama-server：冷启动首次 completion 约 8.78 秒，热启动 completion 约 0.49 秒。</w:t>
      </w:r>
    </w:p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完整证据场景：核心指标</w:t>
      </w:r>
    </w:p>
    <w:p>
      <w:pPr>
        <w:spacing w:after="120" w:line="264" w:lineRule="auto"/>
      </w:pPr>
      <w:r>
        <w:rPr>
          <w:rFonts w:ascii="Microsoft YaHei" w:hAnsi="Microsoft YaHei" w:eastAsia="Microsoft YaHei"/>
        </w:rPr>
        <w:t>完整证据场景使用每例所有可用文件，平均 17.3 个文件/例，最多 33 个文件/例。该场景代表资料相对充分时的系统能力上限。TR 在本批数据中没有阴性样本，因此特异性不能作为有效结论。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标签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n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阳性金标准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准确率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敏感性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特异性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F1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MR（二尖瓣）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0.933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0.964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0.600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0.964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TR（三尖瓣）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0.000*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AR（主动脉瓣）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0.700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0.724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0.677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0.700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 EF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0.967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0.963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0.857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RWMA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0.967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0.333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0.500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左房扩大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0.883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0.865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0.696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2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1_full_vs_12fra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555555"/>
          <w:sz w:val="19"/>
        </w:rPr>
        <w:t>图 1. EchoBench v1 F1：完整证据与 12 帧代表抽样对比。</w:t>
      </w:r>
    </w:p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12 帧代表抽样：输入受限场景</w:t>
      </w:r>
    </w:p>
    <w:p>
      <w:pPr>
        <w:spacing w:after="120" w:line="264" w:lineRule="auto"/>
      </w:pPr>
      <w:r>
        <w:rPr>
          <w:rFonts w:ascii="Microsoft YaHei" w:hAnsi="Microsoft YaHei" w:eastAsia="Microsoft YaHei"/>
        </w:rPr>
        <w:t>12 帧场景将每例文件做均匀代表抽样，而不是只取前 12 个文件。该场景更接近现场演示和标准输入上限，但会牺牲部分细粒度病症定位能力。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标签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n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阳性金标准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准确率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敏感性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特异性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F1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MR（二尖瓣）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0.883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0.927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0.400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0.936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TR（三尖瓣）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0.000*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AR（主动脉瓣）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0.517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0.241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0.774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0.326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 EF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0.917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0.667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0.944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0.615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RWMA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0.933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0.333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0.965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0.333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左房扩大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0.750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0.375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0.808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0.286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2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ccuracy_full_vs_12fra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555555"/>
          <w:sz w:val="19"/>
        </w:rPr>
        <w:t>图 2. EchoBench v1 准确率：完整证据与 12 帧代表抽样对比。</w:t>
      </w:r>
    </w:p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延迟与本地 GGUF 性能</w:t>
      </w:r>
    </w:p>
    <w:p>
      <w:pPr>
        <w:spacing w:after="120" w:line="264" w:lineRule="auto"/>
      </w:pPr>
      <w:r>
        <w:rPr>
          <w:rFonts w:ascii="Microsoft YaHei" w:hAnsi="Microsoft YaHei" w:eastAsia="Microsoft YaHei"/>
        </w:rPr>
        <w:t>完整证据场景平均 3.76 秒/例，P95 为 5.51 秒；12 帧场景平均 2.56 秒/例，P95 为 3.20 秒。规则与小模型校准流水线不包含每例完整 GGUF 文本生成。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场景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成功例数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平均秒/例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P50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P90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P95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P99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最大值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完整证据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60/60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3.761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3.311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5.012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5.513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6.704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7.282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 帧代表抽样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60/60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2.562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2.471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2.796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3.201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3.624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3.680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20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latency_full_vs_12fram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555555"/>
          <w:sz w:val="19"/>
        </w:rPr>
        <w:t>图 3. EchoBench v1 每例延迟百分位。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GGUF/llama.cpp 指标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GGUF 文件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gemma-4-4b-it-Q4_K_M.gguf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SHA256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519b9793ed6ce0ff530f1b7c96e848e08e49e7af4d57bb97f76215963a54146d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llama.cpp build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b9469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CPU threads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prompt processing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37.76 tokens/s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generation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6.19 tokens/s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首次 completion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8.775 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server 热启动 completion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0.492 s</w:t>
            </w:r>
          </w:p>
        </w:tc>
      </w:tr>
    </w:tbl>
    <w:p/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数据、模型与方法</w:t>
      </w:r>
    </w:p>
    <w:p>
      <w:pPr>
        <w:spacing w:after="120" w:line="264" w:lineRule="auto"/>
      </w:pPr>
      <w:r>
        <w:rPr>
          <w:rFonts w:ascii="Microsoft YaHei" w:hAnsi="Microsoft YaHei" w:eastAsia="Microsoft YaHei"/>
        </w:rPr>
        <w:t>本次主测试集来自授权本地 DICOM/报告时间映射，共 60 个病例。该数据只用于本地授权教育验证，不随代码发布，不作为公开数据集再分发。报告链接标签被用作当前 benchmark 的报告链接金标准，但不是独立多专家盲法复核金标准。</w:t>
      </w:r>
    </w:p>
    <w:p>
      <w:pPr>
        <w:spacing w:after="120" w:line="264" w:lineRule="auto"/>
      </w:pPr>
      <w:r>
        <w:rPr>
          <w:rFonts w:ascii="Microsoft YaHei" w:hAnsi="Microsoft YaHei" w:eastAsia="Microsoft YaHei"/>
        </w:rPr>
        <w:t>V5 使用 EchoNet-Dynamic 公开数据进行动态 B-mode EF 校准。实际读取 10,030 个心尖四腔 .avi 视频、FileList.csv 中的 EF/ESV/EDV/FPS/帧数/官方 split，以及 VolumeTracings.csv 中的专家左室追踪帧。EchoNet-Dynamic 原论文证明心超视频深度学习可用于逐搏心功能评估（Ouyang et al., 2020）。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子任务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选中模型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选择依据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EF 回归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HistGradientBoostingRegressor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验证集 MAE/RMSE 优于 Ridge 与 MLP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 EF 分类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LogisticRegression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验证集 F1 最优，AUC 接近树模型，推理更轻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EchoNet-Dynamic held-out 指标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数值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EF MAE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7.271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EF RMSE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9.603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EF 相关系数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0.647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 EF 准确率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0.770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 EF 精确率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0.479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 EF 召回率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0.515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 EF F1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0.496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 EF AUC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0.764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2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chonet_training_metric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555555"/>
          <w:sz w:val="19"/>
        </w:rPr>
        <w:t>图 4. V5 EchoNet-Dynamic 校准层 held-out 指标。</w:t>
      </w:r>
    </w:p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Benchmark 设计与现有方案比较</w:t>
      </w:r>
    </w:p>
    <w:p>
      <w:pPr>
        <w:spacing w:after="120" w:line="264" w:lineRule="auto"/>
      </w:pPr>
      <w:r>
        <w:rPr>
          <w:rFonts w:ascii="Microsoft YaHei" w:hAnsi="Microsoft YaHei" w:eastAsia="Microsoft YaHei"/>
        </w:rPr>
        <w:t>EchoBench v1 是项目级 benchmark，而不是单脚本 smoke test。它包含单例交互、离线批量和常驻 server 三类场景。本次主报告使用离线批量完整证据、离线批量 12 帧代表抽样和 GGUF server smoke。性能测量思路参考 MLPerf 对离线、客户端和服务端场景的拆分，但本报告不是 MLPerf 官方提交结果（MLCommons, n.d.-a, n.d.-b）。</w:t>
      </w:r>
    </w:p>
    <w:p>
      <w:pPr>
        <w:spacing w:after="120" w:line="264" w:lineRule="auto"/>
      </w:pPr>
      <w:r>
        <w:rPr>
          <w:rFonts w:ascii="Microsoft YaHei" w:hAnsi="Microsoft YaHei" w:eastAsia="Microsoft YaHei"/>
        </w:rPr>
        <w:t>现有公开心超 AI 方案中，EchoNet-Dynamic 聚焦 EF 与左室功能，CAMUS 聚焦 2D 心超分割（Leclerc et al., 2019; Ouyang et al., 2020）。CardioConsult V5 的差异化在于多格式输入、B-mode 与 Color Doppler 代理特征、动图兼容、层级病症输出和本地离线 Gemma4 4B GGUF 中文报告生成。</w:t>
      </w:r>
    </w:p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成本模型与工程取舍</w:t>
      </w:r>
    </w:p>
    <w:p>
      <w:pPr>
        <w:spacing w:after="120" w:line="264" w:lineRule="auto"/>
      </w:pPr>
      <w:r>
        <w:rPr>
          <w:rFonts w:ascii="Microsoft YaHei" w:hAnsi="Microsoft YaHei" w:eastAsia="Microsoft YaHei"/>
        </w:rPr>
        <w:t>V5 的成本结构主要是一次性硬件和模型文件成本，运行时不需要按病例调用云 API。完整证据场景按平均 3.76 秒/例估算，规则流水线理论吞吐约 957 例/小时；12 帧场景按平均 2.56 秒/例估算，理论吞吐约 1,405 例/小时。真实 UI 使用会受人工选文件、磁盘读取、DICOM 解码和 GGUF 文本生成影响，因此演示吞吐应按更保守数值估计。</w:t>
      </w:r>
    </w:p>
    <w:p>
      <w:pPr>
        <w:spacing w:after="120" w:line="264" w:lineRule="auto"/>
      </w:pPr>
      <w:r>
        <w:rPr>
          <w:rFonts w:ascii="Microsoft YaHei" w:hAnsi="Microsoft YaHei" w:eastAsia="Microsoft YaHei"/>
        </w:rPr>
        <w:t>端到端大型视频模型可能在 EF 或分割任务上更强，但会带来 GPU/NPU 依赖、模型体积、训练时间和移动端迁移成本。V5 选择小模型校准和规则融合，是为了确保超声设备旁的普通 PC 可跑、移动端后续可迁移，并且每条诊断都有特征证据和规则路径可追踪。</w:t>
      </w:r>
    </w:p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限制与下一步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</w:rPr>
        <w:t>本地 60 例测试集规模有限，且来自授权本地数据，不是公开多中心盲法验证集。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</w:rPr>
        <w:t>报告链接标签是当前 benchmark 的金标准，但不是 2-3 位超声专家独立盲评后的共识标签。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</w:rPr>
        <w:t>TR 在本批数据中全为阳性，PR 和 severe 标签样本不足，不能做有效结论。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</w:rPr>
        <w:t>EchoNet-Dynamic 只增强 A4C B-mode 心功能相关任务，不提供瓣膜反流分级监督。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</w:rPr>
        <w:t>AR、RWMA 和左房扩大在 12 帧抽样下降明显，未来必须增强切面识别、动图分割和标签平衡。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9072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安全边界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20"/>
              </w:rPr>
              <w:t>本系统仅用于医学教学、算法演示和基层参考，不是医疗器械输出，不作为正式临床诊断、治疗建议或医嘱。若患者存在胸痛、晕厥、明显呼吸困难、低血压、发绀或急性心衰表现，应直接进入正式医疗流程并由有资质医师复核。</w:t>
            </w:r>
          </w:p>
        </w:tc>
      </w:tr>
    </w:tbl>
    <w:p/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可复现信息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V5 根目录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&lt;V5_ROOT&gt;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PC 应用目录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&lt;V5_ROOT&gt;\05_pc_v5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完整证据 run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runs\echobench_20260604_114319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 帧 run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runs\echobench_20260604_114016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EchoNet 训练报告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training\echonet_v5\training_report.json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 图表脚本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reports\make_benchmark_figures.R</w:t>
            </w:r>
          </w:p>
        </w:tc>
      </w:tr>
    </w:tbl>
    <w:p/>
    <w:p>
      <w:pPr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参考文献</w:t>
      </w:r>
    </w:p>
    <w:p>
      <w:pPr>
        <w:spacing w:after="120" w:line="252" w:lineRule="auto"/>
        <w:ind w:left="432" w:hanging="432"/>
      </w:pPr>
      <w:r>
        <w:rPr>
          <w:rFonts w:ascii="Microsoft YaHei" w:hAnsi="Microsoft YaHei" w:eastAsia="Microsoft YaHei"/>
          <w:sz w:val="18"/>
        </w:rPr>
        <w:t>FDA, Health Canada, &amp; Medicines and Healthcare products Regulatory Agency. (2021). Good machine learning practice for medical device development: Guiding principles. https://www.gov.uk/government/publications/good-machine-learning-practice-for-medical-device-development-guiding-principles</w:t>
      </w:r>
    </w:p>
    <w:p>
      <w:pPr>
        <w:spacing w:after="120" w:line="252" w:lineRule="auto"/>
        <w:ind w:left="432" w:hanging="432"/>
      </w:pPr>
      <w:r>
        <w:rPr>
          <w:rFonts w:ascii="Microsoft YaHei" w:hAnsi="Microsoft YaHei" w:eastAsia="Microsoft YaHei"/>
          <w:sz w:val="18"/>
        </w:rPr>
        <w:t>ggml-org. (n.d.). GGUF file format - llama.cpp. Retrieved June 4, 2026, from https://www.mintlify.com/ggml-org/llama.cpp/concepts/gguf-format</w:t>
      </w:r>
    </w:p>
    <w:p>
      <w:pPr>
        <w:spacing w:after="120" w:line="252" w:lineRule="auto"/>
        <w:ind w:left="432" w:hanging="432"/>
      </w:pPr>
      <w:r>
        <w:rPr>
          <w:rFonts w:ascii="Microsoft YaHei" w:hAnsi="Microsoft YaHei" w:eastAsia="Microsoft YaHei"/>
          <w:sz w:val="18"/>
        </w:rPr>
        <w:t>Google AI for Developers. (n.d.). Get started with Gemma models. Retrieved June 4, 2026, from https://ai.google.dev/gemma/docs/get_started</w:t>
      </w:r>
    </w:p>
    <w:p>
      <w:pPr>
        <w:spacing w:after="120" w:line="252" w:lineRule="auto"/>
        <w:ind w:left="432" w:hanging="432"/>
      </w:pPr>
      <w:r>
        <w:rPr>
          <w:rFonts w:ascii="Microsoft YaHei" w:hAnsi="Microsoft YaHei" w:eastAsia="Microsoft YaHei"/>
          <w:sz w:val="18"/>
        </w:rPr>
        <w:t>Lang, R. M., Badano, L. P., Mor-Avi, V., Afilalo, J., Armstrong, A., Ernande, L., Flachskampf, F. A., Foster, E., Goldstein, S. A., Kuznetsova, T., Lancellotti, P., Muraru, D., Picard, M. H., Rietzschel, E. R., Rudski, L., Spencer, K. T., Tsang, W., &amp; Voigt, J.-U. (2015). Recommendations for cardiac chamber quantification by echocardiography in adults: An update from the American Society of Echocardiography and the European Association of Cardiovascular Imaging. Journal of the American Society of Echocardiography, 28(1), 1-39.e14. https://doi.org/10.1016/j.echo.2014.10.003</w:t>
      </w:r>
    </w:p>
    <w:p>
      <w:pPr>
        <w:spacing w:after="120" w:line="252" w:lineRule="auto"/>
        <w:ind w:left="432" w:hanging="432"/>
      </w:pPr>
      <w:r>
        <w:rPr>
          <w:rFonts w:ascii="Microsoft YaHei" w:hAnsi="Microsoft YaHei" w:eastAsia="Microsoft YaHei"/>
          <w:sz w:val="18"/>
        </w:rPr>
        <w:t>Leclerc, S., Smistad, E., Pedrosa, J., Ostvik, A., Cervenansky, F., Espinosa, F., Espeland, T., Berg, E. A. R., Jodoin, P.-M., Grenier, T., Lartizien, C., Dhooge, J., Lovstakken, L., Bernard, O., &amp; Grenier, T. (2019). Deep learning for segmentation using an open large-scale dataset in 2D echocardiography. IEEE Transactions on Medical Imaging, 38(9), 2198-2210. https://doi.org/10.1109/TMI.2019.2900516</w:t>
      </w:r>
    </w:p>
    <w:p>
      <w:pPr>
        <w:spacing w:after="120" w:line="252" w:lineRule="auto"/>
        <w:ind w:left="432" w:hanging="432"/>
      </w:pPr>
      <w:r>
        <w:rPr>
          <w:rFonts w:ascii="Microsoft YaHei" w:hAnsi="Microsoft YaHei" w:eastAsia="Microsoft YaHei"/>
          <w:sz w:val="18"/>
        </w:rPr>
        <w:t>MLCommons. (n.d.-a). MLPerf Client. Retrieved June 4, 2026, from https://mlcommons.org/benchmarks/client/</w:t>
      </w:r>
    </w:p>
    <w:p>
      <w:pPr>
        <w:spacing w:after="120" w:line="252" w:lineRule="auto"/>
        <w:ind w:left="432" w:hanging="432"/>
      </w:pPr>
      <w:r>
        <w:rPr>
          <w:rFonts w:ascii="Microsoft YaHei" w:hAnsi="Microsoft YaHei" w:eastAsia="Microsoft YaHei"/>
          <w:sz w:val="18"/>
        </w:rPr>
        <w:t>MLCommons. (n.d.-b). MLPerf Inference benchmarks. Retrieved June 4, 2026, from https://docs.mlcommons.org/inference/</w:t>
      </w:r>
    </w:p>
    <w:p>
      <w:pPr>
        <w:spacing w:after="120" w:line="252" w:lineRule="auto"/>
        <w:ind w:left="432" w:hanging="432"/>
      </w:pPr>
      <w:r>
        <w:rPr>
          <w:rFonts w:ascii="Microsoft YaHei" w:hAnsi="Microsoft YaHei" w:eastAsia="Microsoft YaHei"/>
          <w:sz w:val="18"/>
        </w:rPr>
        <w:t>MLCommons. (n.d.-c). MedPerf: An open benchmarking platform for medical artificial intelligence using federated evaluation. Retrieved June 4, 2026, from https://github.com/mlcommons/medperf</w:t>
      </w:r>
    </w:p>
    <w:p>
      <w:pPr>
        <w:spacing w:after="120" w:line="252" w:lineRule="auto"/>
        <w:ind w:left="432" w:hanging="432"/>
      </w:pPr>
      <w:r>
        <w:rPr>
          <w:rFonts w:ascii="Microsoft YaHei" w:hAnsi="Microsoft YaHei" w:eastAsia="Microsoft YaHei"/>
          <w:sz w:val="18"/>
        </w:rPr>
        <w:t>OpenAI. (2025). Introducing HealthBench. https://openai.com/index/healthbench/</w:t>
      </w:r>
    </w:p>
    <w:p>
      <w:pPr>
        <w:spacing w:after="120" w:line="252" w:lineRule="auto"/>
        <w:ind w:left="432" w:hanging="432"/>
      </w:pPr>
      <w:r>
        <w:rPr>
          <w:rFonts w:ascii="Microsoft YaHei" w:hAnsi="Microsoft YaHei" w:eastAsia="Microsoft YaHei"/>
          <w:sz w:val="18"/>
        </w:rPr>
        <w:t>Ouyang, D., He, B., Ghorbani, A., Yuan, N., Ebinger, J., Langlotz, C. P., Heidenreich, P. A., Harrington, R. A., Liang, D. H., Ashley, E. A., &amp; Zou, J. Y. (2020). Video-based AI for beat-to-beat assessment of cardiac function. Nature, 580(7802), 252-256. https://doi.org/10.1038/s41586-020-2145-8</w:t>
      </w:r>
    </w:p>
    <w:p>
      <w:pPr>
        <w:spacing w:after="120" w:line="252" w:lineRule="auto"/>
        <w:ind w:left="432" w:hanging="432"/>
      </w:pPr>
      <w:r>
        <w:rPr>
          <w:rFonts w:ascii="Microsoft YaHei" w:hAnsi="Microsoft YaHei" w:eastAsia="Microsoft YaHei"/>
          <w:sz w:val="18"/>
        </w:rPr>
        <w:t>Zoghbi, W. A., Adams, D., Bonow, R. O., Enriquez-Sarano, M., Foster, E., Grayburn, P. A., Hahn, R. T., Han, Y., Hung, J., Lang, R. M., Little, S. H., Shah, D. J., Shernan, S., Thavendiranathan, P., Thomas, J. D., &amp; Weissman, N. J. (2017). Recommendations for noninvasive evaluation of native valvular regurgitation: A report from the American Society of Echocardiography developed in collaboration with the Society for Cardiovascular Magnetic Resonance. Journal of the American Society of Echocardiography, 30(4), 303-371. https://doi.org/10.1016/j.echo.2017.01.007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>医学教学与算法演示用途，不作为临床诊断或治疗建议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8"/>
      </w:rPr>
      <w:t>CardioConsult PC V5 EchoBench 技术报告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