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CardioConsult 密集验证总报告</w:t>
      </w:r>
    </w:p>
    <w:p>
      <w:pPr>
        <w:spacing w:after="240"/>
      </w:pPr>
      <w:r>
        <w:rPr>
          <w:color w:val="555555"/>
          <w:sz w:val="21"/>
        </w:rPr>
        <w:t>由 MASTER_VALIDATION_REPORT.md 自动转换生成</w:t>
      </w:r>
    </w:p>
    <w:p>
      <w:pPr>
        <w:pStyle w:val="Heading2"/>
      </w:pPr>
      <w:r>
        <w:t>三阶段计划</w:t>
      </w:r>
    </w:p>
    <w:p>
      <w:pPr>
        <w:pStyle w:val="ListNumber"/>
        <w:spacing w:after="160"/>
      </w:pPr>
      <w:r>
        <w:t>第一阶段：B-Mode 算法验证，覆盖预处理、GLDM 特征、PSNR/SNR、特征与分类/回归代理任务的关系。</w:t>
      </w:r>
    </w:p>
    <w:p>
      <w:pPr>
        <w:pStyle w:val="ListNumber"/>
        <w:spacing w:after="160"/>
      </w:pPr>
      <w:r>
        <w:t>第二阶段：彩色多普勒算法验证，覆盖 Doppler 活跃区、连通域、喷流宽度、方向一致性、散度和涡量代理；当 EchoXFlow 或 MR 数据导入后，可扩展速度场误差和 Q 判据。</w:t>
      </w:r>
    </w:p>
    <w:p>
      <w:pPr>
        <w:pStyle w:val="ListNumber"/>
        <w:spacing w:after="160"/>
      </w:pPr>
      <w:r>
        <w:t>第三阶段：系统集成与端到端测试，统计诊断文本标签、运行时间、质量分和粗粒度一致性。</w:t>
      </w:r>
    </w:p>
    <w:p>
      <w:pPr>
        <w:pStyle w:val="Heading2"/>
      </w:pPr>
      <w:r>
        <w:t>数据集报告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CAMUS</w:t>
      </w:r>
      <w:r>
        <w:t>: D:\cardioconsult_dense_validation\reports\CAMUS_report.md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EchoNet-Dynamic</w:t>
      </w:r>
      <w:r>
        <w:t>: D:\cardioconsult_dense_validation\reports\EchoNet-Dynamic_report.md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HMC-QU</w:t>
      </w:r>
      <w:r>
        <w:t>: D:\cardioconsult_dense_validation\reports\HMC-QU_report.md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EchoXFlow</w:t>
      </w:r>
      <w:r>
        <w:t>: D:\cardioconsult_dense_validation\reports\EchoXFlow_report.md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MR_Ultrasound_Images</w:t>
      </w:r>
      <w:r>
        <w:t>: D:\cardioconsult_dense_validation\reports\MR_Ultrasound_Images_report.md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local_smoke</w:t>
      </w:r>
      <w:r>
        <w:t>: D:\cardioconsult_dense_validation\reports\local_smoke_report.md</w:t>
      </w:r>
    </w:p>
    <w:p>
      <w:pPr>
        <w:pStyle w:val="Heading2"/>
      </w:pPr>
      <w:r>
        <w:t>合规说明</w:t>
      </w:r>
    </w:p>
    <w:p>
      <w:r>
        <w:t>本工作台不会绕过医学数据集许可。EchoNet-Dynamic、HMC-QU、EchoXFlow 或 MR Ultrasound Images 如需账号、申请或机构授权，应由授权用户取得后放入 manifest 指定目录。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CardioConsult 密集验证总报告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