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1BBB3C66" w:rsidR="00CC3D29" w:rsidRPr="00B4085F" w:rsidRDefault="0027054A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 xml:space="preserve">Golden, CO 80401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AD4D71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03DAFB4E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51596062" w14:textId="0DABC867" w:rsidR="00850EF2" w:rsidRPr="00123C4D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</w:p>
    <w:p w14:paraId="1B617DC7" w14:textId="6FA33CFA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3C6A17B1" w:rsidR="00034DE1" w:rsidRDefault="00A74EAD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4D1BBDD6" w14:textId="202B0018" w:rsidR="00AD4D71" w:rsidRPr="00AD4D71" w:rsidRDefault="00AD4D71" w:rsidP="00AD4D7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Microsoft Office Suite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Excel, Word, PowerPoint, Access</w:t>
      </w:r>
      <w:bookmarkStart w:id="0" w:name="_GoBack"/>
      <w:bookmarkEnd w:id="0"/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14F99E3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 via The Tech Academy Live Projects – Golden, CO</w:t>
      </w:r>
    </w:p>
    <w:p w14:paraId="1F8272C1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373A0A5D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FE6A39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5858DBE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that simulate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classroom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109404BB" w14:textId="77777777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br w:type="page"/>
      </w: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lastRenderedPageBreak/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1409A41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5F269054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657BD8A1" w14:textId="070190D4" w:rsidR="00FF43F2" w:rsidRDefault="00FF43F2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Enjoy and thrive in high pressure, fast-paced environments</w:t>
      </w:r>
    </w:p>
    <w:p w14:paraId="2C65A33D" w14:textId="52341B26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34025F4A" w14:textId="5A0E7598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C22EA5" w14:textId="66AD7CC7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898BCA1" w14:textId="06893A45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30B09D" w14:textId="0302B33D" w:rsidR="005738F9" w:rsidRPr="003245E6" w:rsidRDefault="00AD4D71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="003245E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3245E6">
        <w:rPr>
          <w:rFonts w:ascii="Arial" w:hAnsi="Arial" w:cs="Arial"/>
          <w:b/>
          <w:bCs/>
          <w:sz w:val="18"/>
          <w:szCs w:val="18"/>
        </w:rPr>
        <w:t xml:space="preserve"> </w:t>
      </w:r>
      <w:r w:rsidR="003245E6">
        <w:rPr>
          <w:rFonts w:ascii="Arial" w:hAnsi="Arial" w:cs="Arial"/>
          <w:sz w:val="18"/>
          <w:szCs w:val="18"/>
        </w:rPr>
        <w:t>-</w:t>
      </w:r>
      <w:r w:rsidR="003245E6">
        <w:rPr>
          <w:rFonts w:ascii="Arial" w:hAnsi="Arial" w:cs="Arial"/>
          <w:b/>
          <w:bCs/>
          <w:sz w:val="18"/>
          <w:szCs w:val="18"/>
        </w:rPr>
        <w:t xml:space="preserve"> </w:t>
      </w:r>
      <w:r w:rsidR="005738F9" w:rsidRPr="003245E6">
        <w:rPr>
          <w:rFonts w:ascii="Arial" w:hAnsi="Arial" w:cs="Arial"/>
          <w:sz w:val="18"/>
          <w:szCs w:val="18"/>
        </w:rPr>
        <w:t xml:space="preserve">Van Perrin – Probabilistic Time and Cost Estimation Subject Matter Expert: </w:t>
      </w:r>
    </w:p>
    <w:p w14:paraId="598D0B02" w14:textId="0052D18F" w:rsidR="005738F9" w:rsidRPr="003245E6" w:rsidRDefault="005738F9" w:rsidP="005738F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45E6">
        <w:rPr>
          <w:rFonts w:ascii="Arial" w:hAnsi="Arial" w:cs="Arial"/>
          <w:sz w:val="18"/>
          <w:szCs w:val="18"/>
        </w:rPr>
        <w:t>Chevron, Deepwater Exploration and Production</w:t>
      </w:r>
    </w:p>
    <w:p w14:paraId="2F866390" w14:textId="13CED1C9" w:rsidR="005738F9" w:rsidRDefault="00AD4D71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10" w:history="1">
        <w:r w:rsidR="003245E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3245E6">
        <w:t xml:space="preserve"> - </w:t>
      </w:r>
      <w:r w:rsidR="005738F9" w:rsidRPr="003245E6">
        <w:rPr>
          <w:rFonts w:ascii="Arial" w:hAnsi="Arial" w:cs="Arial"/>
          <w:sz w:val="18"/>
          <w:szCs w:val="18"/>
        </w:rPr>
        <w:t>Robert Rhames – Tech Support Supervisor – Chevron, Deepwater Exploration and Production</w:t>
      </w: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D01CC"/>
    <w:rsid w:val="000E67D5"/>
    <w:rsid w:val="0011168F"/>
    <w:rsid w:val="0011426E"/>
    <w:rsid w:val="00123C4D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4CE8"/>
    <w:rsid w:val="0027054A"/>
    <w:rsid w:val="002708D4"/>
    <w:rsid w:val="00286BEF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40263B"/>
    <w:rsid w:val="00405829"/>
    <w:rsid w:val="00413CA3"/>
    <w:rsid w:val="00414D62"/>
    <w:rsid w:val="00424BB8"/>
    <w:rsid w:val="0043271E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22B85"/>
    <w:rsid w:val="00826A44"/>
    <w:rsid w:val="008445BE"/>
    <w:rsid w:val="00850EF2"/>
    <w:rsid w:val="00866A10"/>
    <w:rsid w:val="008959CB"/>
    <w:rsid w:val="008A4782"/>
    <w:rsid w:val="008B08AC"/>
    <w:rsid w:val="008B7162"/>
    <w:rsid w:val="008C5C92"/>
    <w:rsid w:val="008D0753"/>
    <w:rsid w:val="008E4832"/>
    <w:rsid w:val="008F0A8A"/>
    <w:rsid w:val="00903A3C"/>
    <w:rsid w:val="009053DB"/>
    <w:rsid w:val="0095122A"/>
    <w:rsid w:val="00953108"/>
    <w:rsid w:val="00961C4F"/>
    <w:rsid w:val="00985F81"/>
    <w:rsid w:val="009B17DE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5843"/>
    <w:rsid w:val="00A86062"/>
    <w:rsid w:val="00AB1329"/>
    <w:rsid w:val="00AC6BA3"/>
    <w:rsid w:val="00AD0008"/>
    <w:rsid w:val="00AD4D71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C3D29"/>
    <w:rsid w:val="00CD111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E5334"/>
    <w:rsid w:val="00DE7968"/>
    <w:rsid w:val="00DF082A"/>
    <w:rsid w:val="00E14CA1"/>
    <w:rsid w:val="00E23112"/>
    <w:rsid w:val="00E25C4D"/>
    <w:rsid w:val="00E37D2D"/>
    <w:rsid w:val="00E40E49"/>
    <w:rsid w:val="00E54D68"/>
    <w:rsid w:val="00E650D6"/>
    <w:rsid w:val="00E704EB"/>
    <w:rsid w:val="00E740AF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F9F"/>
    <w:rsid w:val="00F57CC1"/>
    <w:rsid w:val="00F6068D"/>
    <w:rsid w:val="00F70413"/>
    <w:rsid w:val="00F96EB5"/>
    <w:rsid w:val="00FA05BE"/>
    <w:rsid w:val="00FA2C69"/>
    <w:rsid w:val="00FA417C"/>
    <w:rsid w:val="00FB5E83"/>
    <w:rsid w:val="00FC3AE9"/>
    <w:rsid w:val="00FC6D96"/>
    <w:rsid w:val="00FD1526"/>
    <w:rsid w:val="00FD4909"/>
    <w:rsid w:val="00FE6A3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Recommendation%20Letters/Recommendation%20Letter%20-%20Robert%20Rhames.pdf" TargetMode="External"/><Relationship Id="rId4" Type="http://schemas.openxmlformats.org/officeDocument/2006/relationships/settings" Target="settings.xml"/><Relationship Id="rId9" Type="http://schemas.openxmlformats.org/officeDocument/2006/relationships/hyperlink" Target="Recommendation%20Letters/Recommendation%20Letter%20-%20Van%20Per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83D2F-08C0-4BB4-81E7-11F01C84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86</cp:revision>
  <cp:lastPrinted>2019-10-07T18:04:00Z</cp:lastPrinted>
  <dcterms:created xsi:type="dcterms:W3CDTF">2019-07-01T19:05:00Z</dcterms:created>
  <dcterms:modified xsi:type="dcterms:W3CDTF">2019-10-22T20:26:00Z</dcterms:modified>
</cp:coreProperties>
</file>