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C56045">
      <w:pPr>
        <w:spacing w:after="440"/>
        <w:jc w:val="distribute"/>
        <w:rPr>
          <w:rFonts w:hint="eastAsia"/>
        </w:rPr>
      </w:pPr>
      <w:r>
        <w:rPr>
          <w:rFonts w:ascii="Times New Roman" w:hAnsi="Times New Roman" w:eastAsia="华文行楷"/>
          <w:sz w:val="72"/>
        </w:rPr>
        <w:t>上海电力大学</w:t>
      </w:r>
    </w:p>
    <w:p w14:paraId="0A0AED18">
      <w:pPr>
        <w:spacing w:after="800"/>
        <w:jc w:val="center"/>
        <w:rPr>
          <w:rFonts w:hint="eastAsia"/>
        </w:rPr>
      </w:pPr>
      <w:r>
        <w:rPr>
          <w:rFonts w:ascii="Times New Roman" w:hAnsi="Times New Roman" w:eastAsia="华文仿宋"/>
          <w:b/>
          <w:sz w:val="60"/>
        </w:rPr>
        <w:t>《电力人工智能综合实训》</w:t>
      </w:r>
      <w:r>
        <w:rPr>
          <w:rFonts w:ascii="Times New Roman" w:hAnsi="Times New Roman" w:eastAsia="华文仿宋"/>
          <w:b/>
          <w:sz w:val="60"/>
        </w:rPr>
        <w:br w:type="textWrapping"/>
      </w:r>
      <w:r>
        <w:rPr>
          <w:rFonts w:ascii="Times New Roman" w:hAnsi="Times New Roman" w:eastAsia="华文仿宋"/>
          <w:b/>
          <w:sz w:val="60"/>
        </w:rPr>
        <w:t>小组项目报告</w:t>
      </w:r>
    </w:p>
    <w:p w14:paraId="603663C5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学    院：【请填写学院】</w:t>
      </w:r>
    </w:p>
    <w:p w14:paraId="219E634C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专业班级：【请填写专业班级】</w:t>
      </w:r>
    </w:p>
    <w:p w14:paraId="54540F35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组长 / 学号：小组组长 / 【请填写学号】</w:t>
      </w:r>
    </w:p>
    <w:p w14:paraId="37D851BA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队伍名称：小组xx</w:t>
      </w:r>
    </w:p>
    <w:p w14:paraId="00C40E83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实践题目名称：基于时序预测与确定性预警的家庭用电分析可视化系统</w:t>
      </w:r>
    </w:p>
    <w:p w14:paraId="7C6D6511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成员姓名一 / 学号：小组成员1 / 【请填写学号】</w:t>
      </w:r>
    </w:p>
    <w:p w14:paraId="0BCB4733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成员姓名二 / 学号：小组成员2 / 【请填写学号】</w:t>
      </w:r>
    </w:p>
    <w:p w14:paraId="10771E83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成员姓名三 / 学号：小组成员4 / 【请填写学号】</w:t>
      </w:r>
    </w:p>
    <w:p w14:paraId="44DA36CB">
      <w:pPr>
        <w:spacing w:after="200"/>
        <w:ind w:left="624"/>
        <w:rPr>
          <w:rFonts w:hint="eastAsia"/>
        </w:rPr>
      </w:pPr>
      <w:r>
        <w:rPr>
          <w:rFonts w:ascii="Times New Roman" w:hAnsi="Times New Roman"/>
          <w:b/>
          <w:sz w:val="28"/>
        </w:rPr>
        <w:t>指导助教：【请填写指导助教】</w:t>
      </w:r>
    </w:p>
    <w:p w14:paraId="0F9F0B5D">
      <w:pPr>
        <w:rPr>
          <w:rFonts w:hint="eastAsia"/>
        </w:rPr>
        <w:sectPr>
          <w:pgSz w:w="11906" w:h="16838"/>
          <w:pgMar w:top="1440" w:right="1800" w:bottom="1440" w:left="1800" w:header="851" w:footer="992" w:gutter="0"/>
          <w:cols w:space="720" w:num="1"/>
          <w:docGrid w:linePitch="360" w:charSpace="0"/>
        </w:sectPr>
      </w:pPr>
    </w:p>
    <w:p w14:paraId="5BC9E674">
      <w:pPr>
        <w:spacing w:after="400"/>
        <w:jc w:val="center"/>
        <w:rPr>
          <w:rFonts w:hint="eastAsia"/>
        </w:rPr>
      </w:pPr>
      <w:r>
        <w:rPr>
          <w:rFonts w:ascii="Times New Roman" w:hAnsi="Times New Roman"/>
          <w:b/>
          <w:sz w:val="28"/>
        </w:rPr>
        <w:t>报告撰写要求</w:t>
      </w:r>
    </w:p>
    <w:p w14:paraId="6B9ACF60">
      <w:pPr>
        <w:pStyle w:val="14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报告须有明确的题目、摘要、目录（正文页码从1开始编号）、一级和二级标题，题目四号宋体加粗，摘要和各级标题用小四号宋体加粗，正文用小四号宋体，1.25倍行距。</w:t>
      </w:r>
    </w:p>
    <w:p w14:paraId="2D12818C">
      <w:pPr>
        <w:pStyle w:val="14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正文须有相应的图或表，并按顺序在正文中，图的下方或表的上方居中标注图号图名及表号表名。</w:t>
      </w:r>
    </w:p>
    <w:p w14:paraId="3A00B273">
      <w:pPr>
        <w:pStyle w:val="14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每个报告附主要参考文献3-8篇，注意参考文献格式写法统一。</w:t>
      </w:r>
    </w:p>
    <w:p w14:paraId="47CAB068">
      <w:pPr>
        <w:pStyle w:val="14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报告正文排版整洁、规范。</w:t>
      </w:r>
    </w:p>
    <w:p w14:paraId="5184808D">
      <w:pPr>
        <w:rPr>
          <w:rFonts w:hint="eastAsia"/>
        </w:rPr>
        <w:sectPr>
          <w:footerReference r:id="rId5" w:type="default"/>
          <w:pgSz w:w="11906" w:h="16838"/>
          <w:pgMar w:top="1440" w:right="1800" w:bottom="1440" w:left="1800" w:header="851" w:footer="992" w:gutter="0"/>
          <w:cols w:space="720" w:num="1"/>
          <w:docGrid w:linePitch="360" w:charSpace="0"/>
        </w:sectPr>
      </w:pPr>
    </w:p>
    <w:p w14:paraId="7E88AE1F">
      <w:pPr>
        <w:spacing w:after="360"/>
        <w:jc w:val="center"/>
        <w:rPr>
          <w:rFonts w:hint="eastAsia"/>
        </w:rPr>
      </w:pPr>
      <w:r>
        <w:rPr>
          <w:rFonts w:ascii="Times New Roman" w:hAnsi="Times New Roman" w:eastAsia="等线"/>
          <w:b/>
          <w:sz w:val="32"/>
        </w:rPr>
        <w:t>目  录</w:t>
      </w:r>
    </w:p>
    <w:p w14:paraId="167B3689">
      <w:pPr>
        <w:pStyle w:val="26"/>
        <w:tabs>
          <w:tab w:val="right" w:leader="dot" w:pos="8296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"_Toc235620388" </w:instrText>
      </w:r>
      <w:r>
        <w:fldChar w:fldCharType="separate"/>
      </w:r>
      <w:r>
        <w:rPr>
          <w:rStyle w:val="137"/>
          <w:rFonts w:ascii="Times New Roman" w:hAnsi="Times New Roman"/>
        </w:rPr>
        <w:t>摘要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_Toc235620388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FE7E157">
      <w:pPr>
        <w:pStyle w:val="26"/>
        <w:tabs>
          <w:tab w:val="right" w:leader="dot" w:pos="8296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"_Toc235620389" </w:instrText>
      </w:r>
      <w:r>
        <w:fldChar w:fldCharType="separate"/>
      </w:r>
      <w:r>
        <w:rPr>
          <w:rStyle w:val="137"/>
          <w:rFonts w:ascii="Times New Roman" w:hAnsi="Times New Roman"/>
        </w:rPr>
        <w:t>1 引言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_Toc235620389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DBC8997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"_Toc235620390" </w:instrText>
      </w:r>
      <w:r>
        <w:fldChar w:fldCharType="separate"/>
      </w:r>
      <w:r>
        <w:rPr>
          <w:rStyle w:val="137"/>
          <w:rFonts w:ascii="Times New Roman" w:hAnsi="Times New Roman"/>
        </w:rPr>
        <w:t>1.1 项目背景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_Toc235620390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4F74E88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"_Toc235620391" </w:instrText>
      </w:r>
      <w:r>
        <w:fldChar w:fldCharType="separate"/>
      </w:r>
      <w:r>
        <w:rPr>
          <w:rStyle w:val="137"/>
          <w:rFonts w:ascii="Times New Roman" w:hAnsi="Times New Roman"/>
        </w:rPr>
        <w:t>1.2 项目目标与范围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_Toc235620391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E8C87BB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"_Toc235620392" </w:instrText>
      </w:r>
      <w:r>
        <w:fldChar w:fldCharType="separate"/>
      </w:r>
      <w:r>
        <w:rPr>
          <w:rStyle w:val="137"/>
          <w:rFonts w:ascii="Times New Roman" w:hAnsi="Times New Roman"/>
        </w:rPr>
        <w:t>1.3 小组实验分工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_Toc235620392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03FDFFB">
      <w:pPr>
        <w:pStyle w:val="26"/>
        <w:tabs>
          <w:tab w:val="right" w:leader="dot" w:pos="8296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"_Toc235620393" </w:instrText>
      </w:r>
      <w:r>
        <w:fldChar w:fldCharType="separate"/>
      </w:r>
      <w:r>
        <w:rPr>
          <w:rStyle w:val="137"/>
          <w:rFonts w:ascii="Times New Roman" w:hAnsi="Times New Roman"/>
        </w:rPr>
        <w:t>2 相关技术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_Toc235620393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D80923A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"_Toc235620394" </w:instrText>
      </w:r>
      <w:r>
        <w:fldChar w:fldCharType="separate"/>
      </w:r>
      <w:r>
        <w:rPr>
          <w:rStyle w:val="137"/>
          <w:rFonts w:ascii="Times New Roman" w:hAnsi="Times New Roman"/>
        </w:rPr>
        <w:t>2.1 数据处理与可视化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_Toc235620394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8768015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"_Toc235620395" </w:instrText>
      </w:r>
      <w:r>
        <w:fldChar w:fldCharType="separate"/>
      </w:r>
      <w:r>
        <w:rPr>
          <w:rStyle w:val="137"/>
          <w:rFonts w:ascii="Times New Roman" w:hAnsi="Times New Roman"/>
        </w:rPr>
        <w:t>2.2 预测模型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_Toc235620395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51C6446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"_Toc235620396" </w:instrText>
      </w:r>
      <w:r>
        <w:fldChar w:fldCharType="separate"/>
      </w:r>
      <w:r>
        <w:rPr>
          <w:rStyle w:val="137"/>
          <w:rFonts w:ascii="Times New Roman" w:hAnsi="Times New Roman"/>
        </w:rPr>
        <w:t>2.3 共形预测与确定性预警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_Toc235620396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D3F7F35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"_Toc235620397" </w:instrText>
      </w:r>
      <w:r>
        <w:fldChar w:fldCharType="separate"/>
      </w:r>
      <w:r>
        <w:rPr>
          <w:rStyle w:val="137"/>
          <w:rFonts w:ascii="Times New Roman" w:hAnsi="Times New Roman"/>
        </w:rPr>
        <w:t>2.4 简短智能建议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_Toc235620397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80013C9">
      <w:pPr>
        <w:pStyle w:val="26"/>
        <w:tabs>
          <w:tab w:val="right" w:leader="dot" w:pos="8296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"_Toc235620398" </w:instrText>
      </w:r>
      <w:r>
        <w:fldChar w:fldCharType="separate"/>
      </w:r>
      <w:r>
        <w:rPr>
          <w:rStyle w:val="137"/>
          <w:rFonts w:ascii="Times New Roman" w:hAnsi="Times New Roman"/>
        </w:rPr>
        <w:t>3 系统设计与实现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_Toc235620398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603BF7E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"_Toc235620399" </w:instrText>
      </w:r>
      <w:r>
        <w:fldChar w:fldCharType="separate"/>
      </w:r>
      <w:r>
        <w:rPr>
          <w:rStyle w:val="137"/>
          <w:rFonts w:ascii="Times New Roman" w:hAnsi="Times New Roman"/>
        </w:rPr>
        <w:t>3.1 总体架构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_Toc235620399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8D60476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"_Toc235620400" </w:instrText>
      </w:r>
      <w:r>
        <w:fldChar w:fldCharType="separate"/>
      </w:r>
      <w:r>
        <w:rPr>
          <w:rStyle w:val="137"/>
          <w:rFonts w:ascii="Times New Roman" w:hAnsi="Times New Roman"/>
        </w:rPr>
        <w:t>3.2 数据校验与预处理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_Toc235620400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5760BD8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"_Toc235620401" </w:instrText>
      </w:r>
      <w:r>
        <w:fldChar w:fldCharType="separate"/>
      </w:r>
      <w:r>
        <w:rPr>
          <w:rStyle w:val="137"/>
          <w:rFonts w:ascii="Times New Roman" w:hAnsi="Times New Roman"/>
        </w:rPr>
        <w:t>3.3 历史用电分析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_Toc235620401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B1234D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"_Toc235620402" </w:instrText>
      </w:r>
      <w:r>
        <w:fldChar w:fldCharType="separate"/>
      </w:r>
      <w:r>
        <w:rPr>
          <w:rStyle w:val="137"/>
          <w:rFonts w:ascii="Times New Roman" w:hAnsi="Times New Roman"/>
        </w:rPr>
        <w:t>3.4 预测、缓存与导出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_Toc235620402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2A425E6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"_Toc235620403" </w:instrText>
      </w:r>
      <w:r>
        <w:fldChar w:fldCharType="separate"/>
      </w:r>
      <w:r>
        <w:rPr>
          <w:rStyle w:val="137"/>
          <w:rFonts w:ascii="Times New Roman" w:hAnsi="Times New Roman"/>
        </w:rPr>
        <w:t>3.5 历史回放与三类预警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_Toc235620403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E4EDC19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"_Toc235620404" </w:instrText>
      </w:r>
      <w:r>
        <w:fldChar w:fldCharType="separate"/>
      </w:r>
      <w:r>
        <w:rPr>
          <w:rStyle w:val="137"/>
          <w:rFonts w:ascii="Times New Roman" w:hAnsi="Times New Roman"/>
        </w:rPr>
        <w:t>3.6 七页应用实现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_Toc235620404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25E6227">
      <w:pPr>
        <w:pStyle w:val="26"/>
        <w:tabs>
          <w:tab w:val="right" w:leader="dot" w:pos="8296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"_Toc235620405" </w:instrText>
      </w:r>
      <w:r>
        <w:fldChar w:fldCharType="separate"/>
      </w:r>
      <w:r>
        <w:rPr>
          <w:rStyle w:val="137"/>
          <w:rFonts w:ascii="Times New Roman" w:hAnsi="Times New Roman"/>
        </w:rPr>
        <w:t>4 测试与结果分析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_Toc235620405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9E85F6B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"_Toc235620406" </w:instrText>
      </w:r>
      <w:r>
        <w:fldChar w:fldCharType="separate"/>
      </w:r>
      <w:r>
        <w:rPr>
          <w:rStyle w:val="137"/>
          <w:rFonts w:ascii="Times New Roman" w:hAnsi="Times New Roman"/>
        </w:rPr>
        <w:t>4.1 数据校验与历史 KPI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_Toc235620406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2A138E7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"_Toc235620407" </w:instrText>
      </w:r>
      <w:r>
        <w:fldChar w:fldCharType="separate"/>
      </w:r>
      <w:r>
        <w:rPr>
          <w:rStyle w:val="137"/>
          <w:rFonts w:ascii="Times New Roman" w:hAnsi="Times New Roman"/>
        </w:rPr>
        <w:t>4.2 六模型固定测试结果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_Toc235620407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E10D620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"_Toc235620408" </w:instrText>
      </w:r>
      <w:r>
        <w:fldChar w:fldCharType="separate"/>
      </w:r>
      <w:r>
        <w:rPr>
          <w:rStyle w:val="137"/>
          <w:rFonts w:ascii="Times New Roman" w:hAnsi="Times New Roman"/>
        </w:rPr>
        <w:t>4.3 回放与预警验收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_Toc235620408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6F36C29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"_Toc235620409" </w:instrText>
      </w:r>
      <w:r>
        <w:fldChar w:fldCharType="separate"/>
      </w:r>
      <w:r>
        <w:rPr>
          <w:rStyle w:val="137"/>
          <w:rFonts w:ascii="Times New Roman" w:hAnsi="Times New Roman"/>
        </w:rPr>
        <w:t>4.4 智能建议与安全验收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_Toc235620409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3890EFA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"_Toc235620410" </w:instrText>
      </w:r>
      <w:r>
        <w:fldChar w:fldCharType="separate"/>
      </w:r>
      <w:r>
        <w:rPr>
          <w:rStyle w:val="137"/>
          <w:rFonts w:ascii="Times New Roman" w:hAnsi="Times New Roman"/>
        </w:rPr>
        <w:t>4.5 浏览器与工程质量验收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_Toc235620410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C105B80">
      <w:pPr>
        <w:pStyle w:val="26"/>
        <w:tabs>
          <w:tab w:val="right" w:leader="dot" w:pos="8296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"_Toc235620411" </w:instrText>
      </w:r>
      <w:r>
        <w:fldChar w:fldCharType="separate"/>
      </w:r>
      <w:r>
        <w:rPr>
          <w:rStyle w:val="137"/>
          <w:rFonts w:ascii="Times New Roman" w:hAnsi="Times New Roman"/>
        </w:rPr>
        <w:t>5 实践过程中遇到的问题及解决方法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_Toc235620411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A92E655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"_Toc235620412" </w:instrText>
      </w:r>
      <w:r>
        <w:fldChar w:fldCharType="separate"/>
      </w:r>
      <w:r>
        <w:rPr>
          <w:rStyle w:val="137"/>
          <w:rFonts w:ascii="Times New Roman" w:hAnsi="Times New Roman"/>
        </w:rPr>
        <w:t>5.1 长缺失不能被普通插值掩盖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_Toc235620412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09B4ADC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"_Toc235620413" </w:instrText>
      </w:r>
      <w:r>
        <w:fldChar w:fldCharType="separate"/>
      </w:r>
      <w:r>
        <w:rPr>
          <w:rStyle w:val="137"/>
          <w:rFonts w:ascii="Times New Roman" w:hAnsi="Times New Roman"/>
        </w:rPr>
        <w:t>5.2 复杂模型未超过强基线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_Toc235620413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09396B1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"_Toc235620414" </w:instrText>
      </w:r>
      <w:r>
        <w:fldChar w:fldCharType="separate"/>
      </w:r>
      <w:r>
        <w:rPr>
          <w:rStyle w:val="137"/>
          <w:rFonts w:ascii="Times New Roman" w:hAnsi="Times New Roman"/>
        </w:rPr>
        <w:t>5.3 API 能力不能影响核心演示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_Toc235620414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908C3B1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"_Toc235620415" </w:instrText>
      </w:r>
      <w:r>
        <w:fldChar w:fldCharType="separate"/>
      </w:r>
      <w:r>
        <w:rPr>
          <w:rStyle w:val="137"/>
          <w:rFonts w:ascii="Times New Roman" w:hAnsi="Times New Roman"/>
        </w:rPr>
        <w:t>5.4 范围膨胀与交付风险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_Toc235620415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0482A68">
      <w:pPr>
        <w:pStyle w:val="26"/>
        <w:tabs>
          <w:tab w:val="right" w:leader="dot" w:pos="8296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"_Toc235620416" </w:instrText>
      </w:r>
      <w:r>
        <w:fldChar w:fldCharType="separate"/>
      </w:r>
      <w:r>
        <w:rPr>
          <w:rStyle w:val="137"/>
          <w:rFonts w:ascii="Times New Roman" w:hAnsi="Times New Roman"/>
        </w:rPr>
        <w:t>6 总结与展望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_Toc235620416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B8F9334">
      <w:pPr>
        <w:pStyle w:val="26"/>
        <w:tabs>
          <w:tab w:val="right" w:leader="dot" w:pos="8296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"_Toc235620417" </w:instrText>
      </w:r>
      <w:r>
        <w:fldChar w:fldCharType="separate"/>
      </w:r>
      <w:r>
        <w:rPr>
          <w:rStyle w:val="137"/>
          <w:rFonts w:ascii="Times New Roman" w:hAnsi="Times New Roman"/>
        </w:rPr>
        <w:t>7 参考文献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_Toc235620417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E0EE6F1">
      <w:pPr>
        <w:pStyle w:val="26"/>
        <w:tabs>
          <w:tab w:val="right" w:leader="dot" w:pos="8296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"_Toc235620418" </w:instrText>
      </w:r>
      <w:r>
        <w:fldChar w:fldCharType="separate"/>
      </w:r>
      <w:r>
        <w:rPr>
          <w:rStyle w:val="137"/>
          <w:rFonts w:ascii="Times New Roman" w:hAnsi="Times New Roman"/>
        </w:rPr>
        <w:t>8 附录：项目开发及使用文档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_Toc235620418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BE761B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"_Toc235620419" </w:instrText>
      </w:r>
      <w:r>
        <w:fldChar w:fldCharType="separate"/>
      </w:r>
      <w:r>
        <w:rPr>
          <w:rStyle w:val="137"/>
          <w:rFonts w:ascii="Times New Roman" w:hAnsi="Times New Roman"/>
        </w:rPr>
        <w:t>8.1 环境与启动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_Toc235620419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1C5B961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"_Toc235620420" </w:instrText>
      </w:r>
      <w:r>
        <w:fldChar w:fldCharType="separate"/>
      </w:r>
      <w:r>
        <w:rPr>
          <w:rStyle w:val="137"/>
          <w:rFonts w:ascii="Times New Roman" w:hAnsi="Times New Roman"/>
        </w:rPr>
        <w:t>8.2 演示与降级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_Toc235620420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965BAB2">
      <w:pPr>
        <w:pStyle w:val="29"/>
        <w:tabs>
          <w:tab w:val="right" w:leader="dot" w:pos="8296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"_Toc235620421" </w:instrText>
      </w:r>
      <w:r>
        <w:fldChar w:fldCharType="separate"/>
      </w:r>
      <w:r>
        <w:rPr>
          <w:rStyle w:val="137"/>
          <w:rFonts w:ascii="Times New Roman" w:hAnsi="Times New Roman"/>
        </w:rPr>
        <w:t>8.3 个人信息与提交前检查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_Toc235620421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23FE637">
      <w:pPr>
        <w:rPr>
          <w:rFonts w:hint="eastAsia"/>
        </w:rPr>
      </w:pPr>
      <w:r>
        <w:fldChar w:fldCharType="end"/>
      </w:r>
    </w:p>
    <w:p w14:paraId="47F3987F">
      <w:pPr>
        <w:rPr>
          <w:rFonts w:hint="eastAsia"/>
        </w:rPr>
        <w:sectPr>
          <w:footerReference r:id="rId6" w:type="default"/>
          <w:pgSz w:w="11906" w:h="16838"/>
          <w:pgMar w:top="1440" w:right="1800" w:bottom="1440" w:left="1800" w:header="851" w:footer="992" w:gutter="0"/>
          <w:cols w:space="720" w:num="1"/>
          <w:docGrid w:linePitch="360" w:charSpace="0"/>
        </w:sectPr>
      </w:pPr>
    </w:p>
    <w:p w14:paraId="00CE5D38">
      <w:pPr>
        <w:spacing w:after="240"/>
        <w:jc w:val="center"/>
        <w:rPr>
          <w:rFonts w:hint="eastAsia"/>
        </w:rPr>
      </w:pPr>
      <w:r>
        <w:rPr>
          <w:rFonts w:ascii="Times New Roman" w:hAnsi="Times New Roman"/>
          <w:b/>
          <w:sz w:val="28"/>
        </w:rPr>
        <w:t>基于时序预测与确定性预警的家庭用电分析可视化系统</w:t>
      </w:r>
    </w:p>
    <w:p w14:paraId="07DAEB9D">
      <w:pPr>
        <w:pStyle w:val="3"/>
        <w:spacing w:before="240" w:after="120"/>
      </w:pPr>
      <w:bookmarkStart w:id="0" w:name="_Toc235620388"/>
      <w:r>
        <w:rPr>
          <w:rFonts w:ascii="Times New Roman" w:hAnsi="Times New Roman" w:eastAsia="宋体"/>
        </w:rPr>
        <w:t>摘要</w:t>
      </w:r>
      <w:bookmarkEnd w:id="0"/>
    </w:p>
    <w:p w14:paraId="748D9756">
      <w:pPr>
        <w:spacing w:after="80"/>
        <w:ind w:firstLine="480"/>
        <w:jc w:val="both"/>
        <w:rPr>
          <w:rFonts w:hint="eastAsia"/>
        </w:rPr>
      </w:pPr>
      <w:r>
        <w:t>本项目面向《电力人工智能综合实训》，基于UCI Individual Household Electric Power Consumption公开数据，构建了本地Streamlit家庭用电智能分析系统。系统完成260,640行分钟数据校验、短缺失插值与长缺失保护、15分钟聚合、历史KPI与周期分析，并在固定月份切分下比较前一时刻、前一日同刻、前一周同刻、Ridge、LSTM和PatchTST六类模型。预测任务使用672个历史点预测未来96个点，并以验证残差构造90%共形预测区间。监测预警页支持点击一次后每0.5秒逐点播放预测与预警；智能建议页已通过OpenAI兼容接口真实验证，可生成较完整的中文建议并一键导出Markdown。固定测试结果中，前一日同刻基线MAE为0.6463 kW，PatchTST为0.6622 kW，项目如实保留复杂模型未超过强季节基线的结果。</w:t>
      </w:r>
    </w:p>
    <w:p w14:paraId="76F3B783">
      <w:pPr>
        <w:ind w:firstLine="480"/>
        <w:rPr>
          <w:rFonts w:hint="eastAsia"/>
        </w:rPr>
      </w:pPr>
      <w:r>
        <w:rPr>
          <w:rFonts w:ascii="Times New Roman" w:hAnsi="Times New Roman"/>
          <w:b/>
        </w:rPr>
        <w:t>关键词：</w:t>
      </w:r>
      <w:r>
        <w:rPr>
          <w:rFonts w:ascii="Times New Roman" w:hAnsi="Times New Roman"/>
        </w:rPr>
        <w:t>家庭用电；时间序列预测；PatchTST；共形预测；确定性预警；Streamlit</w:t>
      </w:r>
    </w:p>
    <w:p w14:paraId="7ED40928">
      <w:pPr>
        <w:pStyle w:val="3"/>
        <w:spacing w:before="240" w:after="120"/>
      </w:pPr>
      <w:bookmarkStart w:id="1" w:name="_Toc235620389"/>
      <w:r>
        <w:rPr>
          <w:rFonts w:ascii="Times New Roman" w:hAnsi="Times New Roman" w:eastAsia="宋体"/>
        </w:rPr>
        <w:t>1 引言</w:t>
      </w:r>
      <w:bookmarkEnd w:id="1"/>
    </w:p>
    <w:p w14:paraId="27704B61">
      <w:pPr>
        <w:pStyle w:val="4"/>
        <w:spacing w:before="160" w:after="120"/>
      </w:pPr>
      <w:bookmarkStart w:id="2" w:name="_Toc235620390"/>
      <w:r>
        <w:rPr>
          <w:rFonts w:ascii="Times New Roman" w:hAnsi="Times New Roman" w:eastAsia="宋体"/>
        </w:rPr>
        <w:t>1.1 项目背景</w:t>
      </w:r>
      <w:bookmarkEnd w:id="2"/>
    </w:p>
    <w:p w14:paraId="1A0887DB">
      <w:pPr>
        <w:ind w:firstLine="480"/>
        <w:rPr>
          <w:rFonts w:hint="eastAsia"/>
        </w:rPr>
      </w:pPr>
      <w:r>
        <w:rPr>
          <w:rFonts w:ascii="Times New Roman" w:hAnsi="Times New Roman"/>
        </w:rPr>
        <w:t>家庭用电数据具有明显的日内周期、周内周期、突发峰值和缺失区段。课程实践不仅要求给出预测结果，还要求对数据质量、模型边界和系统可复现性进行说明。为避免把演示系统误写成真实调度平台，本项目将目标限定为固定数据上的分析、预测、回放、预警与简短建议，不接入真实设备，也不执行费用优化或负荷控制。</w:t>
      </w:r>
    </w:p>
    <w:p w14:paraId="54509833">
      <w:pPr>
        <w:pStyle w:val="4"/>
        <w:spacing w:before="160" w:after="120"/>
      </w:pPr>
      <w:bookmarkStart w:id="3" w:name="_Toc235620391"/>
      <w:r>
        <w:rPr>
          <w:rFonts w:ascii="Times New Roman" w:hAnsi="Times New Roman" w:eastAsia="宋体"/>
        </w:rPr>
        <w:t>1.2 项目目标与范围</w:t>
      </w:r>
      <w:bookmarkEnd w:id="3"/>
    </w:p>
    <w:p w14:paraId="32EBCCD9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固定课程 CSV 的校验、预处理、manifest 和稳定身份。</w:t>
      </w:r>
    </w:p>
    <w:p w14:paraId="1B1E5F06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历史 KPI、趋势、周期和分项分析。</w:t>
      </w:r>
    </w:p>
    <w:p w14:paraId="773039E0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672→96 负荷预测、六模型公平比较和 90% 共形区间。</w:t>
      </w:r>
    </w:p>
    <w:p w14:paraId="10293845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冻结模型推理、离线缓存和 CSV 导出。</w:t>
      </w:r>
    </w:p>
    <w:p w14:paraId="18606624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96 点历史回放，以及数据质量、稳健规则和预测残差预警。</w:t>
      </w:r>
    </w:p>
    <w:p w14:paraId="453B39F6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本地模板建议，以及配置完成后由用户主动触发的一次简短 API 建议。</w:t>
      </w:r>
    </w:p>
    <w:p w14:paraId="0C2B65C4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七页本地 Streamlit 应用与课程 Word/PDF 交付。</w:t>
      </w:r>
    </w:p>
    <w:p w14:paraId="77EBCA0B">
      <w:pPr>
        <w:ind w:firstLine="480"/>
        <w:rPr>
          <w:rFonts w:hint="eastAsia"/>
        </w:rPr>
      </w:pPr>
      <w:r>
        <w:rPr>
          <w:rFonts w:ascii="Times New Roman" w:hAnsi="Times New Roman"/>
        </w:rPr>
        <w:t>本报告不将上传 CSV、字段映射、多数据集、优化决策、完整智能报告、HTML 导出、REST API、Docker、云部署、多用户、通知或真实设备控制描述为已实现功能。</w:t>
      </w:r>
    </w:p>
    <w:p w14:paraId="2BB310E4">
      <w:pPr>
        <w:pStyle w:val="4"/>
        <w:spacing w:before="160" w:after="120"/>
      </w:pPr>
      <w:bookmarkStart w:id="4" w:name="_Toc235620392"/>
      <w:r>
        <w:rPr>
          <w:rFonts w:ascii="Times New Roman" w:hAnsi="Times New Roman" w:eastAsia="宋体"/>
        </w:rPr>
        <w:t>1.3 小组实验分工</w:t>
      </w:r>
      <w:bookmarkEnd w:id="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814"/>
        <w:gridCol w:w="4535"/>
      </w:tblGrid>
      <w:tr w14:paraId="41D86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9BCF47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成员</w:t>
            </w:r>
          </w:p>
        </w:tc>
        <w:tc>
          <w:tcPr>
            <w:tcW w:w="181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6B7F1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学号</w:t>
            </w:r>
          </w:p>
        </w:tc>
        <w:tc>
          <w:tcPr>
            <w:tcW w:w="4535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F7FE03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主要分工（请按实际修改）</w:t>
            </w:r>
          </w:p>
        </w:tc>
      </w:tr>
      <w:tr w14:paraId="5470C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C128BD">
            <w:pPr>
              <w:spacing w:after="0" w:line="252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color w:val="000000"/>
                <w:sz w:val="21"/>
                <w:lang w:val="en-US" w:eastAsia="zh-CN"/>
              </w:rPr>
              <w:t>岑之皓</w:t>
            </w:r>
          </w:p>
        </w:tc>
        <w:tc>
          <w:tcPr>
            <w:tcW w:w="181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449A0C">
            <w:pPr>
              <w:spacing w:after="0" w:line="252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color w:val="000000"/>
                <w:sz w:val="21"/>
                <w:lang w:val="en-US" w:eastAsia="zh-CN"/>
              </w:rPr>
              <w:t>20231646</w:t>
            </w:r>
          </w:p>
        </w:tc>
        <w:tc>
          <w:tcPr>
            <w:tcW w:w="453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6B1D2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需求统筹、总体架构、系统集成、质量验收</w:t>
            </w:r>
          </w:p>
        </w:tc>
      </w:tr>
      <w:tr w14:paraId="7713B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CE2A87">
            <w:pPr>
              <w:spacing w:after="0" w:line="252" w:lineRule="auto"/>
              <w:rPr>
                <w:rFonts w:hint="eastAsia"/>
              </w:rPr>
            </w:pPr>
          </w:p>
        </w:tc>
        <w:tc>
          <w:tcPr>
            <w:tcW w:w="181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231F1">
            <w:pPr>
              <w:spacing w:after="0" w:line="252" w:lineRule="auto"/>
              <w:rPr>
                <w:rFonts w:hint="eastAsia"/>
              </w:rPr>
            </w:pPr>
          </w:p>
        </w:tc>
        <w:tc>
          <w:tcPr>
            <w:tcW w:w="4535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2CD88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数据校验、缺失处理、15分钟聚合、历史用电分析与数据结果复核</w:t>
            </w:r>
          </w:p>
        </w:tc>
      </w:tr>
      <w:tr w14:paraId="27F9E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ABE9EC">
            <w:pPr>
              <w:spacing w:after="0" w:line="252" w:lineRule="auto"/>
              <w:rPr>
                <w:rFonts w:hint="eastAsia"/>
              </w:rPr>
            </w:pPr>
          </w:p>
        </w:tc>
        <w:tc>
          <w:tcPr>
            <w:tcW w:w="181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39D42E">
            <w:pPr>
              <w:spacing w:after="0" w:line="252" w:lineRule="auto"/>
              <w:rPr>
                <w:rFonts w:hint="eastAsia"/>
              </w:rPr>
            </w:pPr>
          </w:p>
        </w:tc>
        <w:tc>
          <w:tcPr>
            <w:tcW w:w="453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DD38F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基线/LSTM/PatchTST训练、共形区间、模型评估与结果分析</w:t>
            </w:r>
          </w:p>
        </w:tc>
      </w:tr>
      <w:tr w14:paraId="42FBF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674BC3">
            <w:pPr>
              <w:spacing w:after="0" w:line="252" w:lineRule="auto"/>
              <w:rPr>
                <w:rFonts w:hint="eastAsia"/>
              </w:rPr>
            </w:pPr>
            <w:bookmarkStart w:id="34" w:name="_GoBack"/>
            <w:bookmarkEnd w:id="34"/>
          </w:p>
        </w:tc>
        <w:tc>
          <w:tcPr>
            <w:tcW w:w="181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D24E62">
            <w:pPr>
              <w:spacing w:after="0" w:line="252" w:lineRule="auto"/>
              <w:rPr>
                <w:rFonts w:hint="eastAsia"/>
              </w:rPr>
            </w:pPr>
          </w:p>
        </w:tc>
        <w:tc>
          <w:tcPr>
            <w:tcW w:w="4535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15D793">
            <w:pPr>
              <w:spacing w:after="0" w:line="252" w:lineRule="auto"/>
              <w:rPr>
                <w:rFonts w:hint="eastAsia"/>
              </w:rPr>
            </w:pPr>
            <w:r>
              <w:rPr>
                <w:color w:val="000000"/>
                <w:sz w:val="21"/>
              </w:rPr>
              <w:t>界面联调、自动化测试、截图整理与答辩演示支持</w:t>
            </w:r>
          </w:p>
        </w:tc>
      </w:tr>
    </w:tbl>
    <w:p w14:paraId="5664FB13">
      <w:pPr>
        <w:spacing w:after="20"/>
        <w:rPr>
          <w:rFonts w:hint="eastAsia"/>
        </w:rPr>
      </w:pPr>
    </w:p>
    <w:p w14:paraId="7B00FB83">
      <w:pPr>
        <w:pStyle w:val="3"/>
        <w:spacing w:before="240" w:after="120"/>
      </w:pPr>
      <w:bookmarkStart w:id="5" w:name="_Toc235620393"/>
      <w:r>
        <w:rPr>
          <w:rFonts w:ascii="Times New Roman" w:hAnsi="Times New Roman" w:eastAsia="宋体"/>
        </w:rPr>
        <w:t>2 相关技术</w:t>
      </w:r>
      <w:bookmarkEnd w:id="5"/>
    </w:p>
    <w:p w14:paraId="6FBDDB34">
      <w:pPr>
        <w:pStyle w:val="4"/>
        <w:spacing w:before="160" w:after="120"/>
      </w:pPr>
      <w:bookmarkStart w:id="6" w:name="_Toc235620394"/>
      <w:r>
        <w:rPr>
          <w:rFonts w:ascii="Times New Roman" w:hAnsi="Times New Roman" w:eastAsia="宋体"/>
        </w:rPr>
        <w:t>2.1 数据处理与可视化</w:t>
      </w:r>
      <w:bookmarkEnd w:id="6"/>
    </w:p>
    <w:p w14:paraId="618F5B97">
      <w:pPr>
        <w:ind w:firstLine="480"/>
        <w:rPr>
          <w:rFonts w:hint="eastAsia"/>
        </w:rPr>
      </w:pPr>
      <w:r>
        <w:rPr>
          <w:rFonts w:ascii="Times New Roman" w:hAnsi="Times New Roman"/>
        </w:rPr>
        <w:t>pandas、NumPy 与 PyArrow 用于解析、清洗、聚合和 Parquet 读写；Plotly 用于交互式趋势图、周期图和预测区间图；Streamlit 用于构建七页本地应用。时序数据存放在 Parquet，SQLite 只保存轻量元数据，避免把 26 万行原始或聚合时序重复写入数据库。</w:t>
      </w:r>
    </w:p>
    <w:p w14:paraId="53B999E1">
      <w:pPr>
        <w:pStyle w:val="4"/>
        <w:spacing w:before="160" w:after="120"/>
      </w:pPr>
      <w:bookmarkStart w:id="7" w:name="_Toc235620395"/>
      <w:r>
        <w:rPr>
          <w:rFonts w:ascii="Times New Roman" w:hAnsi="Times New Roman" w:eastAsia="宋体"/>
        </w:rPr>
        <w:t>2.2 预测模型</w:t>
      </w:r>
      <w:bookmarkEnd w:id="7"/>
    </w:p>
    <w:p w14:paraId="12512768">
      <w:pPr>
        <w:ind w:firstLine="480"/>
        <w:rPr>
          <w:rFonts w:hint="eastAsia"/>
        </w:rPr>
      </w:pPr>
      <w:r>
        <w:rPr>
          <w:rFonts w:ascii="Times New Roman" w:hAnsi="Times New Roman"/>
        </w:rPr>
        <w:t>朴素基线包括前一时刻、前一日同刻和前一周同刻，用于检验复杂模型是否真正增加价值。Ridge 通过 L2 正则化抑制多重共线性；LSTM 通过门控结构建模长短期依赖；PatchTST 将单变量时间序列切分为 patch，并使用 Transformer 编码局部与长程模式。所有模型使用相同的 672→96 窗口和固定 train/validation/test 切分，缩放器仅在训练段拟合，模型选择只看验证集。</w:t>
      </w:r>
    </w:p>
    <w:p w14:paraId="4E616C04">
      <w:pPr>
        <w:pStyle w:val="4"/>
        <w:spacing w:before="160" w:after="120"/>
      </w:pPr>
      <w:bookmarkStart w:id="8" w:name="_Toc235620396"/>
      <w:r>
        <w:rPr>
          <w:rFonts w:ascii="Times New Roman" w:hAnsi="Times New Roman" w:eastAsia="宋体"/>
        </w:rPr>
        <w:t>2.3 共形预测与确定性预警</w:t>
      </w:r>
      <w:bookmarkEnd w:id="8"/>
    </w:p>
    <w:p w14:paraId="0A79A7E1">
      <w:pPr>
        <w:ind w:firstLine="480"/>
        <w:rPr>
          <w:rFonts w:hint="eastAsia"/>
        </w:rPr>
      </w:pPr>
      <w:r>
        <w:rPr>
          <w:rFonts w:ascii="Times New Roman" w:hAnsi="Times New Roman"/>
        </w:rPr>
        <w:t>90% 预测区间由验证集残差按预测步长校准，区间覆盖率和平均宽度在固定测试集上统计。预警不是由大模型判断：质量预警来自数据 manifest；规则预警阈值来自训练段 median、MAD 和高分位数；残差预警只在真实值落到预测区间之外时生成。相同输入与规则版本产生稳定 alert_id。</w:t>
      </w:r>
    </w:p>
    <w:p w14:paraId="782A0EB8">
      <w:pPr>
        <w:pStyle w:val="4"/>
        <w:spacing w:before="160" w:after="120"/>
      </w:pPr>
      <w:bookmarkStart w:id="9" w:name="_Toc235620397"/>
      <w:r>
        <w:rPr>
          <w:rFonts w:ascii="Times New Roman" w:hAnsi="Times New Roman" w:eastAsia="宋体"/>
        </w:rPr>
        <w:t>2.4 简短智能建议</w:t>
      </w:r>
      <w:bookmarkEnd w:id="9"/>
    </w:p>
    <w:p w14:paraId="00839A97">
      <w:pPr>
        <w:spacing w:after="80"/>
        <w:ind w:firstLine="480"/>
        <w:jc w:val="both"/>
        <w:rPr>
          <w:rFonts w:hint="eastAsia"/>
        </w:rPr>
      </w:pPr>
      <w:r>
        <w:t>智能建议由用户点击后调用已配置的OpenAI兼容Chat Completions接口。系统以当前模型gpt-5.6-luna完成真实项目链路验证，返回mode=api且diagnostic=None。提示词要求从现状判断、峰值管理、日常执行和持续观察四部分生成内容充实的中文建议；生成成功后可一键导出为Markdown文件。</w:t>
      </w:r>
    </w:p>
    <w:p w14:paraId="53CE3C24">
      <w:pPr>
        <w:pStyle w:val="3"/>
        <w:spacing w:before="240" w:after="120"/>
      </w:pPr>
      <w:bookmarkStart w:id="10" w:name="_Toc235620398"/>
      <w:r>
        <w:rPr>
          <w:rFonts w:ascii="Times New Roman" w:hAnsi="Times New Roman" w:eastAsia="宋体"/>
        </w:rPr>
        <w:t>3 系统设计与实现</w:t>
      </w:r>
      <w:bookmarkEnd w:id="10"/>
    </w:p>
    <w:p w14:paraId="29E60E24">
      <w:pPr>
        <w:pStyle w:val="4"/>
        <w:spacing w:before="160" w:after="120"/>
      </w:pPr>
      <w:bookmarkStart w:id="11" w:name="_Toc235620399"/>
      <w:r>
        <w:rPr>
          <w:rFonts w:ascii="Times New Roman" w:hAnsi="Times New Roman" w:eastAsia="宋体"/>
        </w:rPr>
        <w:t>3.1 总体架构</w:t>
      </w:r>
      <w:bookmarkEnd w:id="1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835"/>
        <w:gridCol w:w="3969"/>
      </w:tblGrid>
      <w:tr w14:paraId="540AC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B950F1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层次</w:t>
            </w:r>
          </w:p>
        </w:tc>
        <w:tc>
          <w:tcPr>
            <w:tcW w:w="2835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6333E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主要组件</w:t>
            </w:r>
          </w:p>
        </w:tc>
        <w:tc>
          <w:tcPr>
            <w:tcW w:w="3969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CACC41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职责</w:t>
            </w:r>
          </w:p>
        </w:tc>
      </w:tr>
      <w:tr w14:paraId="5E001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A702E3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展示层</w:t>
            </w:r>
          </w:p>
        </w:tc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269CB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七页 Streamlit</w:t>
            </w:r>
          </w:p>
        </w:tc>
        <w:tc>
          <w:tcPr>
            <w:tcW w:w="396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7526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交互、图表、下载与只读诊断</w:t>
            </w:r>
          </w:p>
        </w:tc>
      </w:tr>
      <w:tr w14:paraId="5AA59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CBA116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服务层</w:t>
            </w:r>
          </w:p>
        </w:tc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EFAB26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数据/分析/预测/预警/建议服务</w:t>
            </w:r>
          </w:p>
        </w:tc>
        <w:tc>
          <w:tcPr>
            <w:tcW w:w="396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85A8B3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校验契约、组合业务结果、处理降级</w:t>
            </w:r>
          </w:p>
        </w:tc>
      </w:tr>
      <w:tr w14:paraId="412F5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B7984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算法层</w:t>
            </w:r>
          </w:p>
        </w:tc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59538D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预处理、分析、模型、共形区间、规则</w:t>
            </w:r>
          </w:p>
        </w:tc>
        <w:tc>
          <w:tcPr>
            <w:tcW w:w="396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E722CF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确定性计算与可复现评估</w:t>
            </w:r>
          </w:p>
        </w:tc>
      </w:tr>
      <w:tr w14:paraId="6E38D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243E5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存储层</w:t>
            </w:r>
          </w:p>
        </w:tc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7887F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CSV、Parquet、模型注册表、缓存、SQLite</w:t>
            </w:r>
          </w:p>
        </w:tc>
        <w:tc>
          <w:tcPr>
            <w:tcW w:w="396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03F772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固定数据、时序产物、冻结模型与轻量元数据</w:t>
            </w:r>
          </w:p>
        </w:tc>
      </w:tr>
    </w:tbl>
    <w:p w14:paraId="1631DD5B">
      <w:pPr>
        <w:spacing w:after="20"/>
        <w:rPr>
          <w:rFonts w:hint="eastAsia"/>
        </w:rPr>
      </w:pPr>
    </w:p>
    <w:p w14:paraId="1205AA07">
      <w:pPr>
        <w:pStyle w:val="4"/>
        <w:spacing w:before="160" w:after="120"/>
      </w:pPr>
      <w:bookmarkStart w:id="12" w:name="_Toc235620400"/>
      <w:r>
        <w:rPr>
          <w:rFonts w:ascii="Times New Roman" w:hAnsi="Times New Roman" w:eastAsia="宋体"/>
        </w:rPr>
        <w:t>3.2 数据校验与预处理</w:t>
      </w:r>
      <w:bookmarkEnd w:id="12"/>
    </w:p>
    <w:p w14:paraId="7E588A55">
      <w:pPr>
        <w:ind w:firstLine="480"/>
        <w:rPr>
          <w:rFonts w:hint="eastAsia"/>
        </w:rPr>
      </w:pPr>
      <w:r>
        <w:rPr>
          <w:rFonts w:ascii="Times New Roman" w:hAnsi="Times New Roman"/>
        </w:rPr>
        <w:t>系统首先验证固定 CSV 的字段、时间戳、记录数、缺失标记和只读性，生成 dataset_id。预处理将问号与无法解析值保留为 NaN，对不超过 60 分钟的短缺失在连续段内插值，对长缺失保留掩码并禁止跨段插值；随后按 15 分钟聚合，每桶至少要求 80% 有效分钟，并生成 preprocess_id、Parquet 和 manifest。训练、验证和测试分别固定为 1—4 月、5 月和 6 月。</w:t>
      </w:r>
    </w:p>
    <w:p w14:paraId="25BFDD23">
      <w:pPr>
        <w:pStyle w:val="4"/>
        <w:spacing w:before="160" w:after="120"/>
      </w:pPr>
      <w:bookmarkStart w:id="13" w:name="_Toc235620401"/>
      <w:r>
        <w:rPr>
          <w:rFonts w:ascii="Times New Roman" w:hAnsi="Times New Roman" w:eastAsia="宋体"/>
        </w:rPr>
        <w:t>3.3 历史用电分析</w:t>
      </w:r>
      <w:bookmarkEnd w:id="13"/>
    </w:p>
    <w:p w14:paraId="4C933DBD">
      <w:pPr>
        <w:ind w:firstLine="480"/>
        <w:rPr>
          <w:rFonts w:hint="eastAsia"/>
        </w:rPr>
      </w:pPr>
      <w:r>
        <w:rPr>
          <w:rFonts w:ascii="Times New Roman" w:hAnsi="Times New Roman"/>
        </w:rPr>
        <w:t>分析服务计算覆盖率、累计电量、平均/峰值/最低有功功率，生成趋势降采样、24 小时轮廓、7 天轮廓、工作日/周末轮廓和分项电量。对于 11 条明显为负的未分项电量记录，系统保留原值并禁止给出分项占比，以避免静默截断造成虚假解释。</w:t>
      </w:r>
    </w:p>
    <w:p w14:paraId="47B45413">
      <w:pPr>
        <w:pStyle w:val="4"/>
        <w:spacing w:before="160" w:after="120"/>
      </w:pPr>
      <w:bookmarkStart w:id="14" w:name="_Toc235620402"/>
      <w:r>
        <w:rPr>
          <w:rFonts w:ascii="Times New Roman" w:hAnsi="Times New Roman" w:eastAsia="宋体"/>
        </w:rPr>
        <w:t>3.4 预测、缓存与导出</w:t>
      </w:r>
      <w:bookmarkEnd w:id="14"/>
    </w:p>
    <w:p w14:paraId="6C0A43A0">
      <w:pPr>
        <w:ind w:firstLine="480"/>
        <w:rPr>
          <w:rFonts w:hint="eastAsia"/>
        </w:rPr>
      </w:pPr>
      <w:r>
        <w:rPr>
          <w:rFonts w:ascii="Times New Roman" w:hAnsi="Times New Roman"/>
        </w:rPr>
        <w:t>训练脚本离线生成六个冻结候选模型、缩放器、模型卡、指标和共形校准文件。Streamlit 页面不训练模型；用户选择模型、回测起点和推理设备后主动运行预测。结果身份由数据、模型、起点和配置指纹共同决定，身份完全一致时可复用离线缓存。CSV 导出包含 forecast_id、model_id、run_id、dataset_id、preprocess_id、区间等级和实际设备等审计字段。</w:t>
      </w:r>
    </w:p>
    <w:p w14:paraId="60D15273">
      <w:pPr>
        <w:pStyle w:val="4"/>
        <w:spacing w:before="160" w:after="120"/>
      </w:pPr>
      <w:bookmarkStart w:id="15" w:name="_Toc235620403"/>
      <w:r>
        <w:rPr>
          <w:rFonts w:ascii="Times New Roman" w:hAnsi="Times New Roman" w:eastAsia="宋体"/>
        </w:rPr>
        <w:t>3.5 历史回放与三类预警</w:t>
      </w:r>
      <w:bookmarkEnd w:id="15"/>
    </w:p>
    <w:p w14:paraId="5954F365">
      <w:pPr>
        <w:spacing w:after="80"/>
        <w:ind w:firstLine="480"/>
        <w:jc w:val="both"/>
        <w:rPr>
          <w:rFonts w:hint="eastAsia"/>
        </w:rPr>
      </w:pPr>
      <w:r>
        <w:t>监测预警页读取冻结回测结果。用户选择回放时间与模型并点击“一键启动监测”后，系统从第一个点开始，每0.5秒自动增加一个预测点，同步更新真实/预测曲线、播放进度、当前负荷和已出现预警；播放结束后停止推进，并提供滑块回看任意时间点。页面支持按类型和等级筛选预警并导出CSV。</w:t>
      </w:r>
    </w:p>
    <w:p w14:paraId="2B0A5FEE">
      <w:pPr>
        <w:pStyle w:val="4"/>
        <w:spacing w:before="160" w:after="120"/>
      </w:pPr>
      <w:bookmarkStart w:id="16" w:name="_Toc235620404"/>
      <w:r>
        <w:rPr>
          <w:rFonts w:ascii="Times New Roman" w:hAnsi="Times New Roman" w:eastAsia="宋体"/>
        </w:rPr>
        <w:t>3.6 七页应用实现</w:t>
      </w:r>
      <w:bookmarkEnd w:id="16"/>
    </w:p>
    <w:p w14:paraId="480EF910">
      <w:pPr>
        <w:spacing w:after="80"/>
        <w:ind w:firstLine="480"/>
        <w:jc w:val="both"/>
        <w:rPr>
          <w:rFonts w:hint="eastAsia"/>
        </w:rPr>
      </w:pPr>
      <w:r>
        <w:t>应用由首页、数据中心、用电分析、负荷预测、监测预警、智能建议和系统设置七页组成。首页可测试大模型连接；预测页保留昨日同刻、LSTM和PatchTST三个答辩主模型；监测页提供自动播放；建议页提供详细建议和Markdown导出；根目录start_powerinsight.bat可双击启动系统并自动打开浏览器。</w:t>
      </w:r>
    </w:p>
    <w:p w14:paraId="0175BF38">
      <w:pPr>
        <w:keepNext/>
        <w:jc w:val="center"/>
        <w:rPr>
          <w:rFonts w:hint="eastAsia"/>
        </w:rPr>
      </w:pPr>
      <w:r>
        <w:drawing>
          <wp:inline distT="0" distB="0" distL="0" distR="0">
            <wp:extent cx="5229860" cy="2941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8A1B">
      <w:pPr>
        <w:pStyle w:val="15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 3-1 首页总览（来源：本项目最终运行截图）</w:t>
      </w:r>
    </w:p>
    <w:p w14:paraId="2A000195">
      <w:pPr>
        <w:keepNext/>
        <w:jc w:val="center"/>
        <w:rPr>
          <w:rFonts w:hint="eastAsia"/>
        </w:rPr>
      </w:pPr>
      <w:r>
        <w:drawing>
          <wp:inline distT="0" distB="0" distL="0" distR="0">
            <wp:extent cx="5229860" cy="29419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72F4">
      <w:pPr>
        <w:pStyle w:val="15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 3-2 数据中心（来源：本项目最终运行截图）</w:t>
      </w:r>
    </w:p>
    <w:p w14:paraId="65CBD736">
      <w:pPr>
        <w:rPr>
          <w:rFonts w:hint="eastAsia"/>
        </w:rPr>
      </w:pPr>
      <w:r>
        <w:br w:type="page"/>
      </w:r>
    </w:p>
    <w:p w14:paraId="580C2F99">
      <w:pPr>
        <w:keepNext/>
        <w:jc w:val="center"/>
        <w:rPr>
          <w:rFonts w:hint="eastAsia"/>
        </w:rPr>
      </w:pPr>
      <w:r>
        <w:drawing>
          <wp:inline distT="0" distB="0" distL="0" distR="0">
            <wp:extent cx="5229860" cy="29419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AD985">
      <w:pPr>
        <w:pStyle w:val="15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 3-3 用电分析（来源：本项目最终运行截图）</w:t>
      </w:r>
    </w:p>
    <w:p w14:paraId="77C7B474">
      <w:pPr>
        <w:keepNext/>
        <w:jc w:val="center"/>
        <w:rPr>
          <w:rFonts w:hint="eastAsia"/>
        </w:rPr>
      </w:pPr>
      <w:r>
        <w:drawing>
          <wp:inline distT="0" distB="0" distL="0" distR="0">
            <wp:extent cx="5229860" cy="29419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2D0FC">
      <w:pPr>
        <w:pStyle w:val="15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 3-4 负荷预测与 90% 共形区间（来源：本项目最终运行截图）</w:t>
      </w:r>
    </w:p>
    <w:p w14:paraId="40F81D5A">
      <w:pPr>
        <w:rPr>
          <w:rFonts w:hint="eastAsia"/>
        </w:rPr>
      </w:pPr>
      <w:r>
        <w:br w:type="page"/>
      </w:r>
    </w:p>
    <w:p w14:paraId="098ADC51">
      <w:pPr>
        <w:keepNext/>
        <w:jc w:val="center"/>
        <w:rPr>
          <w:rFonts w:hint="eastAsia"/>
        </w:rPr>
      </w:pPr>
      <w:r>
        <w:drawing>
          <wp:inline distT="0" distB="0" distL="0" distR="0">
            <wp:extent cx="5229860" cy="29419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2C201">
      <w:pPr>
        <w:pStyle w:val="15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 3-5 监测预警每0.5秒逐点自动播放（来源：本项目最终运行截图）</w:t>
      </w:r>
    </w:p>
    <w:p w14:paraId="49496B24">
      <w:pPr>
        <w:keepNext/>
        <w:jc w:val="center"/>
        <w:rPr>
          <w:rFonts w:hint="eastAsia"/>
        </w:rPr>
      </w:pPr>
      <w:r>
        <w:drawing>
          <wp:inline distT="0" distB="0" distL="0" distR="0">
            <wp:extent cx="5229860" cy="29419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288F">
      <w:pPr>
        <w:pStyle w:val="15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 3-6 大模型详细建议与Markdown一键导出（来源：本项目最终运行截图）</w:t>
      </w:r>
    </w:p>
    <w:p w14:paraId="3B40BFAE">
      <w:pPr>
        <w:rPr>
          <w:rFonts w:hint="eastAsia"/>
        </w:rPr>
      </w:pPr>
      <w:r>
        <w:br w:type="page"/>
      </w:r>
    </w:p>
    <w:p w14:paraId="3E0645DC">
      <w:pPr>
        <w:keepNext/>
        <w:jc w:val="center"/>
        <w:rPr>
          <w:rFonts w:hint="eastAsia"/>
        </w:rPr>
      </w:pPr>
      <w:r>
        <w:drawing>
          <wp:inline distT="0" distB="0" distL="0" distR="0">
            <wp:extent cx="5229860" cy="29419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94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2E5FC">
      <w:pPr>
        <w:pStyle w:val="15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图 3-7 系统设置与模型连接状态（来源：本项目最终运行截图）</w:t>
      </w:r>
    </w:p>
    <w:p w14:paraId="172DBEF4">
      <w:pPr>
        <w:pStyle w:val="3"/>
        <w:spacing w:before="240" w:after="120"/>
      </w:pPr>
      <w:bookmarkStart w:id="17" w:name="_Toc235620405"/>
      <w:r>
        <w:rPr>
          <w:rFonts w:ascii="Times New Roman" w:hAnsi="Times New Roman" w:eastAsia="宋体"/>
        </w:rPr>
        <w:t>4 测试与结果分析</w:t>
      </w:r>
      <w:bookmarkEnd w:id="17"/>
    </w:p>
    <w:p w14:paraId="51035847">
      <w:pPr>
        <w:pStyle w:val="4"/>
        <w:spacing w:before="160" w:after="120"/>
      </w:pPr>
      <w:bookmarkStart w:id="18" w:name="_Toc235620406"/>
      <w:r>
        <w:rPr>
          <w:rFonts w:ascii="Times New Roman" w:hAnsi="Times New Roman" w:eastAsia="宋体"/>
        </w:rPr>
        <w:t>4.1 数据校验与历史 KPI</w:t>
      </w:r>
      <w:bookmarkEnd w:id="1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5329"/>
      </w:tblGrid>
      <w:tr w14:paraId="6B365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5E7A2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项目</w:t>
            </w:r>
          </w:p>
        </w:tc>
        <w:tc>
          <w:tcPr>
            <w:tcW w:w="5329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8011C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实测结果</w:t>
            </w:r>
          </w:p>
        </w:tc>
      </w:tr>
      <w:tr w14:paraId="09458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54E3EF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dataset_id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B90019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ds_household_power_c79e3e19</w:t>
            </w:r>
          </w:p>
        </w:tc>
      </w:tr>
      <w:tr w14:paraId="1DCB4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A72E55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preprocess_id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A95916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prep_c79e3e19_cb65036717cf</w:t>
            </w:r>
          </w:p>
        </w:tc>
      </w:tr>
      <w:tr w14:paraId="6B14C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0FE14E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原始记录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432CA6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260,640 行</w:t>
            </w:r>
          </w:p>
        </w:tc>
      </w:tr>
      <w:tr w14:paraId="2D9D9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683AE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问号缺失行 / 缺失段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A8DFC7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3,771 行 / 13 段</w:t>
            </w:r>
          </w:p>
        </w:tc>
      </w:tr>
      <w:tr w14:paraId="4FDF9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DCAAE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最长缺失段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35252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3,723 分钟</w:t>
            </w:r>
          </w:p>
        </w:tc>
      </w:tr>
      <w:tr w14:paraId="1B91C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FDFE33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短缺失插值 / 长缺失保留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0DCD82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48 行 / 3,723 行</w:t>
            </w:r>
          </w:p>
        </w:tc>
      </w:tr>
      <w:tr w14:paraId="13FA1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4D9757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15 分钟点数 / 有效点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B3BA2D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17,376 / 17,127</w:t>
            </w:r>
          </w:p>
        </w:tc>
      </w:tr>
      <w:tr w14:paraId="7422B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EFAA9C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覆盖率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712845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98.567%</w:t>
            </w:r>
          </w:p>
        </w:tc>
      </w:tr>
      <w:tr w14:paraId="22488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58F6BF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累计有功电量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FEE29D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4,988.285 kWh</w:t>
            </w:r>
          </w:p>
        </w:tc>
      </w:tr>
      <w:tr w14:paraId="09068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E91AA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平均 / 峰值 / 最低功率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B0C872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1.1650 / 8.2311 / 0.0840 kW</w:t>
            </w:r>
          </w:p>
        </w:tc>
      </w:tr>
      <w:tr w14:paraId="53A62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1C5ED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峰值时间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6F874B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2007-02-22 21:00</w:t>
            </w:r>
          </w:p>
        </w:tc>
      </w:tr>
      <w:tr w14:paraId="573E4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4B2E1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分项电量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342A0E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342.274 / 429.190 / 1,498.457 kWh；未分项 2,718.365 kWh</w:t>
            </w:r>
          </w:p>
        </w:tc>
      </w:tr>
    </w:tbl>
    <w:p w14:paraId="0AEB3DF8">
      <w:pPr>
        <w:spacing w:after="20"/>
        <w:rPr>
          <w:rFonts w:hint="eastAsia"/>
        </w:rPr>
      </w:pPr>
    </w:p>
    <w:p w14:paraId="7DB50272">
      <w:pPr>
        <w:ind w:firstLine="480"/>
        <w:rPr>
          <w:rFonts w:hint="eastAsia"/>
        </w:rPr>
      </w:pPr>
      <w:r>
        <w:rPr>
          <w:rFonts w:ascii="Times New Roman" w:hAnsi="Times New Roman"/>
        </w:rPr>
        <w:t>全范围分析状态为 attention，原因是数据包含长缺失段和 11 条负未分项记录。该状态是被保留的真实质量限制，不表示系统失败。冷查询分析中位耗时约 0.079 s，重复同条件查询返回相同 KPI。</w:t>
      </w:r>
    </w:p>
    <w:p w14:paraId="242BC7D3">
      <w:pPr>
        <w:pStyle w:val="4"/>
        <w:spacing w:before="160" w:after="120"/>
      </w:pPr>
      <w:bookmarkStart w:id="19" w:name="_Toc235620407"/>
      <w:r>
        <w:rPr>
          <w:rFonts w:ascii="Times New Roman" w:hAnsi="Times New Roman" w:eastAsia="宋体"/>
        </w:rPr>
        <w:t>4.2 六模型固定测试结果</w:t>
      </w:r>
      <w:bookmarkEnd w:id="19"/>
    </w:p>
    <w:p w14:paraId="3E9DBF98">
      <w:pPr>
        <w:pStyle w:val="15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表 4-1 六模型固定测试集点预测指标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134"/>
        <w:gridCol w:w="1134"/>
        <w:gridCol w:w="1134"/>
        <w:gridCol w:w="1134"/>
        <w:gridCol w:w="1134"/>
      </w:tblGrid>
      <w:tr w14:paraId="5A05F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CC112C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模型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B8E7D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MAE/kW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56328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RMSE/kW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DCDB60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WAPE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D8E18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sMAPE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50778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R²</w:t>
            </w:r>
          </w:p>
        </w:tc>
      </w:tr>
      <w:tr w14:paraId="51E4E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24592E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前一时刻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7E107B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0.7327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4AFF32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1.1212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D0A1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93.18%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E7ED0B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78.96%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7D81B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-0.6481</w:t>
            </w:r>
          </w:p>
        </w:tc>
      </w:tr>
      <w:tr w14:paraId="62411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F3BAAE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前一日同刻（默认）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4D992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0.6463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F83A64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1.0526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E4D90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82.18%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66E56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69.44%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7C07B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-0.4526</w:t>
            </w:r>
          </w:p>
        </w:tc>
      </w:tr>
      <w:tr w14:paraId="6D9B9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98162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前一周同刻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96179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0.6761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145586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1.0869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21C2B5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85.97%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37691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69.22%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C7F2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-0.5488</w:t>
            </w:r>
          </w:p>
        </w:tc>
      </w:tr>
      <w:tr w14:paraId="66141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2320E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Ridge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B2E21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0.7008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9761F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0.9464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963EFC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89.12%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FB25DC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94.46%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E83A5F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-0.1743</w:t>
            </w:r>
          </w:p>
        </w:tc>
      </w:tr>
      <w:tr w14:paraId="7BE40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299B3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小型 LSTM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34CAB2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0.7629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510B9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0.9239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35B216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97.01%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FDCBDC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92.89%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8296E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-0.1192</w:t>
            </w:r>
          </w:p>
        </w:tc>
      </w:tr>
      <w:tr w14:paraId="4F6CE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431803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小型单变量 PatchTST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FD181C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0.6622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92CF19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0.8753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1FE59F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84.21%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B8E232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87.03%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CA856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-0.0046</w:t>
            </w:r>
          </w:p>
        </w:tc>
      </w:tr>
    </w:tbl>
    <w:p w14:paraId="1EEEEE58">
      <w:pPr>
        <w:spacing w:after="20"/>
        <w:rPr>
          <w:rFonts w:hint="eastAsia"/>
        </w:rPr>
      </w:pPr>
    </w:p>
    <w:p w14:paraId="4F3A6223">
      <w:pPr>
        <w:pStyle w:val="15"/>
        <w:keepNext/>
        <w:spacing w:before="60" w:after="160"/>
        <w:jc w:val="center"/>
        <w:rPr>
          <w:rFonts w:hint="eastAsia"/>
        </w:rPr>
      </w:pPr>
      <w:r>
        <w:rPr>
          <w:rFonts w:ascii="Times New Roman" w:hAnsi="Times New Roman"/>
          <w:sz w:val="21"/>
        </w:rPr>
        <w:t>表 4-2 验证 MAE 与 90% 区间结果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701"/>
        <w:gridCol w:w="1701"/>
        <w:gridCol w:w="1814"/>
      </w:tblGrid>
      <w:tr w14:paraId="1BE2C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948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D3AD16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模型</w:t>
            </w:r>
          </w:p>
        </w:tc>
        <w:tc>
          <w:tcPr>
            <w:tcW w:w="1701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A3ECB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验证 MAE/kW</w:t>
            </w:r>
          </w:p>
        </w:tc>
        <w:tc>
          <w:tcPr>
            <w:tcW w:w="1701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BC625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覆盖率</w:t>
            </w:r>
          </w:p>
        </w:tc>
        <w:tc>
          <w:tcPr>
            <w:tcW w:w="181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15C99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平均宽度/kW</w:t>
            </w:r>
          </w:p>
        </w:tc>
      </w:tr>
      <w:tr w14:paraId="1B6D8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D3764B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前一时刻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6E0CD6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0.7004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EF55A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92.12%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B6587E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3.0909</w:t>
            </w:r>
          </w:p>
        </w:tc>
      </w:tr>
      <w:tr w14:paraId="0D778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A5AF5F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前一日同刻（默认）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45AF7F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0.7433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6A68C4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94.07%</w:t>
            </w:r>
          </w:p>
        </w:tc>
        <w:tc>
          <w:tcPr>
            <w:tcW w:w="181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41E193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3.1647</w:t>
            </w:r>
          </w:p>
        </w:tc>
      </w:tr>
      <w:tr w14:paraId="4AC9D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1BC36F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前一周同刻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543A7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0.6726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A13EB4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94.11%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EF3B7C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3.1823</w:t>
            </w:r>
          </w:p>
        </w:tc>
      </w:tr>
      <w:tr w14:paraId="5A2B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74F49B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Ridge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D8B142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0.7256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14E75F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96.06%</w:t>
            </w:r>
          </w:p>
        </w:tc>
        <w:tc>
          <w:tcPr>
            <w:tcW w:w="181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FD22C6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3.1216</w:t>
            </w:r>
          </w:p>
        </w:tc>
      </w:tr>
      <w:tr w14:paraId="3F8A0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4C89C6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小型 LSTM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4E4CCA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0.7545</w:t>
            </w:r>
          </w:p>
        </w:tc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E4D5C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93.21%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E8DD99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3.0286</w:t>
            </w:r>
          </w:p>
        </w:tc>
      </w:tr>
      <w:tr w14:paraId="01A73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6B537E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小型单变量 PatchTST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6EE7DB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0.7148</w:t>
            </w:r>
          </w:p>
        </w:tc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C1A9A7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96.20%</w:t>
            </w:r>
          </w:p>
        </w:tc>
        <w:tc>
          <w:tcPr>
            <w:tcW w:w="181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96577D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2.8738</w:t>
            </w:r>
          </w:p>
        </w:tc>
      </w:tr>
    </w:tbl>
    <w:p w14:paraId="08235FDB">
      <w:pPr>
        <w:spacing w:after="20"/>
        <w:rPr>
          <w:rFonts w:hint="eastAsia"/>
        </w:rPr>
      </w:pPr>
    </w:p>
    <w:p w14:paraId="5021178C">
      <w:pPr>
        <w:ind w:firstLine="480"/>
        <w:rPr>
          <w:rFonts w:hint="eastAsia"/>
        </w:rPr>
      </w:pPr>
      <w:r>
        <w:rPr>
          <w:rFonts w:ascii="Times New Roman" w:hAnsi="Times New Roman"/>
        </w:rPr>
        <w:t>前一日同刻在固定测试集取得最低 MAE 0.6463 kW，因此注册为默认模型。PatchTST 测试 MAE 为 0.6622 kW，虽然相对 Last Value 的 MAE 改善 9.62%，但仍未超过最佳季节朴素基线。PatchTST 的 RMSE 和 R²优于前一日同刻，说明其对部分大误差有所改善，但平均绝对误差不足以支持把复杂模型设为默认。</w:t>
      </w:r>
    </w:p>
    <w:p w14:paraId="209123AD">
      <w:pPr>
        <w:ind w:firstLine="480"/>
        <w:rPr>
          <w:rFonts w:hint="eastAsia"/>
        </w:rPr>
      </w:pPr>
      <w:r>
        <w:rPr>
          <w:rFonts w:ascii="Times New Roman" w:hAnsi="Times New Roman"/>
        </w:rPr>
        <w:t>默认模型 90% 区间实测覆盖率为 94.07%，平均宽度为 3.1647 kW；PatchTST 覆盖率为 96.20%，平均宽度为 2.8738 kW。覆盖率高于名义 90% 表明区间偏保守，后续可在不泄漏测试集的前提下研究更精细的分层校准。</w:t>
      </w:r>
    </w:p>
    <w:p w14:paraId="7B125C7D">
      <w:pPr>
        <w:pStyle w:val="4"/>
        <w:spacing w:before="160" w:after="120"/>
      </w:pPr>
      <w:bookmarkStart w:id="20" w:name="_Toc235620408"/>
      <w:r>
        <w:rPr>
          <w:rFonts w:ascii="Times New Roman" w:hAnsi="Times New Roman" w:eastAsia="宋体"/>
        </w:rPr>
        <w:t>4.3 回放与预警验收</w:t>
      </w:r>
      <w:bookmarkEnd w:id="2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134"/>
        <w:gridCol w:w="5329"/>
      </w:tblGrid>
      <w:tr w14:paraId="0EF07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7333E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预警类型</w:t>
            </w:r>
          </w:p>
        </w:tc>
        <w:tc>
          <w:tcPr>
            <w:tcW w:w="1134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9AEE9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数量</w:t>
            </w:r>
          </w:p>
        </w:tc>
        <w:tc>
          <w:tcPr>
            <w:tcW w:w="5329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BF4615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真实示例</w:t>
            </w:r>
          </w:p>
        </w:tc>
      </w:tr>
      <w:tr w14:paraId="3BD75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BE250E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数据质量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A06D97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991C15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测量字段缺失；长缺失段；负未分项电量；稳定字段映射</w:t>
            </w:r>
          </w:p>
        </w:tc>
      </w:tr>
      <w:tr w14:paraId="7CDBC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2BC18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稳健规则</w:t>
            </w:r>
          </w:p>
        </w:tc>
        <w:tc>
          <w:tcPr>
            <w:tcW w:w="1134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AC8487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w="5329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650E2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2007-06-08 12:30 相邻 15 分钟变化 2.3695 kW，超过 2.2602 kW 关注阈值</w:t>
            </w:r>
          </w:p>
        </w:tc>
      </w:tr>
      <w:tr w14:paraId="6043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9654AB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预测残差</w:t>
            </w:r>
          </w:p>
        </w:tc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3AE64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w="532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A140E8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2007-06-08 10:00 真实值 1.9405 kW，高于区间上界 1.6871 kW</w:t>
            </w:r>
          </w:p>
        </w:tc>
      </w:tr>
    </w:tbl>
    <w:p w14:paraId="26512113">
      <w:pPr>
        <w:spacing w:after="20"/>
        <w:rPr>
          <w:rFonts w:hint="eastAsia"/>
        </w:rPr>
      </w:pPr>
    </w:p>
    <w:p w14:paraId="116E99B7">
      <w:pPr>
        <w:ind w:firstLine="480"/>
        <w:rPr>
          <w:rFonts w:hint="eastAsia"/>
        </w:rPr>
      </w:pPr>
      <w:r>
        <w:rPr>
          <w:rFonts w:ascii="Times New Roman" w:hAnsi="Times New Roman"/>
        </w:rPr>
        <w:t>本次默认回放共生成 23 条预警，其中 attention 20 条、info 1 条、critical 2 条。训练段负荷关注/严重阈值分别为 5.1597/7.2385 kW，变化关注/严重阈值分别为 2.2602/3.4521 kW。大模型不参与阈值推导、alert_id 或等级计算。</w:t>
      </w:r>
    </w:p>
    <w:p w14:paraId="5B0BC3B7">
      <w:pPr>
        <w:pStyle w:val="4"/>
        <w:spacing w:before="160" w:after="120"/>
      </w:pPr>
      <w:bookmarkStart w:id="21" w:name="_Toc235620409"/>
      <w:r>
        <w:rPr>
          <w:rFonts w:ascii="Times New Roman" w:hAnsi="Times New Roman" w:eastAsia="宋体"/>
        </w:rPr>
        <w:t>4.4 智能建议与安全验收</w:t>
      </w:r>
      <w:bookmarkEnd w:id="21"/>
    </w:p>
    <w:p w14:paraId="6D603332">
      <w:pPr>
        <w:spacing w:after="80"/>
        <w:ind w:firstLine="480"/>
        <w:jc w:val="both"/>
        <w:rPr>
          <w:rFonts w:hint="eastAsia"/>
        </w:rPr>
      </w:pPr>
      <w:r>
        <w:t>最终验收已使用项目运行时执行真实大模型请求：配置状态完整，模型为gpt-5.6-luna，调用结果mode=api、diagnostic=None。页面成功生成包含四部分的详细建议，并显示“一键导出建议（Markdown）”按钮；接口异常时仍会显示明确错误，不将失败伪装成成功。</w:t>
      </w:r>
    </w:p>
    <w:p w14:paraId="1E98FEB3">
      <w:pPr>
        <w:pStyle w:val="4"/>
        <w:spacing w:before="160" w:after="120"/>
      </w:pPr>
      <w:bookmarkStart w:id="22" w:name="_Toc235620410"/>
      <w:r>
        <w:rPr>
          <w:rFonts w:ascii="Times New Roman" w:hAnsi="Times New Roman" w:eastAsia="宋体"/>
        </w:rPr>
        <w:t>4.5 浏览器与工程质量验收</w:t>
      </w:r>
      <w:bookmarkEnd w:id="2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5046"/>
      </w:tblGrid>
      <w:tr w14:paraId="06DAB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18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6FE47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验收项</w:t>
            </w:r>
          </w:p>
        </w:tc>
        <w:tc>
          <w:tcPr>
            <w:tcW w:w="5046" w:type="dxa"/>
            <w:shd w:val="clear" w:color="auto" w:fill="1F4E7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9D1926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结果</w:t>
            </w:r>
          </w:p>
        </w:tc>
      </w:tr>
      <w:tr w14:paraId="7C254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DE02C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七页最终浏览器验收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1C34E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21"/>
              </w:rPr>
              <w:t>1920×1080七页通过；监测自动播放实测12/96持续推进</w:t>
            </w:r>
          </w:p>
        </w:tc>
      </w:tr>
      <w:tr w14:paraId="590BD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1DB102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截图安全</w:t>
            </w:r>
          </w:p>
        </w:tc>
        <w:tc>
          <w:tcPr>
            <w:tcW w:w="5046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1C7045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无 API Key、绝对 Windows 路径、未处理错误或虚假 API 成功状态</w:t>
            </w:r>
          </w:p>
        </w:tc>
      </w:tr>
      <w:tr w14:paraId="4008F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92238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pytest</w:t>
            </w:r>
          </w:p>
        </w:tc>
        <w:tc>
          <w:tcPr>
            <w:tcW w:w="504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9FC83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21"/>
              </w:rPr>
              <w:t>135项通过</w:t>
            </w:r>
          </w:p>
        </w:tc>
      </w:tr>
      <w:tr w14:paraId="41BDA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8BEE5C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Ruff / 格式</w:t>
            </w:r>
          </w:p>
        </w:tc>
        <w:tc>
          <w:tcPr>
            <w:tcW w:w="5046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441A9D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通过</w:t>
            </w:r>
          </w:p>
        </w:tc>
      </w:tr>
      <w:tr w14:paraId="0146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E34B83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mypy src</w:t>
            </w:r>
          </w:p>
        </w:tc>
        <w:tc>
          <w:tcPr>
            <w:tcW w:w="504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D4B58F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通过</w:t>
            </w:r>
          </w:p>
        </w:tc>
      </w:tr>
      <w:tr w14:paraId="28EC2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AF4058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pip check</w:t>
            </w:r>
          </w:p>
        </w:tc>
        <w:tc>
          <w:tcPr>
            <w:tcW w:w="5046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447292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通过</w:t>
            </w:r>
          </w:p>
        </w:tc>
      </w:tr>
      <w:tr w14:paraId="6C251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BFE3E1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pre-commit / git diff --check</w:t>
            </w:r>
          </w:p>
        </w:tc>
        <w:tc>
          <w:tcPr>
            <w:tcW w:w="504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95F001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通过</w:t>
            </w:r>
          </w:p>
        </w:tc>
      </w:tr>
      <w:tr w14:paraId="73B3C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2AE0F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七页 AppTest</w:t>
            </w:r>
          </w:p>
        </w:tc>
        <w:tc>
          <w:tcPr>
            <w:tcW w:w="5046" w:type="dxa"/>
            <w:shd w:val="clear" w:color="auto"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04440F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/>
                <w:sz w:val="18"/>
              </w:rPr>
              <w:t>通过</w:t>
            </w:r>
          </w:p>
        </w:tc>
      </w:tr>
    </w:tbl>
    <w:p w14:paraId="53674699">
      <w:pPr>
        <w:spacing w:after="20"/>
        <w:rPr>
          <w:rFonts w:hint="eastAsia"/>
        </w:rPr>
      </w:pPr>
    </w:p>
    <w:p w14:paraId="3C0C3C51">
      <w:pPr>
        <w:pStyle w:val="3"/>
        <w:spacing w:before="240" w:after="120"/>
      </w:pPr>
      <w:bookmarkStart w:id="23" w:name="_Toc235620411"/>
      <w:r>
        <w:rPr>
          <w:rFonts w:ascii="Times New Roman" w:hAnsi="Times New Roman" w:eastAsia="宋体"/>
        </w:rPr>
        <w:t>5 实践过程中遇到的问题及解决方法</w:t>
      </w:r>
      <w:bookmarkEnd w:id="23"/>
    </w:p>
    <w:p w14:paraId="3C72B602">
      <w:pPr>
        <w:pStyle w:val="4"/>
        <w:spacing w:before="160" w:after="120"/>
      </w:pPr>
      <w:bookmarkStart w:id="24" w:name="_Toc235620412"/>
      <w:r>
        <w:rPr>
          <w:rFonts w:ascii="Times New Roman" w:hAnsi="Times New Roman" w:eastAsia="宋体"/>
        </w:rPr>
        <w:t>5.1 长缺失不能被普通插值掩盖</w:t>
      </w:r>
      <w:bookmarkEnd w:id="24"/>
    </w:p>
    <w:p w14:paraId="17BD489D">
      <w:pPr>
        <w:ind w:firstLine="480"/>
        <w:rPr>
          <w:rFonts w:hint="eastAsia"/>
        </w:rPr>
      </w:pPr>
      <w:r>
        <w:rPr>
          <w:rFonts w:ascii="Times New Roman" w:hAnsi="Times New Roman"/>
        </w:rPr>
        <w:t>问题：数据中存在 3,723 分钟长缺失段，若直接全局插值会制造并不存在的连续用电轨迹。解决：仅对不超过 60 分钟的连续短缺失插值，长缺失保留掩码；15 分钟桶要求最低有效比例；模型窗口排除受影响区间。</w:t>
      </w:r>
    </w:p>
    <w:p w14:paraId="5397795D">
      <w:pPr>
        <w:pStyle w:val="4"/>
        <w:spacing w:before="160" w:after="120"/>
      </w:pPr>
      <w:bookmarkStart w:id="25" w:name="_Toc235620413"/>
      <w:r>
        <w:rPr>
          <w:rFonts w:ascii="Times New Roman" w:hAnsi="Times New Roman" w:eastAsia="宋体"/>
        </w:rPr>
        <w:t>5.2 复杂模型未超过强基线</w:t>
      </w:r>
      <w:bookmarkEnd w:id="25"/>
    </w:p>
    <w:p w14:paraId="7517C5D0">
      <w:pPr>
        <w:ind w:firstLine="480"/>
        <w:rPr>
          <w:rFonts w:hint="eastAsia"/>
        </w:rPr>
      </w:pPr>
      <w:r>
        <w:rPr>
          <w:rFonts w:ascii="Times New Roman" w:hAnsi="Times New Roman"/>
        </w:rPr>
        <w:t>问题：PatchTST 和 LSTM 不能仅凭模型复杂度被认定为更优。解决：使用同一窗口、同一切分和同一测试集比较六模型，默认模型按真实 MAE 确定；报告保留复杂模型未胜出的负结果，并从 RMSE、R²、区间宽度和泛化限制多角度讨论。</w:t>
      </w:r>
    </w:p>
    <w:p w14:paraId="2C0CC562">
      <w:pPr>
        <w:pStyle w:val="4"/>
        <w:spacing w:before="160" w:after="120"/>
      </w:pPr>
      <w:bookmarkStart w:id="26" w:name="_Toc235620414"/>
      <w:r>
        <w:rPr>
          <w:rFonts w:ascii="Times New Roman" w:hAnsi="Times New Roman" w:eastAsia="宋体"/>
        </w:rPr>
        <w:t>5.3 API 能力不能影响核心演示</w:t>
      </w:r>
      <w:bookmarkEnd w:id="26"/>
    </w:p>
    <w:p w14:paraId="00FD0E28">
      <w:pPr>
        <w:spacing w:after="80"/>
        <w:ind w:firstLine="480"/>
        <w:jc w:val="both"/>
        <w:rPr>
          <w:rFonts w:hint="eastAsia"/>
        </w:rPr>
      </w:pPr>
      <w:r>
        <w:t>问题：外部API依赖网络、模型通道和用户配置，可能出现超时或兼容性差异。解决：连接信息由运行环境提供，首页提供一键测试，建议页只在用户点击后调用；超时调整为60秒，并通过真实项目路径确认URL、模型与响应均可用。</w:t>
      </w:r>
    </w:p>
    <w:p w14:paraId="0714C7F0">
      <w:pPr>
        <w:pStyle w:val="4"/>
        <w:spacing w:before="160" w:after="120"/>
      </w:pPr>
      <w:bookmarkStart w:id="27" w:name="_Toc235620415"/>
      <w:r>
        <w:rPr>
          <w:rFonts w:ascii="Times New Roman" w:hAnsi="Times New Roman" w:eastAsia="宋体"/>
        </w:rPr>
        <w:t>5.4 范围膨胀与交付风险</w:t>
      </w:r>
      <w:bookmarkEnd w:id="27"/>
    </w:p>
    <w:p w14:paraId="4346E687">
      <w:pPr>
        <w:ind w:firstLine="480"/>
        <w:rPr>
          <w:rFonts w:hint="eastAsia"/>
        </w:rPr>
      </w:pPr>
      <w:r>
        <w:rPr>
          <w:rFonts w:ascii="Times New Roman" w:hAnsi="Times New Roman"/>
        </w:rPr>
        <w:t>问题：上传、多数据集、优化调度、完整智能报告和云部署会显著增加课程项目风险。解决：主动删除这些范围，保留七页和可验证主链路，把最终时间用于真实截图、报告、测试和演示复核。</w:t>
      </w:r>
    </w:p>
    <w:p w14:paraId="1206B20F">
      <w:pPr>
        <w:pStyle w:val="3"/>
        <w:spacing w:before="240" w:after="120"/>
      </w:pPr>
      <w:bookmarkStart w:id="28" w:name="_Toc235620416"/>
      <w:r>
        <w:rPr>
          <w:rFonts w:ascii="Times New Roman" w:hAnsi="Times New Roman" w:eastAsia="宋体"/>
        </w:rPr>
        <w:t>6 总结与展望</w:t>
      </w:r>
      <w:bookmarkEnd w:id="28"/>
    </w:p>
    <w:p w14:paraId="25E99F8D">
      <w:pPr>
        <w:spacing w:after="80"/>
        <w:ind w:firstLine="480"/>
        <w:jc w:val="both"/>
        <w:rPr>
          <w:rFonts w:hint="eastAsia"/>
        </w:rPr>
      </w:pPr>
      <w:r>
        <w:t>项目完成了从公开数据校验、预处理、分析到24小时预测、共形区间、自动回放预警和大模型建议导出的完整链路，并通过七页Streamlit应用呈现。工程上形成稳定数据产物、固定切分、冻结模型、缓存、自动化测试和一键启动脚本；结果上如实记录复杂模型未超过前一日同刻基线。</w:t>
      </w:r>
    </w:p>
    <w:p w14:paraId="0E9A9D3F">
      <w:pPr>
        <w:spacing w:after="80"/>
        <w:ind w:firstLine="480"/>
        <w:jc w:val="both"/>
        <w:rPr>
          <w:rFonts w:hint="eastAsia"/>
        </w:rPr>
      </w:pPr>
      <w:r>
        <w:t>后续可在不改变固定测试集的前提下研究滚动时间验证、分层共形校准、轻量超参数搜索和更多解释性分析，并补充不同家庭与不同季节的数据，以检验模型的跨场景稳定性。</w:t>
      </w:r>
    </w:p>
    <w:p w14:paraId="5C8F3621">
      <w:pPr>
        <w:pStyle w:val="3"/>
        <w:spacing w:before="240" w:after="120"/>
      </w:pPr>
      <w:bookmarkStart w:id="29" w:name="_Toc235620417"/>
      <w:r>
        <w:rPr>
          <w:rFonts w:ascii="Times New Roman" w:hAnsi="Times New Roman" w:eastAsia="宋体"/>
        </w:rPr>
        <w:t>7 参考文献</w:t>
      </w:r>
      <w:bookmarkEnd w:id="29"/>
    </w:p>
    <w:p w14:paraId="7D1C6B53">
      <w:pPr>
        <w:pStyle w:val="13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Georges Hébrail, Alice Bérard. Individual Household Electric Power Consumption Data Set. UCI Machine Learning Repository.</w:t>
      </w:r>
    </w:p>
    <w:p w14:paraId="464E391A">
      <w:pPr>
        <w:pStyle w:val="13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The Devastator. 240000 Household Electricity Consumption Records. Kaggle Dataset.</w:t>
      </w:r>
    </w:p>
    <w:p w14:paraId="41F16E4A">
      <w:pPr>
        <w:pStyle w:val="13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Hochreiter S, Schmidhuber J. Long Short-Term Memory. Neural Computation, 1997, 9(8): 1735-1780.</w:t>
      </w:r>
    </w:p>
    <w:p w14:paraId="6620F089">
      <w:pPr>
        <w:pStyle w:val="13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Nie Y, Nguyen N H, Sinthong P, Kalagnanam J. A Time Series is Worth 64 Words: Long-term Forecasting with Transformers. ICLR, 2023.</w:t>
      </w:r>
    </w:p>
    <w:p w14:paraId="18B8A7F1">
      <w:pPr>
        <w:pStyle w:val="13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Angelopoulos A N, Bates S. Conformal Prediction: A Gentle Introduction. Foundations and Trends in Machine Learning, 2023.</w:t>
      </w:r>
    </w:p>
    <w:p w14:paraId="7F0F78CD">
      <w:pPr>
        <w:pStyle w:val="13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Pedregosa F, et al. Scikit-learn: Machine Learning in Python. Journal of Machine Learning Research, 2011, 12: 2825-2830.</w:t>
      </w:r>
    </w:p>
    <w:p w14:paraId="0F9A4FC7">
      <w:pPr>
        <w:pStyle w:val="13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Streamlit Documentation. https://docs.streamlit.io/（访问日期：2026-07-21）.</w:t>
      </w:r>
    </w:p>
    <w:p w14:paraId="2DF35026">
      <w:pPr>
        <w:pStyle w:val="13"/>
        <w:spacing w:after="80"/>
        <w:ind w:left="480"/>
        <w:rPr>
          <w:rFonts w:hint="eastAsia"/>
        </w:rPr>
      </w:pPr>
      <w:r>
        <w:rPr>
          <w:rFonts w:ascii="Times New Roman" w:hAnsi="Times New Roman"/>
        </w:rPr>
        <w:t>OpenAI API Reference: Chat Completions. https://platform.openai.com/docs/api-reference/chat（访问日期：2026-07-21）.</w:t>
      </w:r>
    </w:p>
    <w:p w14:paraId="6A5686E3">
      <w:pPr>
        <w:pStyle w:val="3"/>
        <w:spacing w:before="240" w:after="120"/>
      </w:pPr>
      <w:bookmarkStart w:id="30" w:name="_Toc235620418"/>
      <w:r>
        <w:rPr>
          <w:rFonts w:ascii="Times New Roman" w:hAnsi="Times New Roman" w:eastAsia="宋体"/>
        </w:rPr>
        <w:t>8 附录：项目开发及使用文档</w:t>
      </w:r>
      <w:bookmarkEnd w:id="30"/>
    </w:p>
    <w:p w14:paraId="14819E71">
      <w:pPr>
        <w:pStyle w:val="4"/>
        <w:spacing w:before="160" w:after="120"/>
      </w:pPr>
      <w:bookmarkStart w:id="31" w:name="_Toc235620419"/>
      <w:r>
        <w:rPr>
          <w:rFonts w:ascii="Times New Roman" w:hAnsi="Times New Roman" w:eastAsia="宋体"/>
        </w:rPr>
        <w:t>8.1 环境与启动</w:t>
      </w:r>
      <w:bookmarkEnd w:id="31"/>
    </w:p>
    <w:p w14:paraId="4BA7FEB6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Python 3.11.14；Streamlit 1.59.2；PyTorch 2.13.0+cu130；CUDA Runtime 13.0。</w:t>
      </w:r>
    </w:p>
    <w:p w14:paraId="06E365A9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在项目根目录执行 uv sync --extra dev --frozen。</w:t>
      </w:r>
    </w:p>
    <w:p w14:paraId="5CBFBA31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执行 .\.venv\Scripts\python.exe scripts\check_environment.py。</w:t>
      </w:r>
    </w:p>
    <w:p w14:paraId="4256D3AD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执行 .\.venv\Scripts\python.exe -m streamlit run app\streamlit_app.py。</w:t>
      </w:r>
    </w:p>
    <w:p w14:paraId="18036094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浏览器依次演示首页、数据中心、用电分析、负荷预测、监测预警、智能建议和系统设置。</w:t>
      </w:r>
    </w:p>
    <w:p w14:paraId="549CC13E">
      <w:pPr>
        <w:pStyle w:val="4"/>
        <w:spacing w:before="160" w:after="120"/>
      </w:pPr>
      <w:bookmarkStart w:id="32" w:name="_Toc235620420"/>
      <w:r>
        <w:rPr>
          <w:rFonts w:ascii="Times New Roman" w:hAnsi="Times New Roman" w:eastAsia="宋体"/>
        </w:rPr>
        <w:t>8.2 演示与降级</w:t>
      </w:r>
      <w:bookmarkEnd w:id="32"/>
    </w:p>
    <w:p w14:paraId="1CAE3933">
      <w:pPr>
        <w:spacing w:after="80"/>
        <w:ind w:firstLine="480"/>
        <w:jc w:val="both"/>
        <w:rPr>
          <w:rFonts w:hint="eastAsia"/>
        </w:rPr>
      </w:pPr>
      <w:r>
        <w:t>系统核心数据、分析、预测和预警均可本地运行；大模型连接异常时页面显示明确错误。CUDA不可用时可回退CPU；权重缺失时可使用兼容朴素模型；数据产物缺失时由数据中心引导重新准备。</w:t>
      </w:r>
    </w:p>
    <w:p w14:paraId="62D50C8D">
      <w:pPr>
        <w:pStyle w:val="4"/>
        <w:spacing w:before="160" w:after="120"/>
      </w:pPr>
      <w:bookmarkStart w:id="33" w:name="_Toc235620421"/>
      <w:r>
        <w:rPr>
          <w:rFonts w:ascii="Times New Roman" w:hAnsi="Times New Roman" w:eastAsia="宋体"/>
        </w:rPr>
        <w:t>8.3 个人信息与提交前检查</w:t>
      </w:r>
      <w:bookmarkEnd w:id="33"/>
    </w:p>
    <w:p w14:paraId="224F71D0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填写封面的学院、专业班级、组长/成员姓名、学号、队伍名称和指导助教。</w:t>
      </w:r>
    </w:p>
    <w:p w14:paraId="5CCE0450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按实际情况修改第 1.3 节小组分工。</w:t>
      </w:r>
    </w:p>
    <w:p w14:paraId="66886367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在 Word 中更新目录、检查页码和图表编号。</w:t>
      </w:r>
    </w:p>
    <w:p w14:paraId="195A474E">
      <w:pPr>
        <w:pStyle w:val="16"/>
        <w:spacing w:after="60"/>
        <w:ind w:left="480"/>
        <w:rPr>
          <w:rFonts w:hint="eastAsia"/>
        </w:rPr>
      </w:pPr>
      <w:r>
        <w:rPr>
          <w:rFonts w:ascii="Times New Roman" w:hAnsi="Times New Roman"/>
        </w:rPr>
        <w:t>确认 PDF 与 DOCX 均可打开，且不包含 Key、本机绝对路径、缓存或权重。</w:t>
      </w:r>
    </w:p>
    <w:sectPr>
      <w:footerReference r:id="rId7" w:type="default"/>
      <w:pgSz w:w="11906" w:h="16838"/>
      <w:pgMar w:top="1440" w:right="1800" w:bottom="1440" w:left="1800" w:header="851" w:footer="992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B0FA7C">
    <w:pPr>
      <w:pStyle w:val="24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2399C1">
    <w:pPr>
      <w:pStyle w:val="24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3E126E">
    <w:pPr>
      <w:pStyle w:val="24"/>
      <w:jc w:val="center"/>
      <w:rPr>
        <w:rFonts w:hint="eastAsia"/>
      </w:rPr>
    </w:pPr>
    <w:r>
      <w:rPr>
        <w:rFonts w:ascii="Times New Roman" w:hAnsi="Times New Roman"/>
        <w:sz w:val="21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rFonts w:hint="eastAsia"/>
      </w:rPr>
      <w:t>1</w:t>
    </w:r>
    <w:r>
      <w:fldChar w:fldCharType="end"/>
    </w:r>
    <w:r>
      <w:rPr>
        <w:rFonts w:ascii="Times New Roman" w:hAnsi="Times New Roman"/>
        <w:sz w:val="21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B3E41"/>
    <w:rsid w:val="001D10C1"/>
    <w:rsid w:val="002073BB"/>
    <w:rsid w:val="0029639D"/>
    <w:rsid w:val="003248A8"/>
    <w:rsid w:val="00326F90"/>
    <w:rsid w:val="005A49DE"/>
    <w:rsid w:val="006827A8"/>
    <w:rsid w:val="007570CC"/>
    <w:rsid w:val="0095447A"/>
    <w:rsid w:val="00AA1D8D"/>
    <w:rsid w:val="00B47730"/>
    <w:rsid w:val="00CB0664"/>
    <w:rsid w:val="00CB7F30"/>
    <w:rsid w:val="00D41E91"/>
    <w:rsid w:val="00E07EA9"/>
    <w:rsid w:val="00ED7E2B"/>
    <w:rsid w:val="00FC693F"/>
    <w:rsid w:val="4CFA3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0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uiPriority w:val="99"/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autoRedefine/>
    <w:unhideWhenUsed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autoRedefine/>
    <w:unhideWhenUsed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uiPriority w:val="99"/>
    <w:pPr>
      <w:spacing w:line="480" w:lineRule="auto"/>
    </w:pPr>
  </w:style>
  <w:style w:type="paragraph" w:styleId="31">
    <w:name w:val="List Continue 2"/>
    <w:basedOn w:val="1"/>
    <w:unhideWhenUsed/>
    <w:uiPriority w:val="99"/>
    <w:pPr>
      <w:ind w:left="720"/>
      <w:contextualSpacing/>
    </w:pPr>
  </w:style>
  <w:style w:type="paragraph" w:styleId="32">
    <w:name w:val="List Continue 3"/>
    <w:basedOn w:val="1"/>
    <w:unhideWhenUsed/>
    <w:uiPriority w:val="99"/>
    <w:pPr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页眉 字符"/>
    <w:basedOn w:val="134"/>
    <w:link w:val="25"/>
    <w:uiPriority w:val="99"/>
  </w:style>
  <w:style w:type="character" w:customStyle="1" w:styleId="139">
    <w:name w:val="页脚 字符"/>
    <w:basedOn w:val="134"/>
    <w:link w:val="24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标题 1 字符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标题 2 字符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标题 3 字符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标题 字符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副标题 字符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正文文本 字符"/>
    <w:basedOn w:val="134"/>
    <w:link w:val="19"/>
    <w:uiPriority w:val="99"/>
  </w:style>
  <w:style w:type="character" w:customStyle="1" w:styleId="148">
    <w:name w:val="正文文本 2 字符"/>
    <w:basedOn w:val="134"/>
    <w:link w:val="30"/>
    <w:uiPriority w:val="99"/>
  </w:style>
  <w:style w:type="character" w:customStyle="1" w:styleId="149">
    <w:name w:val="正文文本 3 字符"/>
    <w:basedOn w:val="134"/>
    <w:link w:val="17"/>
    <w:uiPriority w:val="99"/>
    <w:rPr>
      <w:sz w:val="16"/>
      <w:szCs w:val="16"/>
    </w:rPr>
  </w:style>
  <w:style w:type="character" w:customStyle="1" w:styleId="150">
    <w:name w:val="宏文本 字符"/>
    <w:basedOn w:val="134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引用 字符"/>
    <w:basedOn w:val="134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标题 4 字符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标题 5 字符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标题 6 字符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标题 7 字符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标题 8 字符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标题 9 字符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明显引用 字符"/>
    <w:basedOn w:val="134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1558</Words>
  <Characters>8882</Characters>
  <Lines>74</Lines>
  <Paragraphs>20</Paragraphs>
  <TotalTime>0</TotalTime>
  <ScaleCrop>false</ScaleCrop>
  <LinksUpToDate>false</LinksUpToDate>
  <CharactersWithSpaces>10420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小组xx</dc:creator>
  <dc:description>generated by python-docx</dc:description>
  <cp:lastModifiedBy>Acer</cp:lastModifiedBy>
  <dcterms:modified xsi:type="dcterms:W3CDTF">2026-07-22T06:35:25Z</dcterms:modified>
  <dc:subject>PowerInsight 家庭用电分析、预测、预警与智能建议</dc:subject>
  <dc:title>《电力人工智能综合实训》小组项目报告-最终版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B2D8B6ED3CB04CA698361804CD1DB576_12</vt:lpwstr>
  </property>
</Properties>
</file>