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85.png" ContentType="image/png"/>
  <Override PartName="/word/media/rId80.png" ContentType="image/png"/>
  <Override PartName="/word/media/rId52.png" ContentType="image/png"/>
  <Override PartName="/word/media/rId57.png" ContentType="image/png"/>
  <Override PartName="/word/media/rId6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Global Business School for Health, University College London</w:t>
      </w:r>
    </w:p>
    <w:p>
      <w:pPr>
        <w:pStyle w:val="BodyText"/>
      </w:pPr>
      <w:r>
        <w:t xml:space="preserve"> </w:t>
      </w:r>
    </w:p>
    <w:p>
      <w:pPr>
        <w:pStyle w:val="BodyText"/>
      </w:pPr>
      <w:r>
        <w:t xml:space="preserve"> </w:t>
      </w:r>
    </w:p>
    <w:bookmarkEnd w:id="20"/>
    <w:bookmarkStart w:id="33"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This is version 2.5 of our preprint published at</w:t>
      </w:r>
      <w:r>
        <w:t xml:space="preserve"> </w:t>
      </w:r>
      <w:hyperlink r:id="rId30">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31">
        <w:r>
          <w:rPr>
            <w:rStyle w:val="Hyperlink"/>
          </w:rPr>
          <w:t xml:space="preserve">https://osf.io/dhwf4/</w:t>
        </w:r>
      </w:hyperlink>
      <w:r>
        <w:t xml:space="preserve">. A Quarto Manuscripts website is hosted at</w:t>
      </w:r>
      <w:r>
        <w:t xml:space="preserve"> </w:t>
      </w:r>
      <w:hyperlink r:id="rId32">
        <w:r>
          <w:rPr>
            <w:rStyle w:val="Hyperlink"/>
          </w:rPr>
          <w:t xml:space="preserve">https://Timo-Ko.github.io/glmm_simulation_tutorial/</w:t>
        </w:r>
      </w:hyperlink>
      <w:r>
        <w:t xml:space="preserve">. The authors declare that there were no conflicts of interest with respect to the authorship or the publication of this article. This research was funded by a grant from the Volkswagen Foundation (Grant No. 98525).</w:t>
      </w:r>
    </w:p>
    <w:p>
      <w:pPr>
        <w:pStyle w:val="BodyText"/>
      </w:pPr>
      <w:r>
        <w:t xml:space="preserve">Author roles were classified using the Contributor Role Taxonomy (CRediT; https://credit.niso.org/) as follows: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33"/>
    <w:bookmarkStart w:id="34"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34"/>
    <w:bookmarkStart w:id="35" w:name="firstheader"/>
    <w:p>
      <w:pPr>
        <w:pStyle w:val="Heading1"/>
      </w:pPr>
      <w:r>
        <w:t xml:space="preserve">A Tutorial on Tailored Simulation-Based Sample Size Planning for Experimental Designs with Generalized Linear Mixed Models</w:t>
      </w:r>
    </w:p>
    <w:bookmarkEnd w:id="35"/>
    <w:bookmarkStart w:id="36" w:name="introduction"/>
    <w:p>
      <w:pPr>
        <w:pStyle w:val="Heading1"/>
      </w:pPr>
      <w:r>
        <w:t xml:space="preserve">Introduction</w:t>
      </w:r>
    </w:p>
    <w:p>
      <w:pPr>
        <w:pStyle w:val="FirstParagraph"/>
      </w:pPr>
      <w:r>
        <w:t xml:space="preserve">When planning experimental research, it is essential to determine an appropriate sample size and to use appropriate statistical models to analyze the data to ensure that the results obtained are both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 However, many researchers lack the skills and tools to conduct</w:t>
      </w:r>
      <w:r>
        <w:t xml:space="preserve"> </w:t>
      </w:r>
      <w:r>
        <w:t xml:space="preserve">“</w:t>
      </w:r>
      <w:r>
        <w:t xml:space="preserve">a priori</w:t>
      </w:r>
      <w:r>
        <w:t xml:space="preserve">”</w:t>
      </w:r>
      <w:r>
        <w:t xml:space="preserve"> </w:t>
      </w:r>
      <w:r>
        <w:t xml:space="preserve">(i.e., before data collection) sample size planning for more complex research designs such as flexible generalized linear mixed models (GLMM) framework.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Then we describe general steps and decisions involved in tailored data simulation. To illustrate the details of these steps, we finish with a hypothetical case study from the field of human-AI (artificial intelligence) interaction research.</w:t>
      </w:r>
    </w:p>
    <w:p>
      <w:pPr>
        <w:pStyle w:val="BodyText"/>
      </w:pPr>
      <w:r>
        <w:t xml:space="preserve">To benefit most of this tutorial paper, we recommend readers to familiarise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useful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 rough understanding of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 For data simulation, we use functions from the 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 faux 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be familiar with regression modeling in general and GLMMs in particular. In this tutorial, we simulate data by manually specifying the model equation of a GLMM that represents our assumed data 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values in the dependent variable are determined by the predictor variables and the random effects.</w:t>
      </w:r>
    </w:p>
    <w:bookmarkEnd w:id="36"/>
    <w:bookmarkStart w:id="39" w:name="theoretical-background"/>
    <w:p>
      <w:pPr>
        <w:pStyle w:val="Heading1"/>
      </w:pPr>
      <w:r>
        <w:t xml:space="preserve">Theoretical background</w:t>
      </w:r>
    </w:p>
    <w:bookmarkStart w:id="37"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 First, experiments may yield inconclusive or misleading results, hindering the accumulation of knowledge. Second, studies that are doomed to never finding a postulated effect waste resources by consuming time, effort, and funding without delivering meaningful results. For these reasons, many journals and funding bodies now require that a justification of sample size is included in study protocols and grant proposals, recognizing its significance in ensuring robust and meaningful findings.</w:t>
      </w:r>
      <w:r>
        <w:t xml:space="preserve"> </w:t>
      </w:r>
      <w:r>
        <w:t xml:space="preserve">Although scientists often do not justify sample size or use general heuristics from the literature, resource constraints often play an important role</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But ideally, a suitable sample size should be determined a priori (i.e., before the study is conducted) based on some meaningful computation to ensure that the study will be able to fulfill its purpose.</w:t>
      </w:r>
    </w:p>
    <w:p>
      <w:pPr>
        <w:pStyle w:val="BodyText"/>
      </w:pPr>
      <w:r>
        <w:t xml:space="preserve">The majority of empirical studies in psychology and other social sciences apply hypothesis testing. As a consequence,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used for data collection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some effect size of interest and a desired significance level, a minimum sample size can be determined that, on average, would guarantee reaching this target. Although it is recommended to justify the desired significance level and power</w:t>
      </w:r>
      <w:r>
        <w:t xml:space="preserve"> </w:t>
      </w:r>
      <w:r>
        <w:t xml:space="preserve">(</w:t>
      </w:r>
      <w:hyperlink w:anchor="ref-lakensJustifyYourAlpha2018">
        <w:r>
          <w:rPr>
            <w:rStyle w:val="Hyperlink"/>
          </w:rPr>
          <w:t xml:space="preserve">Lakens, Adolfi, et al., 2018</w:t>
        </w:r>
      </w:hyperlink>
      <w:r>
        <w:t xml:space="preserve">)</w:t>
      </w:r>
      <w:r>
        <w:t xml:space="preserve">, most empirical studies adopt the heuristic of</w:t>
      </w:r>
      <w:r>
        <w:t xml:space="preserve"> </w:t>
      </w:r>
      <m:oMath>
        <m:r>
          <m:t>α</m:t>
        </m:r>
        <m:r>
          <m:rPr>
            <m:sty m:val="p"/>
          </m:rPr>
          <m:t>=</m:t>
        </m:r>
        <m:r>
          <m:t>0.05</m:t>
        </m:r>
      </m:oMath>
      <w:r>
        <w:t xml:space="preserve"> </w:t>
      </w:r>
      <w:r>
        <w:t xml:space="preserve">and</w:t>
      </w:r>
      <w:r>
        <w:t xml:space="preserve"> </w:t>
      </w:r>
      <m:oMath>
        <m:r>
          <m:t>1</m:t>
        </m:r>
        <m:r>
          <m:rPr>
            <m:sty m:val="p"/>
          </m:rPr>
          <m:t>−</m:t>
        </m:r>
        <m:r>
          <m:t>β</m:t>
        </m:r>
        <m:r>
          <m:rPr>
            <m:sty m:val="p"/>
          </m:rPr>
          <m:t>=</m:t>
        </m:r>
        <m:r>
          <m:t>0.80</m:t>
        </m:r>
      </m:oMath>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using hypothesis testing. It has been argued that basic research rarely requires making discrete decisions on whether some effect has been</w:t>
      </w:r>
      <w:r>
        <w:t xml:space="preserve"> </w:t>
      </w:r>
      <w:r>
        <w:t xml:space="preserve">“</w:t>
      </w:r>
      <w:r>
        <w:t xml:space="preserve">discovered</w:t>
      </w:r>
      <w:r>
        <w:t xml:space="preserve">”</w:t>
      </w:r>
      <w:r>
        <w:t xml:space="preserve"> </w:t>
      </w:r>
      <w:r>
        <w:t xml:space="preserve">and should thus shift from a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at least for exploratory or pilot studies where little previous research has been conducted, more scientists seem to agree that simply estimating the effects of interest and making the estimation uncertainty transparent by reporting CIs is more useful. Assuming that no HTs are conducted for a planned study, power analysis is not relevant for sample size planning. Nonetheless, the sample size still has a crucial effect on how informative the planned study will be, because an effect of interest is estimated more precisely with bigger samples.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The values inside a CI are often interpreted as plausible values for the quantity of interest it is supposed to estimate. More formally, a CI with confidence level 0.95 provides the smallest interval with the property that upon repeated sampling, 95% of individual CIs would include the true quantity of interest. Thus, a narrow CI is more informative about the size of the true effect than a wide interval. Apart from the desired confidence level, the width of a CI depends strongly on the sample size. Because bigger samples carry more information, they lead to smaller CIs. When planning for precision, a target can be set for the expected width of a CI of interest. Assuming some effect size of interest and a desired confidence level, a minimum sample size can be determined that, on average, would guarantee reaching this target. Because planning for precision is still rare, there are no common heuristics on how to choose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37"/>
    <w:bookmarkStart w:id="38"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 nuanced relationships and grouping structures introduced by them</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increasing popularity because they offer great flexibility</w:t>
      </w:r>
      <w:r>
        <w:t xml:space="preserve"> </w:t>
      </w:r>
      <w:r>
        <w:t xml:space="preserve">(</w:t>
      </w:r>
      <w:hyperlink w:anchor="ref-fahrmeirRegressionModelsMethods2021">
        <w:r>
          <w:rPr>
            <w:rStyle w:val="Hyperlink"/>
          </w:rPr>
          <w:t xml:space="preserve">Fahrmeir et al., 2021</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age of participants). This correlation can arise for various reasons: For instance, responses to some stimuli from some participants might be more similar because the same person was measured twice (repeated measurements), participants come from the same neighborhood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 For example, think of an experiment with different design factors (e.g., picture positions, headline aesthetics) impacting the likelihood of users clicking on an online advertisement. The participants’ behavior is measured repeatedly over several sessions. The click patterns of participants in one session are likely to be correlated with their previous sessions and the outcome variable is binary (click/no click) for each session, which follows a binomial distribution.</w:t>
      </w:r>
    </w:p>
    <w:bookmarkEnd w:id="38"/>
    <w:bookmarkEnd w:id="39"/>
    <w:bookmarkStart w:id="40"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Power analysis methods for multilevel models can be categorized into formula-based methods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formulas to calculate power directly while simulation-based methods rely on repeatedly simulating data with a known true effect size and estimating power empirically (i.e., what percentage of simulated datasets produces a significant p-value). Available formula-based software packages for multilevel models often do not include GLMMs or are limited to very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linear mixed models (LMMs) and the common study designs</w:t>
      </w:r>
      <w:r>
        <w:t xml:space="preserve"> </w:t>
      </w:r>
      <w:r>
        <w:t xml:space="preserve">(but see</w:t>
      </w:r>
      <w:r>
        <w:t xml:space="preserve"> </w:t>
      </w:r>
      <w:hyperlink w:anchor="ref-kumleEstimatingPowerGeneralized2021">
        <w:r>
          <w:rPr>
            <w:rStyle w:val="Hyperlink"/>
          </w:rPr>
          <w:t xml:space="preserve">Kumle et al., 2021</w:t>
        </w:r>
      </w:hyperlink>
      <w:r>
        <w:t xml:space="preserve">, for a tutorial that also covers more advanced settings)</w:t>
      </w:r>
      <w:r>
        <w:t xml:space="preserve">. This narrow focus provides limited guidance for researchers faced with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The (conditional) distribution assumption specifies the distributional family for the outcome variable. Assumptions about the random effects include the assumption of normality (i.e., that the random effects follow a normal distribution) and the covariance structure among the random effects (i.e., if and how they are correlated). Making these decisions requires understanding the underlying assumptions of the model and ensuring they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w:t>
      </w:r>
      <w:hyperlink w:anchor="ref-maxwellSampleSizePlanning2008">
        <w:r>
          <w:rPr>
            <w:rStyle w:val="Hyperlink"/>
          </w:rPr>
          <w:t xml:space="preserve">Maxwell et al., 2008</w:t>
        </w:r>
      </w:hyperlink>
      <w:r>
        <w:t xml:space="preserve">)</w:t>
      </w:r>
      <w:r>
        <w:t xml:space="preserve"> </w:t>
      </w:r>
      <w:r>
        <w:t xml:space="preserve">and</w:t>
      </w:r>
      <w:r>
        <w:t xml:space="preserve"> </w:t>
      </w:r>
      <w:r>
        <w:t xml:space="preserve">(</w:t>
      </w:r>
      <w:hyperlink w:anchor="ref-kumleEstimatingPowerGeneralized2021">
        <w:r>
          <w:rPr>
            <w:rStyle w:val="Hyperlink"/>
          </w:rPr>
          <w:t xml:space="preserve">Kumle et al., 2021</w:t>
        </w:r>
      </w:hyperlink>
      <w:r>
        <w:t xml:space="preserve">)</w:t>
      </w:r>
      <w:r>
        <w:t xml:space="preserve">).</w:t>
      </w:r>
    </w:p>
    <w:p>
      <w:pPr>
        <w:pStyle w:val="BodyText"/>
      </w:pPr>
      <w:r>
        <w:t xml:space="preserve">INSERT TABLE 1 HERE!</w:t>
      </w:r>
    </w:p>
    <w:p>
      <w:pPr>
        <w:pStyle w:val="BodyText"/>
      </w:pPr>
      <w:r>
        <w:t xml:space="preserve">In Table 1, we give a short review of existing R packages that can be used for power analysis for GLMMs.</w:t>
      </w:r>
    </w:p>
    <w:bookmarkEnd w:id="40"/>
    <w:bookmarkStart w:id="41" w:name="when-to-use-tailored-data-simulation"/>
    <w:p>
      <w:pPr>
        <w:pStyle w:val="Heading1"/>
      </w:pPr>
      <w:r>
        <w:t xml:space="preserve">When to use tailored data simulation?</w:t>
      </w:r>
    </w:p>
    <w:p>
      <w:pPr>
        <w:pStyle w:val="FirstParagraph"/>
      </w:pPr>
      <w:r>
        <w:t xml:space="preserve">Performing tailored simulation-based sample size planning is more complicated and time-consuming than using the existing software tools outlined in TABLE 1. The most important circumstances under which tailored simulation-based sample size planning is necessary are 1) complex study designs, 2) complex statistical hypotheses, 3) planning for precision, 4) no available prior studies or pilot data.</w:t>
      </w:r>
    </w:p>
    <w:p>
      <w:pPr>
        <w:pStyle w:val="BodyText"/>
      </w:pPr>
      <w:r>
        <w:t xml:space="preserve">Requirements of real-world studies are often more complex than the simplified designs assumed by many user-friendly software packages for sample size planning.</w:t>
      </w:r>
      <w:r>
        <w:t xml:space="preserve"> </w:t>
      </w:r>
      <w:r>
        <w:t xml:space="preserve">One frequent issue in applied data analysis is missing data, and there can be various reasons for this</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For example, data can be missing completely at random (e.g., because an electronic measurement device randomly failed for some technical reasons).</w:t>
      </w:r>
      <w:r>
        <w:t xml:space="preserve"> </w:t>
      </w:r>
      <w:r>
        <w:t xml:space="preserve">Alternatively, subjects might systematically drop out or produce missing data, but this dropout can be explained by some attributes also measured in the dataset (e.g., older subjects have a higher probability to refuse answering a question on income).</w:t>
      </w:r>
      <w:r>
        <w:t xml:space="preserve"> </w:t>
      </w:r>
      <w:r>
        <w:t xml:space="preserve">In a more complicated scenario, missing data in some variable is caused by the measured attribute itself (e.g., wealthy people are more likely to refuse reporting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based on simulated datasets that contain missing values</w:t>
      </w:r>
      <w:r>
        <w:t xml:space="preserve"> </w:t>
      </w:r>
      <w:r>
        <w:t xml:space="preserve">(for an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 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 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 than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In combination,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interesting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X can handle combined hypotheses as discussed here and only some can handle directed hypotheses. In contrast, our case study will demonstrate how we can test directed combined hypotheses with tailored simulation-based sample size planning.</w:t>
      </w:r>
    </w:p>
    <w:p>
      <w:pPr>
        <w:pStyle w:val="BodyText"/>
      </w:pPr>
      <w:r>
        <w:t xml:space="preserve">Although planning for precision</w:t>
      </w:r>
      <w:r>
        <w:t xml:space="preserve"> </w:t>
      </w:r>
      <w:r>
        <w:t xml:space="preserve">(</w:t>
      </w:r>
      <w:hyperlink w:anchor="ref-cummingNewStatisticsWhy2014">
        <w:r>
          <w:rPr>
            <w:rStyle w:val="Hyperlink"/>
          </w:rPr>
          <w:t xml:space="preserve">Cumming, 2014</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w:t>
      </w:r>
      <w:r>
        <w:t xml:space="preserve">has been increasingly discussed as a useful strategy for empirical research, all available software packages for sample size planning with GLMMs are based on power analysis.</w:t>
      </w:r>
      <w:r>
        <w:t xml:space="preserve"> </w:t>
      </w:r>
      <w:r>
        <w:t xml:space="preserve">Therefore, researchers that want to want to apply an estimation strategy in their studies, without testing any statistical hypotheses, currently cannot use the software packages outlined in TABLE 1.</w:t>
      </w:r>
      <w:r>
        <w:t xml:space="preserve"> </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 expected width is estimated.</w:t>
      </w:r>
    </w:p>
    <w:p>
      <w:pPr>
        <w:pStyle w:val="BodyText"/>
      </w:pPr>
      <w:r>
        <w:t xml:space="preserve">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note that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our experience, using domain knowledge to construct a tailored data simulation is the only solution to determine plausible effect sizes in the absence of prior evidence. It would be possible to use these tailored simulations to extract plausible values for standardized effect sizes that could then be inserted in existing software packages for sample size planning. However, we would argue that when tailored data simulations necessary to determine effect sizes anyway, performing the whole sample size planning in a customized way is preferred over using the existing software packages.</w:t>
      </w:r>
    </w:p>
    <w:bookmarkEnd w:id="41"/>
    <w:bookmarkStart w:id="93" w:name="X27095e2c60f5c6751b5570ca6c42b049edea668"/>
    <w:p>
      <w:pPr>
        <w:pStyle w:val="Heading1"/>
      </w:pPr>
      <w:r>
        <w:t xml:space="preserve">General steps in tailored simulation-based sample size planning</w:t>
      </w:r>
    </w:p>
    <w:p>
      <w:pPr>
        <w:pStyle w:val="FirstParagraph"/>
      </w:pPr>
      <w:r>
        <w:t xml:space="preserve">Although the details differ depending on the specific study characteristics, each tailored simulation-based sample size planning requires a series of steps and decisions. We will introduce each step in a theoretical section, followed by the practical application based on a hypothetical case study. All code in this manuscript and simulation results are available in the project’s repository on the Open Science Framework (</w:t>
      </w:r>
      <w:hyperlink r:id="rId31">
        <w:r>
          <w:rPr>
            <w:rStyle w:val="Hyperlink"/>
          </w:rPr>
          <w:t xml:space="preserve">https://osf.io/dhwf4/</w:t>
        </w:r>
      </w:hyperlink>
      <w:r>
        <w:t xml:space="preserve">).</w:t>
      </w:r>
    </w:p>
    <w:bookmarkStart w:id="45" w:name="step-1-define-the-estimand"/>
    <w:p>
      <w:pPr>
        <w:pStyle w:val="Heading2"/>
      </w:pPr>
      <w:r>
        <w:t xml:space="preserve">Step 1: Define the estimand</w:t>
      </w:r>
    </w:p>
    <w:bookmarkStart w:id="42" w:name="theory"/>
    <w:p>
      <w:pPr>
        <w:pStyle w:val="Heading3"/>
      </w:pPr>
      <w:r>
        <w:t xml:space="preserve">THEORY</w:t>
      </w:r>
    </w:p>
    <w:p>
      <w:pPr>
        <w:pStyle w:val="FirstParagraph"/>
      </w:pPr>
      <w:r>
        <w:t xml:space="preserve">The first step in every research process should be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psychologists makes the correct diagnosis for a psychiatric patient with major depression, averaged across all clinical psychologists and depressed patients in psychiatric institutions in Germany.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the estimand can be expressed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42"/>
    <w:bookmarkStart w:id="44" w:name="practice"/>
    <w:p>
      <w:pPr>
        <w:pStyle w:val="Heading3"/>
      </w:pPr>
      <w:r>
        <w:t xml:space="preserve">PRACTICE</w:t>
      </w:r>
    </w:p>
    <w:p>
      <w:pPr>
        <w:pStyle w:val="FirstParagraph"/>
      </w:pPr>
      <w:r>
        <w:t xml:space="preserve">In the present hypothetical case study, we consider the effectiveness of feedback provided by an artificial intelligence (AI) embedded in a diagnostic decision support system. The context is a clinical setting, where expert radiologists and students under training must detect bleeding based on head scans from computer tomography (CT). In the investigated AI-enabled diagnostic decision support system, an AI model can provide initial diagnostic advice, which can be used as guidance by the humans who are required to make the final diagnostic decision. The research goal is to validate the effectiveness of the AI-enabled advice. We consider the AI-enabled advice as effective, if the following pattern holds, which we will first describe verbally:</w:t>
      </w:r>
    </w:p>
    <w:p>
      <w:pPr>
        <w:pStyle w:val="BodyText"/>
      </w:pPr>
      <w:r>
        <w:rPr>
          <w:i/>
          <w:iCs/>
        </w:rPr>
        <w:t xml:space="preserve">We expect that for BOTH expert radiologists and medical students, correct AI-advice leads to a higher probability of accurately diagnosing a CT scan compared to no AI-advice presented, AND, we expect that for BOTH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student, average scan</m:t>
                    </m:r>
                  </m:e>
                </m:d>
              </m:e>
            </m:mr>
          </m:m>
        </m:oMath>
      </m:oMathPara>
    </w:p>
    <w:p>
      <w:pPr>
        <w:pStyle w:val="FirstParagraph"/>
      </w:pPr>
      <w:r>
        <w:t xml:space="preserve">For example, the first expression is concerned with the difference between the probability that a correct diagnosis is made if correct AI-advice is presented and the probability that a correct diagnosis is made if no AI-advice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43"/>
      </w:r>
      <w:r>
        <w:t xml:space="preserve">.</w:t>
      </w:r>
      <w:r>
        <w:t xml:space="preserve"> </w:t>
      </w:r>
      <w:r>
        <w:t xml:space="preserve">To complete our definition of the estimand, we have to define our target population that consists of persons, stimuli, and AI-advice: With respect to persons, we are only interested in expert radiologists and medical students at German universities. With respect to stimuli, we are only interested in the head CT scans made from subjects that do or do not suffer from intracerebral hemorrhage. Lastly, we are only interested in AI-advice given by a specific AI-enabled diagnostic decision support system.</w:t>
      </w:r>
    </w:p>
    <w:p>
      <w:pPr>
        <w:pStyle w:val="BodyText"/>
      </w:pPr>
      <w:r>
        <w:t xml:space="preserve">Although the estimand is initially defined outside of any statistical model, it is only useful if we find a way to estimate it based on observed data. For our exemplary research question, it is possible to construct an experimental study, where all participants are confronted with the same set of head CT scans, but the kind of AI-advice given for each scan is randomly assigned within participants. This random intervention allows us to produce an empirical estimate of our estimand, although, in reality, each person receives only one kind of AI-advice (correct advice, wrong advice, no advice)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44"/>
    <w:bookmarkEnd w:id="45"/>
    <w:bookmarkStart w:id="47" w:name="Xb015cf96df2a2ba0189c3dd64f34e74615d1aa2"/>
    <w:p>
      <w:pPr>
        <w:pStyle w:val="Heading2"/>
      </w:pPr>
      <w:r>
        <w:t xml:space="preserve">Step 2: Simulate the data 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(assumed) data generating process of the planned study. This requires specifying a generative process for all predictor variables used in the final data analysis. While such assumptions can be quite challenging for observational studies or continuous predictor variables, this is less of a problem for experimental studies with only categorical predictor variables.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 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 generating process. However, we would argue that even a strongly simplified data 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we simulate data for an experiment where the diagnostic performance of users of an AI-enabled diagnostic decision support system will be evaluated. Radiologists (task experts) and students/interns (non experts) review a series of head computer tomography (CT) scans to assess the presence of a bleeding. An AI model provides initial diagnostic advice to assist their decision-making. In the control condition, no AI advice is presented. When AI advice is given, this advice can be either correct or incorrect. The type of advice (no advice, wrong advice, correct advice) is randomized within subjects across brain scans. After reviewing a CT scan, participants deliver a medical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students/interns)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w:t>
      </w:r>
      <w:r>
        <w:t xml:space="preserve">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4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47"/>
    <w:bookmarkStart w:id="69" w:name="step-3-specify-the-population-parameters"/>
    <w:p>
      <w:pPr>
        <w:pStyle w:val="Heading2"/>
      </w:pPr>
      <w:r>
        <w:t xml:space="preserve">Step 3: Specify the population parameters</w:t>
      </w:r>
    </w:p>
    <w:bookmarkStart w:id="48" w:name="theory-2"/>
    <w:p>
      <w:pPr>
        <w:pStyle w:val="Heading3"/>
      </w:pPr>
      <w:r>
        <w:t xml:space="preserve">THEORY</w:t>
      </w:r>
    </w:p>
    <w:p>
      <w:pPr>
        <w:pStyle w:val="FirstParagraph"/>
      </w:pPr>
      <w:r>
        <w:t xml:space="preserve">In the absence of previous studies with the same design or pilot data, researchers require strategies on how to specify the population parameters used in their data simulation. Population parameters are all model parameters estimated in a GLMM, in particular the regression coefficients of the fixed effects and the standard deviation of the random effects (and the correlation between random effects in more complicated models). In contrast to non-hierarchical linear regression, common heuristics based on standardized effect sizes are less useful or not even available for GLMMs. Our strategies to specify population parameters will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how the data generating process implied by certain values of population parameters can be quantified or visualized in an intuitive way that enables a calibration of population parameters based on the available knowledge of domain experts.</w:t>
      </w:r>
    </w:p>
    <w:p>
      <w:pPr>
        <w:pStyle w:val="BodyText"/>
      </w:pPr>
      <w:r>
        <w:t xml:space="preserve">Although we use frequentist model estimation in our tutorial, many strategies described in this chapter are inspired by research on how to monitor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48"/>
    <w:bookmarkStart w:id="5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w:t>
      </w:r>
    </w:p>
    <w:p>
      <w:pPr>
        <w:pStyle w:val="BodyText"/>
      </w:pPr>
      <w:r>
        <w:t xml:space="preserve">The starting point for all parameter values in our present case study were based on results from distantly related study designs in the literature. Additionally, we had repeated discussions with our affiliated domain experts in radiology to check whether our assumptions seem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1) the</w:t>
      </w:r>
      <w:r>
        <w:t xml:space="preserve"> </w:t>
      </w:r>
      <m:oMath>
        <m:r>
          <m:t>β</m:t>
        </m:r>
      </m:oMath>
      <w:r>
        <w:t xml:space="preserve"> </w:t>
      </w:r>
      <w:r>
        <w:t xml:space="preserve">parameters are connected to the modeled probability via the non-linear inverse-logit link, and 2) we also have to consider the random effects.</w:t>
      </w:r>
      <w:r>
        <w:t xml:space="preserve"> </w:t>
      </w:r>
      <w:r>
        <w:t xml:space="preserve">The most simple interpretation, that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 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non-expert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49" w:name="tbl-probtable"/>
    <w:p>
      <w:pPr>
        <w:pStyle w:val="FigureTitle"/>
      </w:pPr>
      <w:r>
        <w:t xml:space="preserve">Table 1</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no expert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false advice, no expert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false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no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49"/>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1</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w:t>
      </w:r>
    </w:p>
    <w:bookmarkEnd w:id="50"/>
    <w:bookmarkStart w:id="51" w:name="insightful-descriptive-statistics"/>
    <w:p>
      <w:pPr>
        <w:pStyle w:val="Heading3"/>
      </w:pPr>
      <w:r>
        <w:t xml:space="preserve">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would be specified. The knowledge of how to simulate from a GLMM enables us to compute insightful descriptive statistics 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(on average). The job of the analyst who is familiar with the mathematical structure of the GLMM is to produce the model implied value of the insightful descriptive statistic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 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 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 marginal interpretation, while the second one implies a conditional interpretation.</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would be zero).</w:t>
      </w:r>
      <w:r>
        <w:t xml:space="preserve"> </w:t>
      </w:r>
      <w:r>
        <w:t xml:space="preserve">We want to use the model implied observed proportion of correct diagnoses in each experimental condition as an insightful descriptive statistics to determine plausible values for the random effect standard deviations.</w:t>
      </w:r>
    </w:p>
    <w:p>
      <w:pPr>
        <w:pStyle w:val="BodyText"/>
      </w:pPr>
      <w:r>
        <w:t xml:space="preserve">We will simulate a large dataset (for which the observed values of the descriptive statistic will be close to their model 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no expert, no advice                   0.683</w:t>
      </w:r>
      <w:r>
        <w:br/>
      </w:r>
      <w:r>
        <w:rPr>
          <w:rStyle w:val="VerbatimChar"/>
        </w:rPr>
        <w:t xml:space="preserve">2 expert, no advice                      0.881</w:t>
      </w:r>
      <w:r>
        <w:br/>
      </w:r>
      <w:r>
        <w:rPr>
          <w:rStyle w:val="VerbatimChar"/>
        </w:rPr>
        <w:t xml:space="preserve">3 no expert, wrong advice                0.409</w:t>
      </w:r>
      <w:r>
        <w:br/>
      </w:r>
      <w:r>
        <w:rPr>
          <w:rStyle w:val="VerbatimChar"/>
        </w:rPr>
        <w:t xml:space="preserve">4 expert, wrong advice                   0.828</w:t>
      </w:r>
      <w:r>
        <w:br/>
      </w:r>
      <w:r>
        <w:rPr>
          <w:rStyle w:val="VerbatimChar"/>
        </w:rPr>
        <w:t xml:space="preserve">5 no expert,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 with out domain expertise.</w:t>
      </w:r>
      <w:r>
        <w:t xml:space="preserve"> </w:t>
      </w:r>
      <w:r>
        <w:t xml:space="preserve">However, although the result was deemed plausible, these statistics were not informative enough to determine a final set of plausible parameter values.</w:t>
      </w:r>
      <w:r>
        <w:t xml:space="preserve"> </w:t>
      </w:r>
      <w:r>
        <w:t xml:space="preserve">For this reason, we will additionally look at insightful model based quantities.</w:t>
      </w:r>
    </w:p>
    <w:bookmarkEnd w:id="51"/>
    <w:bookmarkStart w:id="67" w:name="insightful-model-based-quantities"/>
    <w:p>
      <w:pPr>
        <w:pStyle w:val="Heading3"/>
      </w:pPr>
      <w:r>
        <w:t xml:space="preserve">Insightful model 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 insightful model based quantities 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 implied probability of each simulated data point (stored in the variable</w:t>
      </w:r>
      <w:r>
        <w:t xml:space="preserve"> </w:t>
      </w:r>
      <w:r>
        <w:rPr>
          <w:rStyle w:val="VerbatimChar"/>
        </w:rPr>
        <w:t xml:space="preserve">y_prob</w:t>
      </w:r>
      <w:r>
        <w:t xml:space="preserve">) to visualize the whole model implied marginal distribution of correct diagnoses for each experimental condition.</w:t>
      </w:r>
    </w:p>
    <w:bookmarkStart w:id="5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5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53" name="Picture"/>
            <a:graphic>
              <a:graphicData uri="http://schemas.openxmlformats.org/drawingml/2006/picture">
                <pic:pic>
                  <pic:nvPicPr>
                    <pic:cNvPr descr="manuscript_files/figure-docx/fig-margdist1-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bookmarkEnd w:id="56"/>
    <w:p>
      <w:pPr>
        <w:pStyle w:val="AfterWithoutNote"/>
      </w:pPr>
      <w:hyperlink w:anchor="fig-margdist1">
        <w:r>
          <w:rPr>
            <w:rStyle w:val="Hyperlink"/>
          </w:rPr>
          <w:t xml:space="preserve">Figure 1</w:t>
        </w:r>
      </w:hyperlink>
      <w:r>
        <w:t xml:space="preserve"> </w:t>
      </w:r>
      <w:r>
        <w:t xml:space="preserve">shows the model implied marginal distributions, including the mean, 66% and 95% intervals. We can see that, indeed, the average probabilities (black dots) slightly differ from the probabilities of average subjects and items considered in the previous section. This difference increases with the variability of the random effects.</w:t>
      </w:r>
      <w:r>
        <w:t xml:space="preserve"> </w:t>
      </w:r>
      <w:r>
        <w:t xml:space="preserve">We can use plots like the one above 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61" w:name="cell-fig-margdist2"/>
    <w:bookmarkStart w:id="6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58" name="Picture"/>
            <a:graphic>
              <a:graphicData uri="http://schemas.openxmlformats.org/drawingml/2006/picture">
                <pic:pic>
                  <pic:nvPicPr>
                    <pic:cNvPr descr="manuscript_files/figure-docx/fig-margdist2-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bookmarkEnd w:id="60"/>
    <w:bookmarkEnd w:id="61"/>
    <w:p>
      <w:pPr>
        <w:pStyle w:val="AfterWithoutNote"/>
      </w:pPr>
      <w:r>
        <w:t xml:space="preserve">In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non-experts: With wrong advice, virtually all experts have a higher probability of making a correct diagnosis compared to non-experts when considering only items with average difficulty. In contrast, there is considerable overlap in probability between experts and non-experts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are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usually close to either 0 or 1, which is not a plausible assumption. These high standard deviations do not account for the inherent variability and complexity of human performance. For example, we would expect that a participant with low ability compared to other task experts to solve a difficult item with a probability substantially larger than zero even when presented with wrong advice.</w:t>
      </w:r>
    </w:p>
    <w:bookmarkStart w:id="66" w:name="cell-fig-margdist3"/>
    <w:bookmarkStart w:id="6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63" name="Picture"/>
            <a:graphic>
              <a:graphicData uri="http://schemas.openxmlformats.org/drawingml/2006/picture">
                <pic:pic>
                  <pic:nvPicPr>
                    <pic:cNvPr descr="manuscript_files/figure-docx/fig-margdist3-1.png" id="64"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bookmarkEnd w:id="65"/>
    <w:bookmarkEnd w:id="66"/>
    <w:bookmarkEnd w:id="67"/>
    <w:bookmarkStart w:id="68" w:name="iterative-process-with-domain-experts"/>
    <w:p>
      <w:pPr>
        <w:pStyle w:val="Heading3"/>
      </w:pPr>
      <w:r>
        <w:t xml:space="preserve">Iterative process with domain experts</w:t>
      </w:r>
    </w:p>
    <w:p>
      <w:pPr>
        <w:pStyle w:val="Heading4"/>
        <w:rPr>
          <w:vanish/>
          <w:specVanish/>
        </w:rPr>
      </w:pPr>
      <w:r>
        <w:t>THEORY.</w:t>
      </w:r>
      <w:r>
        <w:t xml:space="preserve"> </w:t>
      </w:r>
    </w:p>
    <w:p>
      <w:pPr>
        <w:pStyle w:val="FirstParagraph"/>
      </w:pPr>
      <w:r>
        <w:t xml:space="preserve">In our experience, the gathering of domain knowledge by domain experts and the consecutive specification of population parameter values used in data simulation is not a one-time event but rather an iterative process.</w:t>
      </w:r>
      <w:r>
        <w:t xml:space="preserve"> </w:t>
      </w:r>
      <w:r>
        <w:t xml:space="preserve">In a first step, domain experts can be interviewed to</w:t>
      </w:r>
      <w:r>
        <w:t xml:space="preserve"> </w:t>
      </w:r>
      <w:r>
        <w:t xml:space="preserve">“</w:t>
      </w:r>
      <w:r>
        <w:t xml:space="preserve">elicit</w:t>
      </w:r>
      <w:r>
        <w:t xml:space="preserve">”</w:t>
      </w:r>
      <w:r>
        <w:t xml:space="preserve"> </w:t>
      </w:r>
      <w:r>
        <w:t xml:space="preserve">their domain knowledge about how the future data of the planned study is expected to look like.</w:t>
      </w:r>
      <w:r>
        <w:t xml:space="preserve"> </w:t>
      </w:r>
      <w:r>
        <w:t xml:space="preserve">As most domain experts are no experts in statistical modeling and GLMMs, they often struggle without further guidance to communicate their knowledge in a way that is useful when specifying the parameters for data simulation.</w:t>
      </w:r>
      <w:r>
        <w:t xml:space="preserve"> </w:t>
      </w:r>
      <w:r>
        <w:t xml:space="preserve">For this reason, we suggest that after an initial unstructured interview of domain experts, the analyst who is familiar with the structure of the GLMM under study selects an initial set of insightful descriptive statistics and model based quantities.</w:t>
      </w:r>
      <w:r>
        <w:t xml:space="preserve"> </w:t>
      </w:r>
      <w:r>
        <w:t xml:space="preserve">Then they reenter into an iterative discussion where some set of population values are selected and the plausibility of resulting implied quantities are discussed with the domain experts.</w:t>
      </w:r>
      <w:r>
        <w:t xml:space="preserve"> </w:t>
      </w:r>
      <w:r>
        <w:t xml:space="preserve">Then, the population parameters are updated based on this discussion until the domain experts are satisfied with the final result.</w:t>
      </w:r>
      <w:r>
        <w:t xml:space="preserve"> </w:t>
      </w:r>
      <w:r>
        <w:t xml:space="preserve">During this process, the monitored model based quantities and descriptive statistics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our affiliated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often exceeding or hovering around 90%, while interns have been shown to perform below 80%, and medical students fall even shorter.</w:t>
      </w:r>
      <w:r>
        <w:t xml:space="preserve"> </w:t>
      </w:r>
      <w:r>
        <w:t xml:space="preserve">For simplicity, we assumed plausible probability values of .90 for experts and .70 for non-experts,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non-experts should benefit from correct and suffer losses from incorrect advice.</w:t>
      </w:r>
      <w:r>
        <w:t xml:space="preserve"> </w:t>
      </w:r>
      <w:r>
        <w:t xml:space="preserve">However, the magnitude of these effects should be substantially greater for non-experts, given their demonstrated reliance on advice compared to experts.</w:t>
      </w:r>
      <w:r>
        <w:t xml:space="preserve"> </w:t>
      </w:r>
      <w:r>
        <w:t xml:space="preserve">We further validated the plausibility of our estimated gains and losses with the collaborating radiologists.</w:t>
      </w:r>
      <w:r>
        <w:t xml:space="preserve"> </w:t>
      </w:r>
      <w:r>
        <w:t xml:space="preserve">For our simulation, we used the probabilities of average participants to solve an average case, as shown in Table 1.</w:t>
      </w:r>
    </w:p>
    <w:bookmarkEnd w:id="68"/>
    <w:bookmarkEnd w:id="69"/>
    <w:bookmarkStart w:id="73" w:name="step-4-estimate-the-statistical-model"/>
    <w:p>
      <w:pPr>
        <w:pStyle w:val="Heading2"/>
      </w:pPr>
      <w:r>
        <w:t xml:space="preserve">Step 4: Estimate the statistical model</w:t>
      </w:r>
    </w:p>
    <w:bookmarkStart w:id="70" w:name="theory-6"/>
    <w:p>
      <w:pPr>
        <w:pStyle w:val="Heading3"/>
      </w:pPr>
      <w:r>
        <w:t xml:space="preserve">THEORY</w:t>
      </w:r>
    </w:p>
    <w:p>
      <w:pPr>
        <w:pStyle w:val="FirstParagraph"/>
      </w:pPr>
      <w:r>
        <w:t xml:space="preserve">At this point, the researcher is capable of producing a simulated dataset similar to the actual dataset that will later be collected in the planned study.</w:t>
      </w:r>
      <w:r>
        <w:t xml:space="preserve"> </w:t>
      </w:r>
      <w:r>
        <w:t xml:space="preserve">The next step is to specify how the statistical model shall be estimated in the actual study collected later.</w:t>
      </w:r>
      <w:r>
        <w:t xml:space="preserve"> </w:t>
      </w:r>
      <w:r>
        <w:t xml:space="preserve">This usually includes the selection of 1) a statistical framework (e.g., frequentist statistics), 2) a software package that is capable of estimating the model class of interest (e.g., the lme4 R package), 3) an estimation algorithm (e.g., the default optimizer</w:t>
      </w:r>
      <w:r>
        <w:t xml:space="preserve"> </w:t>
      </w:r>
      <w:r>
        <w:t xml:space="preserve">“</w:t>
      </w:r>
      <w:r>
        <w:t xml:space="preserve">bobyqa</w:t>
      </w:r>
      <w:r>
        <w:t xml:space="preserve">”</w:t>
      </w:r>
      <w:r>
        <w:t xml:space="preserve">), and 4) the specific model structure including all fixed effects, random effects, and the model family of the dependent variable.</w:t>
      </w:r>
      <w:r>
        <w:br/>
      </w:r>
      <w:r>
        <w:t xml:space="preserve">Note that this does not always mean that one will specify the same GLMM that was used when specifying the data 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 generating process that are still difficult to estimate with the current state-of-the-art in multilevel modeling.</w:t>
      </w:r>
    </w:p>
    <w:bookmarkEnd w:id="70"/>
    <w:bookmarkStart w:id="72" w:name="practice-6"/>
    <w:p>
      <w:pPr>
        <w:pStyle w:val="Heading3"/>
      </w:pPr>
      <w:r>
        <w:t xml:space="preserve">PRACTICE</w:t>
      </w:r>
    </w:p>
    <w:p>
      <w:pPr>
        <w:pStyle w:val="FirstParagraph"/>
      </w:pPr>
      <w:r>
        <w:t xml:space="preserve">In our case study, we use the lme4 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71"/>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 lme4 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 lme4 package.</w:t>
      </w:r>
    </w:p>
    <w:p>
      <w:pPr>
        <w:pStyle w:val="BodyText"/>
      </w:pPr>
      <w:r>
        <w:t xml:space="preserve">In lme4,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lme4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72"/>
    <w:bookmarkEnd w:id="73"/>
    <w:bookmarkStart w:id="76" w:name="step-5-compute-the-estimate"/>
    <w:p>
      <w:pPr>
        <w:pStyle w:val="Heading2"/>
      </w:pPr>
      <w:r>
        <w:t xml:space="preserve">Step 5: Compute the estimate</w:t>
      </w:r>
    </w:p>
    <w:bookmarkStart w:id="74"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can be used to answer the research question.</w:t>
      </w:r>
      <w:r>
        <w:t xml:space="preserve"> </w:t>
      </w:r>
      <w:r>
        <w:t xml:space="preserve">The decision on testing or estimating is then followed by selecting the specific statistical method that shall be applied to compute the HT(s) or CI(s) (e.g., compute HTs and CIs with the marginaleffects R package using the delta method).</w:t>
      </w:r>
    </w:p>
    <w:bookmarkEnd w:id="74"/>
    <w:bookmarkStart w:id="75"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model equation of the GLMM produces an equation on how to compute each contrast if all model parameters were known.</w:t>
      </w:r>
      <w:r>
        <w:t xml:space="preserve"> </w:t>
      </w:r>
      <w:r>
        <w:t xml:space="preserve">When we want to estimate the above contrasts based on</w:t>
      </w:r>
      <w:r>
        <w:t xml:space="preserve"> </w:t>
      </w:r>
      <w:r>
        <w:rPr>
          <w:i/>
          <w:iCs/>
        </w:rPr>
        <w:t xml:space="preserve">observed</w:t>
      </w:r>
      <w:r>
        <w:t xml:space="preserve"> </w:t>
      </w:r>
      <w:r>
        <w:t xml:space="preserve">data, the only difference is that model parameters are not known and we instead use the corresponding parameter</w:t>
      </w:r>
      <w:r>
        <w:t xml:space="preserve"> </w:t>
      </w:r>
      <w:r>
        <w:rPr>
          <w:i/>
          <w:iCs/>
        </w:rPr>
        <w:t xml:space="preserve">estimates</w:t>
      </w:r>
      <w:r>
        <w:t xml:space="preserve">.</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 lme4 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w:t>
      </w:r>
      <w:r>
        <w:t xml:space="preserve"> </w:t>
      </w:r>
      <w:r>
        <w:t xml:space="preserve">The marginaleffects package</w:t>
      </w:r>
      <w:r>
        <w:t xml:space="preserve"> </w:t>
      </w:r>
      <w:r>
        <w:t xml:space="preserve">(</w:t>
      </w:r>
      <w:hyperlink w:anchor="ref-R-marginaleffects">
        <w:r>
          <w:rPr>
            <w:rStyle w:val="Hyperlink"/>
          </w:rPr>
          <w:t xml:space="preserve">Arel-Bundock, 2024</w:t>
        </w:r>
      </w:hyperlink>
      <w:r>
        <w:t xml:space="preserve">)</w:t>
      </w:r>
      <w:r>
        <w:t xml:space="preserve"> </w:t>
      </w:r>
      <w:r>
        <w:t xml:space="preserve">is a very flexible, increasingly popular package to compute HTs and CIs for contrasts with a variety of statistical models, including GLMMs estimated with lme4.</w:t>
      </w:r>
      <w:r>
        <w:t xml:space="preserve"> </w:t>
      </w:r>
      <w:r>
        <w:t xml:space="preserve">First, we specify a grid of all combinations of predictor variable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probs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 marginaleffects 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(wrong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no expert) - (no advice, no expert)</w:t>
      </w:r>
      <w:r>
        <w:br/>
      </w:r>
      <w:r>
        <w:rPr>
          <w:rStyle w:val="NormalTok"/>
        </w:rPr>
        <w:t xml:space="preserve">    </w:t>
      </w:r>
      <w:r>
        <w:rPr>
          <w:rStyle w:val="StringTok"/>
        </w:rPr>
        <w:t xml:space="preserve">"b1 = b5"</w:t>
      </w:r>
      <w:r>
        <w:rPr>
          <w:rStyle w:val="NormalTok"/>
        </w:rPr>
        <w:t xml:space="preserve">), </w:t>
      </w:r>
      <w:r>
        <w:rPr>
          <w:rStyle w:val="CommentTok"/>
        </w:rPr>
        <w:t xml:space="preserve"># (no advice, no expert) - (wrong advice, no expert)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probs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(non-expert with wrong advice vs. non-expert without advice), where both underlying probabilities are closer to 0.5.</w:t>
      </w:r>
    </w:p>
    <w:bookmarkEnd w:id="75"/>
    <w:bookmarkEnd w:id="76"/>
    <w:bookmarkStart w:id="91" w:name="step-6-perform-repeated-simulations"/>
    <w:p>
      <w:pPr>
        <w:pStyle w:val="Heading2"/>
      </w:pPr>
      <w:r>
        <w:t xml:space="preserve">Step 6: Perform repeated simulations</w:t>
      </w:r>
    </w:p>
    <w:bookmarkStart w:id="77"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performed for the actual dataset of the planned study.</w:t>
      </w:r>
      <w:r>
        <w:t xml:space="preserve"> </w:t>
      </w:r>
      <w:r>
        <w:t xml:space="preserve">The last missing piece is to write code to perform the above steps repeatedly and allow for a setting using different sample sizes.</w:t>
      </w:r>
      <w:r>
        <w:t xml:space="preserve"> </w:t>
      </w:r>
      <w:r>
        <w:t xml:space="preserve">On a conceptual level, we first require a function that takes as input the sample size and the full set of population parameter values.</w:t>
      </w:r>
      <w:r>
        <w:t xml:space="preserve"> </w:t>
      </w:r>
      <w:r>
        <w:t xml:space="preserve">When planning for power, the function should return the p-value(s) of the HT(s) of interest when conducted on the simulated dataset.</w:t>
      </w:r>
      <w:r>
        <w:t xml:space="preserve"> </w:t>
      </w:r>
      <w:r>
        <w:t xml:space="preserve">When planning for precision, the function should return the width of the CI(s) of interest.</w:t>
      </w:r>
      <w:r>
        <w:t xml:space="preserve"> </w:t>
      </w:r>
      <w:r>
        <w:t xml:space="preserve">Secondly, we must run this function repeatedly with the same sample size and population parameters.</w:t>
      </w:r>
      <w:r>
        <w:t xml:space="preserve"> </w:t>
      </w:r>
      <w:r>
        <w:t xml:space="preserve">Because even fitting GLMMs with frequentist methods can quickly become time-consuming, it is recommended to use parallel computing, that is running simulations on multiple cores of the computer at the same time to reduce total run time.</w:t>
      </w:r>
      <w:r>
        <w:t xml:space="preserve"> </w:t>
      </w:r>
      <w:r>
        <w:t xml:space="preserve">Thirdly, the results of the repeated simulation must be collected and aggregated.</w:t>
      </w:r>
      <w:r>
        <w:t xml:space="preserve"> </w:t>
      </w:r>
      <w:r>
        <w:t xml:space="preserve">When planning for power, we compute the relative frequency of (a) significant p-value(s) across repeated simulations.</w:t>
      </w:r>
      <w:r>
        <w:t xml:space="preserve"> </w:t>
      </w:r>
      <w:r>
        <w:t xml:space="preserve">When planning for precision, we compute the average width of the CI(s).</w:t>
      </w:r>
      <w:r>
        <w:t xml:space="preserve"> </w:t>
      </w:r>
      <w:r>
        <w:t xml:space="preserve">Lastly, we have to repeat the complete simulation for different sample sizes, to determine how big the sample must be in order to achieve the targeted power or precision.</w:t>
      </w:r>
    </w:p>
    <w:bookmarkEnd w:id="77"/>
    <w:bookmarkStart w:id="90" w:name="practice-8"/>
    <w:p>
      <w:pPr>
        <w:pStyle w:val="Heading3"/>
      </w:pPr>
      <w:r>
        <w:t xml:space="preserve">PRACTICE</w:t>
      </w:r>
    </w:p>
    <w:p>
      <w:pPr>
        <w:pStyle w:val="FirstParagraph"/>
      </w:pPr>
      <w:r>
        <w:t xml:space="preserve">We are finally ready to run our simulation-based sample size planning analyses to plan for power and for precision. 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Simulation-based sample size planning can quickly become computationally intensive when we repeatedly simulate data and fit models for different parameter combinations or sample sizes. Thus, we use the future</w:t>
      </w:r>
      <w:r>
        <w:t xml:space="preserve"> </w:t>
      </w:r>
      <w:r>
        <w:t xml:space="preserve">(</w:t>
      </w:r>
      <w:hyperlink w:anchor="ref-R-RJ-2021-048">
        <w:r>
          <w:rPr>
            <w:rStyle w:val="Hyperlink"/>
          </w:rPr>
          <w:t xml:space="preserve">Bengtsson, 2021</w:t>
        </w:r>
      </w:hyperlink>
      <w:r>
        <w:t xml:space="preserve">)</w:t>
      </w:r>
      <w:r>
        <w:t xml:space="preserve"> </w:t>
      </w:r>
      <w:r>
        <w:t xml:space="preserve">and 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We chose 300 repetitions for the data simulation at hand as it strikes a balance between achieving a robust statistical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 lme4 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78"/>
      </w:r>
    </w:p>
    <w:bookmarkStart w:id="84"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83"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81" name="Picture"/>
            <a:graphic>
              <a:graphicData uri="http://schemas.openxmlformats.org/drawingml/2006/picture">
                <pic:pic>
                  <pic:nvPicPr>
                    <pic:cNvPr descr="manuscript_files/figure-docx/fig-finalpwr-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bookmarkEnd w:id="83"/>
    <w:bookmarkEnd w:id="84"/>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future study.</w:t>
      </w:r>
    </w:p>
    <w:p>
      <w:pPr>
        <w:pStyle w:val="BodyText"/>
      </w:pPr>
      <w:r>
        <w:t xml:space="preserve">Much has been written on the optimal amount of power to target in empirical research. The most prominent heuristic is to target a power of 0.8 (when combined with a type I error rate of</w:t>
      </w:r>
      <w:r>
        <w:t xml:space="preserve"> </w:t>
      </w:r>
      <m:oMath>
        <m:r>
          <m:t>α</m:t>
        </m:r>
        <m:r>
          <m:rPr>
            <m:sty m:val="p"/>
          </m:rPr>
          <m:t>=</m:t>
        </m:r>
        <m:r>
          <m:t>0.05</m:t>
        </m:r>
      </m:oMath>
      <w:r>
        <w:t xml:space="preserve">), but depending on the research goals of the study, there are often good reasons to move away from this standard depending on the research goals and resource constraints</w:t>
      </w:r>
      <w:r>
        <w:t xml:space="preserve"> </w:t>
      </w:r>
      <w:r>
        <w:t xml:space="preserve">(</w:t>
      </w:r>
      <w:hyperlink w:anchor="ref-lakensJustifyYourAlpha2018">
        <w:r>
          <w:rPr>
            <w:rStyle w:val="Hyperlink"/>
          </w:rPr>
          <w:t xml:space="preserve">Lakens, Adolfi, et al., 2018</w:t>
        </w:r>
      </w:hyperlink>
      <w:r>
        <w:t xml:space="preserve">;</w:t>
      </w:r>
      <w:r>
        <w:t xml:space="preserve"> </w:t>
      </w:r>
      <w:hyperlink w:anchor="ref-lakensSampleSizeJustification2022">
        <w:r>
          <w:rPr>
            <w:rStyle w:val="Hyperlink"/>
          </w:rPr>
          <w:t xml:space="preserve">Lakens, 2022a</w:t>
        </w:r>
      </w:hyperlink>
      <w:r>
        <w:t xml:space="preserve">)</w:t>
      </w:r>
      <w:r>
        <w:t xml:space="preserve">. When target power has been specified, the number of subjects and the number of items in our study design can be traded against each other based on practical considerations. For the sake of the example, let the targeted power be indeed about 0.8, using an</w:t>
      </w:r>
      <w:r>
        <w:t xml:space="preserve"> </w:t>
      </w:r>
      <m:oMath>
        <m:r>
          <m:t>α</m:t>
        </m:r>
      </m:oMath>
      <w:r>
        <w:t xml:space="preserve"> </w:t>
      </w:r>
      <w:r>
        <w:t xml:space="preserve">of 0.05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the frequency of whether advice is presented and whether it is 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89"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88"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86" name="Picture"/>
            <a:graphic>
              <a:graphicData uri="http://schemas.openxmlformats.org/drawingml/2006/picture">
                <pic:pic>
                  <pic:nvPicPr>
                    <pic:cNvPr descr="manuscript_files/figure-docx/fig-finalprecision-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bookmarkEnd w:id="88"/>
    <w:bookmarkEnd w:id="89"/>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both the number of subjects and the number of items.</w:t>
      </w:r>
      <w:r>
        <w:t xml:space="preserve"> </w:t>
      </w:r>
      <w:r>
        <w:t xml:space="preserve">The CIs reported here indicate how precisely the expected width of the CI for our focal contrast was estimated by our simulation.</w:t>
      </w:r>
      <w:r>
        <w:t xml:space="preserve"> </w:t>
      </w:r>
      <w:r>
        <w:t xml:space="preserve">Applying our simple heuristic of targeting an expected width smaller than 0.1, we see the same trade-off between the number of subjects and the number of items as with planning for power.</w:t>
      </w:r>
      <w:r>
        <w:t xml:space="preserve"> </w:t>
      </w:r>
      <w:r>
        <w:t xml:space="preserve">We could either choose 100 subjects and 30 items or 200 subjects and 10 items.</w:t>
      </w:r>
      <w:r>
        <w:t xml:space="preserve"> </w:t>
      </w:r>
      <w:r>
        <w:t xml:space="preserve">Note that our simple heuristic for determining sample size in the planning for precision scenario was quite liberal.</w:t>
      </w:r>
      <w:r>
        <w:t xml:space="preserve"> </w:t>
      </w:r>
      <w:r>
        <w:t xml:space="preserve">This is reflected by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90"/>
    <w:bookmarkEnd w:id="91"/>
    <w:bookmarkStart w:id="92" w:name="sensitivity-analysis"/>
    <w:p>
      <w:pPr>
        <w:pStyle w:val="Heading2"/>
      </w:pPr>
      <w:r>
        <w:t xml:space="preserve">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Domain knowledge can be considered a vague theoretical model about the data-generating process that is less formal and can only be accessed by a back-and-forth exchange in which domain experts assess the plausibility of simulated data.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For strategies on the even more difficult task of specifying a plausible SESOI, as well as a thorough discussion of various topics concerning power analysis, see</w:t>
      </w:r>
      <w:r>
        <w:t xml:space="preserve"> </w:t>
      </w:r>
      <w:r>
        <w:t xml:space="preserve">(</w:t>
      </w:r>
      <w:hyperlink w:anchor="ref-lakensImprovingYourStatistical2022">
        <w:r>
          <w:rPr>
            <w:rStyle w:val="Hyperlink"/>
          </w:rPr>
          <w:t xml:space="preserve">Lakens, 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what is called</w:t>
      </w:r>
      <w:r>
        <w:t xml:space="preserve"> </w:t>
      </w:r>
      <w:r>
        <w:rPr>
          <w:i/>
          <w:iCs/>
        </w:rPr>
        <w:t xml:space="preserve">sensitivity power analysis</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w:t>
      </w:r>
    </w:p>
    <w:bookmarkEnd w:id="92"/>
    <w:bookmarkEnd w:id="93"/>
    <w:bookmarkStart w:id="94" w:name="conclusion-and-outlook"/>
    <w:p>
      <w:pPr>
        <w:pStyle w:val="Heading1"/>
      </w:pPr>
      <w:r>
        <w:t xml:space="preserve">Conclusion and outlook</w:t>
      </w:r>
    </w:p>
    <w:p>
      <w:pPr>
        <w:pStyle w:val="FirstParagraph"/>
      </w:pPr>
      <w:r>
        <w:t xml:space="preserve">The goal of this tutorial was to teach researchers how to perform tailored simulation-based sample size planning for GLMMs.</w:t>
      </w:r>
      <w:r>
        <w:t xml:space="preserve"> </w:t>
      </w:r>
      <w:r>
        <w:t xml:space="preserve">Beyond the specifics of our concrete case study, we want to outline six developments regarding the future role of simulation-based sample size planning in experimental research:</w:t>
      </w:r>
    </w:p>
    <w:p>
      <w:pPr>
        <w:pStyle w:val="BodyText"/>
      </w:pPr>
      <w:r>
        <w:t xml:space="preserve">In light of the ongoing replication crisis and an existing literature full of underpowered studies, there is a growing need for simulation-based sample size planning in experimental research: In order to conduct informative research, GLMMs offer a flexible statistical framework to analyze complex experimental study designs. However, existing formula-based heuristics and user-friendly software tools for a priori power analysis are often not sufficient. Therefore, simulation-based power analysis is becoming increasingly needed since it provides experimental researchers with a tailored approach to estimating required sample sizes before data collection.</w:t>
      </w:r>
    </w:p>
    <w:p>
      <w:pPr>
        <w:pStyle w:val="BodyText"/>
      </w:pPr>
      <w:r>
        <w:t xml:space="preserve">Managing data simulations more easily with discrete predictor variables: Simulation-based sample size planning becomes more manageable when all predictor variables are discrete (like in the presented case study) and fixed by the study design.</w:t>
      </w:r>
      <w:r>
        <w:t xml:space="preserve"> </w:t>
      </w:r>
      <w:r>
        <w:t xml:space="preserve">This allows researchers to focus on simulating outcome variables while avoiding the need for complex simulations of predictor values, which would introduce additional assumptions. By simplifying the simulation process, researchers can obtain reliable estimates for power or precision without compromising realistic assumptions about the data-generating process implied by the study design.</w:t>
      </w:r>
    </w:p>
    <w:p>
      <w:pPr>
        <w:pStyle w:val="BodyText"/>
      </w:pPr>
      <w:r>
        <w:t xml:space="preserve">Teaching data simulation skills: The ability to conduct simulation-based sample size planning is a valuable skill that should be taught to experimental researchers. By incorporating such training into research methods courses and workshops, researchers can gain a deeper understanding of statistical power or precision, and improve the quality of their experimental designs.</w:t>
      </w:r>
      <w:r>
        <w:t xml:space="preserve"> </w:t>
      </w:r>
      <w:r>
        <w:t xml:space="preserve">Equipping researchers with the knowledge and tools to perform simulation-based sample size planning enables them to make informed decisions and enhance the rigor of their studies.</w:t>
      </w:r>
      <w:r>
        <w:t xml:space="preserve"> </w:t>
      </w:r>
      <w:r>
        <w:t xml:space="preserve">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pStyle w:val="BodyText"/>
      </w:pPr>
      <w:r>
        <w:t xml:space="preserve">Addressing the mismatch in effort perception: There is often a significant disconnect between the amount of effort required to perform tailored simulation-based sample size planning and the perceived effort estimated by researchers and collaborators in experimental research. Many researchers request simulation-based power analyses from statisticians or methodological experts without fully comprehending the complexity and time-consuming nature of these tailored simulations. It is crucial to raise awareness about the effort involved to ensure realistic expectations and effective collaboration between researchers and methodological experts.</w:t>
      </w:r>
    </w:p>
    <w:p>
      <w:pPr>
        <w:pStyle w:val="BodyText"/>
      </w:pPr>
      <w:r>
        <w:t xml:space="preserve">Recognizing the value of simulation-based design analysis: Tailored data simulations and power analyses are not mere technicalities; they are valuable research contributions that deserve recognition in experimental research. They offer insights into the robustness and sensitivity of experimental designs, helping researchers make informed decisions about sample sizes, effect sizes, and statistical power or precision. Their importance can be reflected by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pStyle w:val="BodyText"/>
      </w:pPr>
      <w:r>
        <w:t xml:space="preserve">Integration with Open Science and preregistration practices: Simulation-based sample size planning aligns well with the principles of Open Science and preregistration in experimental research.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94"/>
    <w:bookmarkStart w:id="186" w:name="references"/>
    <w:p>
      <w:pPr>
        <w:pStyle w:val="Heading1"/>
      </w:pPr>
      <w:r>
        <w:t xml:space="preserve">References</w:t>
      </w:r>
    </w:p>
    <w:bookmarkStart w:id="185" w:name="refs"/>
    <w:bookmarkStart w:id="96"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95">
        <w:r>
          <w:rPr>
            <w:rStyle w:val="Hyperlink"/>
          </w:rPr>
          <w:t xml:space="preserve">https://doi.org/10.1016/j.jesp.2017.09.004</w:t>
        </w:r>
      </w:hyperlink>
    </w:p>
    <w:bookmarkEnd w:id="96"/>
    <w:bookmarkStart w:id="98" w:name="ref-R-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97">
        <w:r>
          <w:rPr>
            <w:rStyle w:val="Hyperlink"/>
          </w:rPr>
          <w:t xml:space="preserve">https://marginaleffects.com/</w:t>
        </w:r>
      </w:hyperlink>
    </w:p>
    <w:bookmarkEnd w:id="98"/>
    <w:bookmarkStart w:id="100"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99">
        <w:r>
          <w:rPr>
            <w:rStyle w:val="Hyperlink"/>
          </w:rPr>
          <w:t xml:space="preserve">https://doi.org/10.1037/met0000195</w:t>
        </w:r>
      </w:hyperlink>
    </w:p>
    <w:bookmarkEnd w:id="100"/>
    <w:bookmarkStart w:id="102"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01">
        <w:r>
          <w:rPr>
            <w:rStyle w:val="Hyperlink"/>
          </w:rPr>
          <w:t xml:space="preserve">https://doi.org/10.18637/jss.v067.i01</w:t>
        </w:r>
      </w:hyperlink>
    </w:p>
    <w:bookmarkEnd w:id="102"/>
    <w:bookmarkStart w:id="104"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03">
        <w:r>
          <w:rPr>
            <w:rStyle w:val="Hyperlink"/>
          </w:rPr>
          <w:t xml:space="preserve">https://doi.org/10.32614/RJ-2021-048</w:t>
        </w:r>
      </w:hyperlink>
    </w:p>
    <w:bookmarkEnd w:id="104"/>
    <w:bookmarkStart w:id="106"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05">
        <w:r>
          <w:rPr>
            <w:rStyle w:val="Hyperlink"/>
          </w:rPr>
          <w:t xml:space="preserve">https://doi.org/10.32614/RJ-2017-066</w:t>
        </w:r>
      </w:hyperlink>
    </w:p>
    <w:bookmarkEnd w:id="106"/>
    <w:bookmarkStart w:id="108"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07">
        <w:r>
          <w:rPr>
            <w:rStyle w:val="Hyperlink"/>
          </w:rPr>
          <w:t xml:space="preserve">https://doi.org/10.5334/joc.10</w:t>
        </w:r>
      </w:hyperlink>
    </w:p>
    <w:bookmarkEnd w:id="108"/>
    <w:bookmarkStart w:id="11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9">
        <w:r>
          <w:rPr>
            <w:rStyle w:val="Hyperlink"/>
          </w:rPr>
          <w:t xml:space="preserve">https://doi.org/10.18637/jss.v080.i01</w:t>
        </w:r>
      </w:hyperlink>
    </w:p>
    <w:bookmarkEnd w:id="110"/>
    <w:bookmarkStart w:id="112"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11">
        <w:r>
          <w:rPr>
            <w:rStyle w:val="Hyperlink"/>
          </w:rPr>
          <w:t xml:space="preserve">https://doi.org/10.32614/RJ-2018-017</w:t>
        </w:r>
      </w:hyperlink>
    </w:p>
    <w:bookmarkEnd w:id="112"/>
    <w:bookmarkStart w:id="114"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13">
        <w:r>
          <w:rPr>
            <w:rStyle w:val="Hyperlink"/>
          </w:rPr>
          <w:t xml:space="preserve">https://doi.org/10.1038/s41562-021-01193-7</w:t>
        </w:r>
      </w:hyperlink>
    </w:p>
    <w:bookmarkEnd w:id="114"/>
    <w:bookmarkStart w:id="116"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15">
        <w:r>
          <w:rPr>
            <w:rStyle w:val="Hyperlink"/>
          </w:rPr>
          <w:t xml:space="preserve">https://doi.org/10.1037/0033-2909.112.1.155</w:t>
        </w:r>
      </w:hyperlink>
    </w:p>
    <w:bookmarkEnd w:id="116"/>
    <w:bookmarkStart w:id="118"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17">
        <w:r>
          <w:rPr>
            <w:rStyle w:val="Hyperlink"/>
          </w:rPr>
          <w:t xml:space="preserve">https://doi.org/10.1177/0956797613504966</w:t>
        </w:r>
      </w:hyperlink>
    </w:p>
    <w:bookmarkEnd w:id="118"/>
    <w:bookmarkStart w:id="120"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19">
        <w:r>
          <w:rPr>
            <w:rStyle w:val="Hyperlink"/>
          </w:rPr>
          <w:t xml:space="preserve">https://doi.org/10.5281/zenodo.2669586</w:t>
        </w:r>
      </w:hyperlink>
    </w:p>
    <w:bookmarkEnd w:id="120"/>
    <w:bookmarkStart w:id="122"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21">
        <w:r>
          <w:rPr>
            <w:rStyle w:val="Hyperlink"/>
          </w:rPr>
          <w:t xml:space="preserve">https://doi.org/10.1177/2515245920965119</w:t>
        </w:r>
      </w:hyperlink>
    </w:p>
    <w:bookmarkEnd w:id="122"/>
    <w:bookmarkStart w:id="124"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23">
        <w:r>
          <w:rPr>
            <w:rStyle w:val="Hyperlink"/>
          </w:rPr>
          <w:t xml:space="preserve">https://doi.org/10.1177/25152459221106366</w:t>
        </w:r>
      </w:hyperlink>
    </w:p>
    <w:bookmarkEnd w:id="124"/>
    <w:bookmarkStart w:id="126"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25">
        <w:r>
          <w:rPr>
            <w:rStyle w:val="Hyperlink"/>
          </w:rPr>
          <w:t xml:space="preserve">https://doi.org/10.1002/sim.5990</w:t>
        </w:r>
      </w:hyperlink>
    </w:p>
    <w:bookmarkEnd w:id="126"/>
    <w:bookmarkStart w:id="128"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27">
        <w:r>
          <w:rPr>
            <w:rStyle w:val="Hyperlink"/>
          </w:rPr>
          <w:t xml:space="preserve">https://doi.org/10.1007/978-3-662-63882-8</w:t>
        </w:r>
      </w:hyperlink>
    </w:p>
    <w:bookmarkEnd w:id="128"/>
    <w:bookmarkStart w:id="130"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29">
        <w:r>
          <w:rPr>
            <w:rStyle w:val="Hyperlink"/>
          </w:rPr>
          <w:t xml:space="preserve">https://arxiv.org/abs/2011.01808</w:t>
        </w:r>
      </w:hyperlink>
    </w:p>
    <w:bookmarkEnd w:id="130"/>
    <w:bookmarkStart w:id="132"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31">
        <w:r>
          <w:rPr>
            <w:rStyle w:val="Hyperlink"/>
          </w:rPr>
          <w:t xml:space="preserve">https://doi.org/10.1037/met0000361</w:t>
        </w:r>
      </w:hyperlink>
    </w:p>
    <w:bookmarkEnd w:id="132"/>
    <w:bookmarkStart w:id="134" w:name="ref-greenSIMRPackagePower2016a"/>
    <w:p>
      <w:pPr>
        <w:pStyle w:val="Bibliography"/>
      </w:pPr>
      <w:r>
        <w:t xml:space="preserve">Green, P., &amp; MacLeod, C. J. (2016).</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33">
        <w:r>
          <w:rPr>
            <w:rStyle w:val="Hyperlink"/>
          </w:rPr>
          <w:t xml:space="preserve">https://doi.org/10.1111/2041-210X.12504</w:t>
        </w:r>
      </w:hyperlink>
    </w:p>
    <w:bookmarkEnd w:id="134"/>
    <w:bookmarkStart w:id="136"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35">
        <w:r>
          <w:rPr>
            <w:rStyle w:val="Hyperlink"/>
          </w:rPr>
          <w:t xml:space="preserve">https://doi.org/10.7717/peerj.1226</w:t>
        </w:r>
      </w:hyperlink>
    </w:p>
    <w:bookmarkEnd w:id="136"/>
    <w:bookmarkStart w:id="138"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37">
        <w:r>
          <w:rPr>
            <w:rStyle w:val="Hyperlink"/>
          </w:rPr>
          <w:t xml:space="preserve">https://doi.org/10.1037/1082-989X.11.4.363</w:t>
        </w:r>
      </w:hyperlink>
    </w:p>
    <w:bookmarkEnd w:id="138"/>
    <w:bookmarkStart w:id="140"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39">
        <w:r>
          <w:rPr>
            <w:rStyle w:val="Hyperlink"/>
          </w:rPr>
          <w:t xml:space="preserve">https://doi.org/10.1586/erp.11.9</w:t>
        </w:r>
      </w:hyperlink>
    </w:p>
    <w:bookmarkEnd w:id="140"/>
    <w:bookmarkStart w:id="14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41">
        <w:r>
          <w:rPr>
            <w:rStyle w:val="Hyperlink"/>
          </w:rPr>
          <w:t xml:space="preserve">https://doi.org/10.3758/s13423-016-1221-4</w:t>
        </w:r>
      </w:hyperlink>
    </w:p>
    <w:bookmarkEnd w:id="142"/>
    <w:bookmarkStart w:id="144"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43">
        <w:r>
          <w:rPr>
            <w:rStyle w:val="Hyperlink"/>
          </w:rPr>
          <w:t xml:space="preserve">https://doi.org/10.3758/s13428-021-01546-0</w:t>
        </w:r>
      </w:hyperlink>
    </w:p>
    <w:bookmarkEnd w:id="144"/>
    <w:bookmarkStart w:id="146"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45">
        <w:r>
          <w:rPr>
            <w:rStyle w:val="Hyperlink"/>
          </w:rPr>
          <w:t xml:space="preserve">https://doi.org/10.1177/2515245920978738</w:t>
        </w:r>
      </w:hyperlink>
    </w:p>
    <w:bookmarkEnd w:id="146"/>
    <w:bookmarkStart w:id="148"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47">
        <w:r>
          <w:rPr>
            <w:rStyle w:val="Hyperlink"/>
          </w:rPr>
          <w:t xml:space="preserve">https://doi.org/10.1525/collabra.33267</w:t>
        </w:r>
      </w:hyperlink>
    </w:p>
    <w:bookmarkEnd w:id="148"/>
    <w:bookmarkStart w:id="150"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49">
        <w:r>
          <w:rPr>
            <w:rStyle w:val="Hyperlink"/>
          </w:rPr>
          <w:t xml:space="preserve">https://doi.org/10.5281/ZENODO.6409077</w:t>
        </w:r>
      </w:hyperlink>
    </w:p>
    <w:bookmarkEnd w:id="150"/>
    <w:bookmarkStart w:id="152"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51">
        <w:r>
          <w:rPr>
            <w:rStyle w:val="Hyperlink"/>
          </w:rPr>
          <w:t xml:space="preserve">https://doi.org/10.1038/s41562-018-0311-x</w:t>
        </w:r>
      </w:hyperlink>
    </w:p>
    <w:bookmarkEnd w:id="152"/>
    <w:bookmarkStart w:id="154"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53">
        <w:r>
          <w:rPr>
            <w:rStyle w:val="Hyperlink"/>
          </w:rPr>
          <w:t xml:space="preserve">https://doi.org/10.1177/2515245918770963</w:t>
        </w:r>
      </w:hyperlink>
    </w:p>
    <w:bookmarkEnd w:id="154"/>
    <w:bookmarkStart w:id="156"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55">
        <w:r>
          <w:rPr>
            <w:rStyle w:val="Hyperlink"/>
          </w:rPr>
          <w:t xml:space="preserve">https://doi.org/10.1177/0265407517710342</w:t>
        </w:r>
      </w:hyperlink>
    </w:p>
    <w:bookmarkEnd w:id="156"/>
    <w:bookmarkStart w:id="157"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157"/>
    <w:bookmarkStart w:id="159"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158">
        <w:r>
          <w:rPr>
            <w:rStyle w:val="Hyperlink"/>
          </w:rPr>
          <w:t xml:space="preserve">https://doi.org/10.1177/00031224211004187</w:t>
        </w:r>
      </w:hyperlink>
    </w:p>
    <w:bookmarkEnd w:id="159"/>
    <w:bookmarkStart w:id="161"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160">
        <w:r>
          <w:rPr>
            <w:rStyle w:val="Hyperlink"/>
          </w:rPr>
          <w:t xml:space="preserve">https://doi.org/10.1146/annurev.psych.59.103006.093735</w:t>
        </w:r>
      </w:hyperlink>
    </w:p>
    <w:bookmarkEnd w:id="161"/>
    <w:bookmarkStart w:id="163"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162">
        <w:r>
          <w:rPr>
            <w:rStyle w:val="Hyperlink"/>
          </w:rPr>
          <w:t xml:space="preserve">https://doi.org/10.1201/9780429029608</w:t>
        </w:r>
      </w:hyperlink>
    </w:p>
    <w:bookmarkEnd w:id="163"/>
    <w:bookmarkStart w:id="165"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164">
        <w:r>
          <w:rPr>
            <w:rStyle w:val="Hyperlink"/>
          </w:rPr>
          <w:t xml:space="preserve">https://doi.org/10.1037/met0000330</w:t>
        </w:r>
      </w:hyperlink>
    </w:p>
    <w:bookmarkEnd w:id="165"/>
    <w:bookmarkStart w:id="167"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166">
        <w:r>
          <w:rPr>
            <w:rStyle w:val="Hyperlink"/>
          </w:rPr>
          <w:t xml:space="preserve">https://doi.org/10.3102/10769986031004437</w:t>
        </w:r>
      </w:hyperlink>
    </w:p>
    <w:bookmarkEnd w:id="167"/>
    <w:bookmarkStart w:id="16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168">
        <w:r>
          <w:rPr>
            <w:rStyle w:val="Hyperlink"/>
          </w:rPr>
          <w:t xml:space="preserve">https://doi.org/10.1177/25152459241240722</w:t>
        </w:r>
      </w:hyperlink>
    </w:p>
    <w:bookmarkEnd w:id="169"/>
    <w:bookmarkStart w:id="171"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170">
        <w:r>
          <w:rPr>
            <w:rStyle w:val="Hyperlink"/>
          </w:rPr>
          <w:t xml:space="preserve">https://doi.org/10.1016/j.jml.2019.104038</w:t>
        </w:r>
      </w:hyperlink>
    </w:p>
    <w:bookmarkEnd w:id="171"/>
    <w:bookmarkStart w:id="17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172">
        <w:r>
          <w:rPr>
            <w:rStyle w:val="Hyperlink"/>
          </w:rPr>
          <w:t xml:space="preserve">https://doi.org/10.1177/09593543231160112</w:t>
        </w:r>
      </w:hyperlink>
    </w:p>
    <w:bookmarkEnd w:id="173"/>
    <w:bookmarkStart w:id="17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174">
        <w:r>
          <w:rPr>
            <w:rStyle w:val="Hyperlink"/>
          </w:rPr>
          <w:t xml:space="preserve">https://github.com/DavisVaughan/furrr</w:t>
        </w:r>
      </w:hyperlink>
    </w:p>
    <w:bookmarkEnd w:id="175"/>
    <w:bookmarkStart w:id="177"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176">
        <w:r>
          <w:rPr>
            <w:rStyle w:val="Hyperlink"/>
          </w:rPr>
          <w:t xml:space="preserve">https://doi.org/10.1037/xge0000014</w:t>
        </w:r>
      </w:hyperlink>
    </w:p>
    <w:bookmarkEnd w:id="177"/>
    <w:bookmarkStart w:id="179"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8">
        <w:r>
          <w:rPr>
            <w:rStyle w:val="Hyperlink"/>
          </w:rPr>
          <w:t xml:space="preserve">https://doi.org/10.21105/joss.01686</w:t>
        </w:r>
      </w:hyperlink>
    </w:p>
    <w:bookmarkEnd w:id="179"/>
    <w:bookmarkStart w:id="180"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180"/>
    <w:bookmarkStart w:id="182"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181">
        <w:r>
          <w:rPr>
            <w:rStyle w:val="Hyperlink"/>
          </w:rPr>
          <w:t xml:space="preserve">https://doi.org/10.1017/S0140525X20001685</w:t>
        </w:r>
      </w:hyperlink>
    </w:p>
    <w:bookmarkEnd w:id="182"/>
    <w:bookmarkStart w:id="184"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183">
        <w:r>
          <w:rPr>
            <w:rStyle w:val="Hyperlink"/>
          </w:rPr>
          <w:t xml:space="preserve">https://doi.org/10.31234/osf.io/r9w6t</w:t>
        </w:r>
      </w:hyperlink>
    </w:p>
    <w:bookmarkEnd w:id="184"/>
    <w:bookmarkEnd w:id="185"/>
    <w:bookmarkEnd w:id="1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46">
    <w:p>
      <w:pPr>
        <w:pStyle w:val="FootnoteText"/>
      </w:pPr>
      <w:r>
        <w:rPr>
          <w:rStyle w:val="FootnoteReference"/>
        </w:rPr>
        <w:footnoteRef/>
      </w:r>
      <w:r>
        <w:t xml:space="preserve"> </w:t>
      </w:r>
      <w:r>
        <w:t xml:space="preserve">The faux 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71">
    <w:p>
      <w:pPr>
        <w:pStyle w:val="FootnoteText"/>
      </w:pPr>
      <w:r>
        <w:rPr>
          <w:rStyle w:val="FootnoteReference"/>
        </w:rPr>
        <w:footnoteRef/>
      </w:r>
      <w:r>
        <w:t xml:space="preserve"> </w:t>
      </w:r>
      <w:r>
        <w:t xml:space="preserve">For Bayesian GLMMs, the brms 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78">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 faux package at</w:t>
      </w:r>
      <w:r>
        <w:t xml:space="preserve"> </w:t>
      </w:r>
      <w:hyperlink r:id="rId79">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85" Target="media/rId85.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_rels/footnotes.xml.rels><?xml version="1.0" encoding="UTF-8"?><Relationships xmlns="http://schemas.openxmlformats.org/package/2006/relationships"><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2024-06-12T11:34:18Z</dcterms:created>
  <dcterms:modified xsi:type="dcterms:W3CDTF">2024-06-12T11:34:18Z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