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val="0"/>
        <w:spacing w:before="0" w:after="20" w:lineRule="auto" w:line="240"/>
      </w:pPr>
      <w:r>
        <w:rPr>
          <w:rFonts w:ascii="Arial" w:hAnsi="Arial" w:eastAsia="Arial"/>
          <w:b/>
          <w:i w:val="0"/>
          <w:color w:val="000E52"/>
          <w:sz w:val="44"/>
        </w:rPr>
        <w:t>Entscheidungsvorlage</w:t>
      </w:r>
    </w:p>
    <w:p>
      <w:pPr>
        <w:pStyle w:val="Subtitle"/>
        <w:keepNext/>
        <w:keepLines w:val="0"/>
        <w:spacing w:before="0" w:after="140" w:lineRule="auto" w:line="240"/>
      </w:pPr>
      <w:r>
        <w:rPr>
          <w:rFonts w:ascii="Arial" w:hAnsi="Arial" w:eastAsia="Arial"/>
          <w:b w:val="0"/>
          <w:i w:val="0"/>
          <w:color w:val="60697F"/>
          <w:sz w:val="24"/>
        </w:rPr>
        <w:t>Versorgungskompass - Datenschutz und begrenzter Produktivpilot</w:t>
      </w:r>
    </w:p>
    <w:p>
      <w:pPr>
        <w:keepNext w:val="0"/>
        <w:keepLines w:val="0"/>
        <w:tabs>
          <w:tab w:pos="1928" w:val="left"/>
        </w:tabs>
        <w:spacing w:before="0" w:after="28" w:lineRule="auto" w:line="240"/>
      </w:pPr>
      <w:r>
        <w:rPr>
          <w:rFonts w:ascii="Arial" w:hAnsi="Arial" w:eastAsia="Arial"/>
          <w:b/>
          <w:i w:val="0"/>
          <w:color w:val="60697F"/>
          <w:sz w:val="17"/>
        </w:rPr>
        <w:t>Adressaten</w:t>
      </w:r>
      <w:r>
        <w:tab/>
      </w:r>
      <w:r>
        <w:rPr>
          <w:rFonts w:ascii="Arial" w:hAnsi="Arial" w:eastAsia="Arial"/>
          <w:b w:val="0"/>
          <w:i w:val="0"/>
          <w:color w:val="1F2430"/>
          <w:sz w:val="17"/>
        </w:rPr>
        <w:t>Management und Fachverantwortung</w:t>
      </w:r>
    </w:p>
    <w:p>
      <w:pPr>
        <w:keepNext w:val="0"/>
        <w:keepLines w:val="0"/>
        <w:tabs>
          <w:tab w:pos="1928" w:val="left"/>
        </w:tabs>
        <w:spacing w:before="0" w:after="28" w:lineRule="auto" w:line="240"/>
      </w:pPr>
      <w:r>
        <w:rPr>
          <w:rFonts w:ascii="Arial" w:hAnsi="Arial" w:eastAsia="Arial"/>
          <w:b/>
          <w:i w:val="0"/>
          <w:color w:val="60697F"/>
          <w:sz w:val="17"/>
        </w:rPr>
        <w:t>Beratung</w:t>
      </w:r>
      <w:r>
        <w:tab/>
      </w:r>
      <w:r>
        <w:rPr>
          <w:rFonts w:ascii="Arial" w:hAnsi="Arial" w:eastAsia="Arial"/>
          <w:b w:val="0"/>
          <w:i w:val="0"/>
          <w:color w:val="1F2430"/>
          <w:sz w:val="17"/>
        </w:rPr>
        <w:t>Datenschutzbeauftragter, Rechtsabteilung und Compliance</w:t>
      </w:r>
    </w:p>
    <w:p>
      <w:pPr>
        <w:keepNext w:val="0"/>
        <w:keepLines w:val="0"/>
        <w:tabs>
          <w:tab w:pos="1928" w:val="left"/>
        </w:tabs>
        <w:spacing w:before="0" w:after="28" w:lineRule="auto" w:line="240"/>
      </w:pPr>
      <w:r>
        <w:rPr>
          <w:rFonts w:ascii="Arial" w:hAnsi="Arial" w:eastAsia="Arial"/>
          <w:b/>
          <w:i w:val="0"/>
          <w:color w:val="60697F"/>
          <w:sz w:val="17"/>
        </w:rPr>
        <w:t>Status</w:t>
      </w:r>
      <w:r>
        <w:tab/>
      </w:r>
      <w:r>
        <w:rPr>
          <w:rFonts w:ascii="Arial" w:hAnsi="Arial" w:eastAsia="Arial"/>
          <w:b w:val="0"/>
          <w:i w:val="0"/>
          <w:color w:val="1F2430"/>
          <w:sz w:val="17"/>
        </w:rPr>
        <w:t>Beschluss und rechtliche Bestätigung vor Pilotstart erforderlich</w:t>
      </w:r>
    </w:p>
    <w:p>
      <w:pPr>
        <w:keepNext w:val="0"/>
        <w:keepLines w:val="0"/>
        <w:spacing w:before="20" w:after="40" w:lineRule="auto" w:line="240"/>
        <w:pBdr>
          <w:bottom w:val="single" w:sz="8" w:space="3" w:color="000E52"/>
        </w:pBdr>
      </w:pPr>
    </w:p>
    <w:p>
      <w:pPr>
        <w:pStyle w:val="Heading1"/>
      </w:pPr>
      <w:r>
        <w:t>1 Entscheidung</w:t>
      </w:r>
    </w:p>
    <w:p>
      <w:pPr>
        <w:keepNext w:val="0"/>
        <w:keepLines/>
        <w:spacing w:before="0" w:after="56" w:lineRule="auto" w:line="259"/>
      </w:pPr>
      <w:r>
        <w:rPr>
          <w:rFonts w:ascii="Arial" w:hAnsi="Arial" w:eastAsia="Arial"/>
          <w:b/>
          <w:i w:val="0"/>
          <w:color w:val="1F2430"/>
          <w:sz w:val="20"/>
        </w:rPr>
        <w:t xml:space="preserve">Empfehlung: </w:t>
      </w:r>
      <w:r>
        <w:rPr>
          <w:rFonts w:ascii="Arial" w:hAnsi="Arial" w:eastAsia="Arial"/>
          <w:b w:val="0"/>
          <w:i w:val="0"/>
          <w:color w:val="1F2430"/>
          <w:sz w:val="20"/>
        </w:rPr>
        <w:t>Ein begrenzter Pilot mit höchstens 50 realen Personenkontakten, wenigen geschulten Nutzenden und einer Prüfung nach vier Wochen wird vorbereitet. Echtdaten erst nach schriftlicher Bestätigung durch den Datenschutzbeauftragten und die Rechtsabteilung. Andernfalls startet der Pilot ausschließlich mit Organisationsdaten.</w:t>
      </w:r>
    </w:p>
    <w:p>
      <w:pPr>
        <w:pStyle w:val="Heading1"/>
      </w:pPr>
      <w:r>
        <w:t>2 Zweck und Rechtsrahmen</w:t>
      </w:r>
    </w:p>
    <w:p>
      <w:pPr>
        <w:keepNext w:val="0"/>
        <w:keepLines/>
        <w:numPr>
          <w:ilvl w:val="0"/>
          <w:numId w:val="10"/>
        </w:numPr>
        <w:spacing w:before="0" w:after="45" w:lineRule="auto" w:line="259"/>
      </w:pPr>
      <w:r>
        <w:rPr>
          <w:rFonts w:ascii="Arial" w:hAnsi="Arial" w:eastAsia="Arial"/>
          <w:b w:val="0"/>
          <w:i w:val="0"/>
          <w:color w:val="1F2430"/>
          <w:sz w:val="19"/>
        </w:rPr>
        <w:t>Zweck: Leistungserbringer aufgabenbezogen in Erprobung, Einführung und Weiterentwicklung der Telematikinfrastruktur einbinden. Jeder Kontakt erhält einen dokumentierten Aufgabenbezug.</w:t>
      </w:r>
    </w:p>
    <w:p>
      <w:pPr>
        <w:keepNext w:val="0"/>
        <w:keepLines/>
        <w:numPr>
          <w:ilvl w:val="0"/>
          <w:numId w:val="10"/>
        </w:numPr>
        <w:spacing w:before="0" w:after="45" w:lineRule="auto" w:line="259"/>
      </w:pPr>
      <w:r>
        <w:rPr>
          <w:rFonts w:ascii="Arial" w:hAnsi="Arial" w:eastAsia="Arial"/>
          <w:b w:val="0"/>
          <w:i w:val="0"/>
          <w:color w:val="1F2430"/>
          <w:sz w:val="19"/>
        </w:rPr>
        <w:t>Vorgeschlagenes Rechtsmodell: Art. 6 Abs. 1 Buchst. e und Abs. 3 Datenschutz-Grundverordnung (DSGVO) in Verbindung mit § 3 Bundesdatenschutzgesetz (BDSG) sowie §§ 306, 311 Sozialgesetzbuch V. Datenschutzbeauftragter und Rechtsabteilung bestätigen die Anwendung schriftlich.</w:t>
      </w:r>
    </w:p>
    <w:p>
      <w:pPr>
        <w:keepNext w:val="0"/>
        <w:keepLines/>
        <w:numPr>
          <w:ilvl w:val="0"/>
          <w:numId w:val="10"/>
        </w:numPr>
        <w:spacing w:before="0" w:after="30" w:lineRule="auto" w:line="259"/>
      </w:pPr>
      <w:r>
        <w:rPr>
          <w:rFonts w:ascii="Arial" w:hAnsi="Arial" w:eastAsia="Arial"/>
          <w:b w:val="0"/>
          <w:i w:val="0"/>
          <w:color w:val="1F2430"/>
          <w:sz w:val="19"/>
        </w:rPr>
        <w:t>Die Einwilligung für spätere #Mitmachen-Einladungen bleibt getrennt und rechtfertigt die Erstanlage nicht rückwirkend. Rechtsabteilung und Compliance klären den einmaligen Erstkontakt.</w:t>
      </w:r>
    </w:p>
    <w:p>
      <w:pPr>
        <w:pStyle w:val="Heading1"/>
      </w:pPr>
      <w:r>
        <w:t>3 Datenumfang im Pilot</w:t>
      </w:r>
    </w:p>
    <w:tbl>
      <w:tblPr>
        <w:tblW w:type="dxa" w:w="10204"/>
        <w:jc w:val="left"/>
        <w:tblLayout w:type="fixed"/>
        <w:tblLook w:firstColumn="1" w:firstRow="1" w:lastColumn="0" w:lastRow="0" w:noHBand="0" w:noVBand="1" w:val="04A0"/>
        <w:tblInd w:w="120" w:type="dxa"/>
      </w:tblPr>
      <w:tblGrid>
        <w:gridCol w:w="5102"/>
        <w:gridCol w:w="5102"/>
      </w:tblGrid>
      <w:tr>
        <w:trPr>
          <w:tblHeader w:val="true"/>
        </w:trPr>
        <w:tc>
          <w:tcPr>
            <w:tcW w:type="dxa" w:w="5102"/>
            <w:shd w:val="clear" w:fill="F5F7FB"/>
            <w:tcMar>
              <w:top w:w="85" w:type="dxa"/>
              <w:start w:w="120" w:type="dxa"/>
              <w:bottom w:w="85" w:type="dxa"/>
              <w:end w:w="120" w:type="dxa"/>
            </w:tcMar>
            <w:tcBorders>
              <w:top w:val="single" w:sz="4" w:color="CBD2E2"/>
              <w:left w:val="single" w:sz="4" w:color="CBD2E2"/>
              <w:bottom w:val="single" w:sz="4" w:color="CBD2E2"/>
              <w:right w:val="single" w:sz="4" w:color="CBD2E2"/>
            </w:tcBorders>
          </w:tcPr>
          <w:p>
            <w:pPr>
              <w:keepNext w:val="0"/>
              <w:keepLines w:val="0"/>
              <w:spacing w:before="0" w:after="0" w:lineRule="auto" w:line="240"/>
            </w:pPr>
            <w:r>
              <w:rPr>
                <w:rFonts w:ascii="Arial" w:hAnsi="Arial" w:eastAsia="Arial"/>
                <w:b/>
                <w:i w:val="0"/>
                <w:color w:val="000E52"/>
                <w:sz w:val="19"/>
              </w:rPr>
              <w:t>Zulässig</w:t>
            </w:r>
          </w:p>
        </w:tc>
        <w:tc>
          <w:tcPr>
            <w:tcW w:type="dxa" w:w="5102"/>
            <w:shd w:val="clear" w:fill="F5F7FB"/>
            <w:tcMar>
              <w:top w:w="85" w:type="dxa"/>
              <w:start w:w="120" w:type="dxa"/>
              <w:bottom w:w="85" w:type="dxa"/>
              <w:end w:w="120" w:type="dxa"/>
            </w:tcMar>
            <w:tcBorders>
              <w:top w:val="single" w:sz="4" w:color="CBD2E2"/>
              <w:left w:val="single" w:sz="4" w:color="CBD2E2"/>
              <w:bottom w:val="single" w:sz="4" w:color="CBD2E2"/>
              <w:right w:val="single" w:sz="4" w:color="CBD2E2"/>
            </w:tcBorders>
          </w:tcPr>
          <w:p>
            <w:pPr>
              <w:keepNext w:val="0"/>
              <w:keepLines w:val="0"/>
              <w:spacing w:before="0" w:after="0" w:lineRule="auto" w:line="240"/>
            </w:pPr>
            <w:r>
              <w:rPr>
                <w:rFonts w:ascii="Arial" w:hAnsi="Arial" w:eastAsia="Arial"/>
                <w:b/>
                <w:i w:val="0"/>
                <w:color w:val="000E52"/>
                <w:sz w:val="19"/>
              </w:rPr>
              <w:t>Nicht im Pilot</w:t>
            </w:r>
          </w:p>
        </w:tc>
      </w:tr>
      <w:tr>
        <w:tc>
          <w:tcPr>
            <w:tcW w:type="dxa" w:w="5102"/>
            <w:tcMar>
              <w:top w:w="90" w:type="dxa"/>
              <w:start w:w="120" w:type="dxa"/>
              <w:bottom w:w="90" w:type="dxa"/>
              <w:end w:w="120" w:type="dxa"/>
            </w:tcMar>
            <w:tcBorders>
              <w:top w:val="single" w:sz="4" w:color="CBD2E2"/>
              <w:left w:val="single" w:sz="4" w:color="CBD2E2"/>
              <w:bottom w:val="single" w:sz="4" w:color="CBD2E2"/>
              <w:right w:val="single" w:sz="4" w:color="CBD2E2"/>
            </w:tcBorders>
            <w:vAlign w:val="center"/>
          </w:tcPr>
          <w:p>
            <w:pPr>
              <w:keepNext w:val="0"/>
              <w:keepLines/>
              <w:numPr>
                <w:ilvl w:val="0"/>
                <w:numId w:val="11"/>
              </w:numPr>
              <w:spacing w:before="0" w:after="42" w:lineRule="auto" w:line="254"/>
            </w:pPr>
            <w:r>
              <w:rPr>
                <w:rFonts w:ascii="Arial" w:hAnsi="Arial" w:eastAsia="Arial"/>
                <w:b w:val="0"/>
                <w:i w:val="0"/>
                <w:color w:val="1F2430"/>
                <w:sz w:val="18"/>
              </w:rPr>
              <w:t>Organisation: Name, Sektor, Ort, Geschäftsadresse, Website oder Funktionspostfach, Quelle, Prüfdatum. Person: Name, Funktion, Organisation, höchstens ein beruflicher Kontaktweg, Quelle, Aufgabenbezug, zuständige Person und Fristen.</w:t>
            </w:r>
          </w:p>
          <w:p>
            <w:pPr>
              <w:keepNext w:val="0"/>
              <w:keepLines/>
              <w:numPr>
                <w:ilvl w:val="0"/>
                <w:numId w:val="11"/>
              </w:numPr>
              <w:spacing w:before="0" w:after="42" w:lineRule="auto" w:line="254"/>
            </w:pPr>
            <w:r>
              <w:rPr>
                <w:rFonts w:ascii="Arial" w:hAnsi="Arial" w:eastAsia="Arial"/>
                <w:b w:val="0"/>
                <w:i w:val="0"/>
                <w:color w:val="1F2430"/>
                <w:sz w:val="18"/>
              </w:rPr>
              <w:t>Bei konkretem Vorgang: Termine, Hospitationen, Formate, ausdrücklich genannte Fachinteressen, sachliche Vorgangsnotizen.</w:t>
            </w:r>
          </w:p>
        </w:tc>
        <w:tc>
          <w:tcPr>
            <w:tcW w:type="dxa" w:w="5102"/>
            <w:tcMar>
              <w:top w:w="90" w:type="dxa"/>
              <w:start w:w="120" w:type="dxa"/>
              <w:bottom w:w="90" w:type="dxa"/>
              <w:end w:w="120" w:type="dxa"/>
            </w:tcMar>
            <w:tcBorders>
              <w:top w:val="single" w:sz="4" w:color="CBD2E2"/>
              <w:left w:val="single" w:sz="4" w:color="CBD2E2"/>
              <w:bottom w:val="single" w:sz="4" w:color="CBD2E2"/>
              <w:right w:val="single" w:sz="4" w:color="CBD2E2"/>
            </w:tcBorders>
            <w:vAlign w:val="center"/>
          </w:tcPr>
          <w:p>
            <w:pPr>
              <w:keepNext w:val="0"/>
              <w:keepLines/>
              <w:numPr>
                <w:ilvl w:val="0"/>
                <w:numId w:val="11"/>
              </w:numPr>
              <w:spacing w:before="0" w:after="42" w:lineRule="auto" w:line="254"/>
            </w:pPr>
            <w:r>
              <w:rPr>
                <w:rFonts w:ascii="Arial" w:hAnsi="Arial" w:eastAsia="Arial"/>
                <w:b w:val="0"/>
                <w:i w:val="0"/>
                <w:color w:val="1F2430"/>
                <w:sz w:val="18"/>
              </w:rPr>
              <w:t>Private Kontaktdaten, Profilbilder, freie Kandidaten-Notizen, Urteile oder Punktebewertungen; Patientendaten und Daten nach Art. 9 DSGVO; Dossiers aus sozialen Medien und automatisierte Interessenableitungen.</w:t>
            </w:r>
          </w:p>
          <w:p>
            <w:pPr>
              <w:keepNext w:val="0"/>
              <w:keepLines/>
              <w:numPr>
                <w:ilvl w:val="0"/>
                <w:numId w:val="11"/>
              </w:numPr>
              <w:spacing w:before="0" w:after="42" w:lineRule="auto" w:line="254"/>
            </w:pPr>
            <w:r>
              <w:rPr>
                <w:rFonts w:ascii="Arial" w:hAnsi="Arial" w:eastAsia="Arial"/>
                <w:b w:val="0"/>
                <w:i w:val="0"/>
                <w:color w:val="1F2430"/>
                <w:sz w:val="18"/>
              </w:rPr>
              <w:t>Vollimport der E-Health Community, Panelantworten sowie Prämien-, Verhaltens- oder Teilnahmehistorien.</w:t>
            </w:r>
          </w:p>
        </w:tc>
      </w:tr>
    </w:tbl>
    <w:p>
      <w:pPr>
        <w:pStyle w:val="Heading1"/>
      </w:pPr>
      <w:r>
        <w:t>4 Transparenz, Zugriff und Löschung</w:t>
      </w:r>
    </w:p>
    <w:p>
      <w:pPr>
        <w:keepNext w:val="0"/>
        <w:keepLines/>
        <w:numPr>
          <w:ilvl w:val="0"/>
          <w:numId w:val="10"/>
        </w:numPr>
        <w:spacing w:before="0" w:after="45" w:lineRule="auto" w:line="259"/>
      </w:pPr>
      <w:r>
        <w:rPr>
          <w:rFonts w:ascii="Arial" w:hAnsi="Arial" w:eastAsia="Arial"/>
          <w:b w:val="0"/>
          <w:i w:val="0"/>
          <w:color w:val="1F2430"/>
          <w:sz w:val="19"/>
        </w:rPr>
        <w:t>Hinweis nach Art. 13 DSGVO bei direkter Erhebung; Information nach Art. 14 DSGVO bei erster Mitteilung, spätestens innerhalb eines Monats. Technisches Ziel: 28 Tage.</w:t>
      </w:r>
    </w:p>
    <w:p>
      <w:pPr>
        <w:keepNext w:val="0"/>
        <w:keepLines/>
        <w:numPr>
          <w:ilvl w:val="0"/>
          <w:numId w:val="10"/>
        </w:numPr>
        <w:spacing w:before="0" w:after="45" w:lineRule="auto" w:line="259"/>
      </w:pPr>
      <w:r>
        <w:rPr>
          <w:rFonts w:ascii="Arial" w:hAnsi="Arial" w:eastAsia="Arial"/>
          <w:b w:val="0"/>
          <w:i w:val="0"/>
          <w:color w:val="1F2430"/>
          <w:sz w:val="19"/>
        </w:rPr>
        <w:t>Ablehnung oder Widerspruch sperrt den Kontakt sofort. Ohne Reaktion wird das Personenprofil nach 30 Tagen gelöscht, sofern kein dokumentierter Projektbedarf besteht.</w:t>
      </w:r>
    </w:p>
    <w:p>
      <w:pPr>
        <w:keepNext w:val="0"/>
        <w:keepLines/>
        <w:numPr>
          <w:ilvl w:val="0"/>
          <w:numId w:val="10"/>
        </w:numPr>
        <w:spacing w:before="0" w:after="30" w:lineRule="auto" w:line="259"/>
      </w:pPr>
      <w:r>
        <w:rPr>
          <w:rFonts w:ascii="Arial" w:hAnsi="Arial" w:eastAsia="Arial"/>
          <w:b w:val="0"/>
          <w:i w:val="0"/>
          <w:color w:val="1F2430"/>
          <w:sz w:val="19"/>
        </w:rPr>
        <w:t>Zugriff nur soweit erforderlich: Organisationssicht; Team für Erstkontakte und zuständige Person; Format und Versand; Team der E-Health Community. Administratoren erhalten keine automatische fachliche Vollsicht. Deren Daten bleiben von #Mitmachen getrennt.</w:t>
      </w:r>
    </w:p>
    <w:p>
      <w:pPr>
        <w:pStyle w:val="Heading1"/>
      </w:pPr>
      <w:r>
        <w:t>5 Startvoraussetzungen</w:t>
      </w:r>
    </w:p>
    <w:p>
      <w:pPr>
        <w:keepNext w:val="0"/>
        <w:keepLines/>
        <w:numPr>
          <w:ilvl w:val="0"/>
          <w:numId w:val="10"/>
        </w:numPr>
        <w:spacing w:before="0" w:after="45" w:lineRule="auto" w:line="259"/>
      </w:pPr>
      <w:r>
        <w:rPr>
          <w:rFonts w:ascii="Arial" w:hAnsi="Arial" w:eastAsia="Arial"/>
          <w:b w:val="0"/>
          <w:i w:val="0"/>
          <w:color w:val="1F2430"/>
          <w:sz w:val="19"/>
        </w:rPr>
        <w:t>Datenschutzbeauftragter und Rechtsabteilung bestätigen Rechtsgrundlage, Erstkontakt, Datenumfang und Art.-13/14-Texte. Compliance bestätigt den Kontaktkanal.</w:t>
      </w:r>
    </w:p>
    <w:p>
      <w:pPr>
        <w:keepNext w:val="0"/>
        <w:keepLines/>
        <w:numPr>
          <w:ilvl w:val="0"/>
          <w:numId w:val="10"/>
        </w:numPr>
        <w:spacing w:before="0" w:after="45" w:lineRule="auto" w:line="259"/>
      </w:pPr>
      <w:r>
        <w:rPr>
          <w:rFonts w:ascii="Arial" w:hAnsi="Arial" w:eastAsia="Arial"/>
          <w:b w:val="0"/>
          <w:i w:val="0"/>
          <w:color w:val="1F2430"/>
          <w:sz w:val="19"/>
        </w:rPr>
        <w:t>Rollen- und Feldtests, Einwilligungsnachweis, Protokollierung, Betroffenenrechte, Fristen und Löschung sind abgenommen.</w:t>
      </w:r>
    </w:p>
    <w:p>
      <w:pPr>
        <w:keepNext w:val="0"/>
        <w:keepLines/>
        <w:numPr>
          <w:ilvl w:val="0"/>
          <w:numId w:val="10"/>
        </w:numPr>
        <w:spacing w:before="0" w:after="30" w:lineRule="auto" w:line="259"/>
      </w:pPr>
      <w:r>
        <w:rPr>
          <w:rFonts w:ascii="Arial" w:hAnsi="Arial" w:eastAsia="Arial"/>
          <w:b w:val="0"/>
          <w:i w:val="0"/>
          <w:color w:val="1F2430"/>
          <w:sz w:val="19"/>
        </w:rPr>
        <w:t>Verzeichnis von Verarbeitungstätigkeiten, Prüfung zur Datenschutz-Folgenabschätzung, Auftragsverarbeitungsvertrag, Betrieb und Schulung sind dokumentiert. Vollimporte aus der E-Health Community sind ausgeschlossen.</w:t>
      </w:r>
    </w:p>
    <w:p>
      <w:pPr>
        <w:pStyle w:val="Heading1"/>
      </w:pPr>
      <w:r>
        <w:t>6 Beschluss</w:t>
      </w:r>
    </w:p>
    <w:p>
      <w:pPr>
        <w:keepNext w:val="0"/>
        <w:keepLines/>
        <w:spacing w:before="0" w:after="56" w:lineRule="auto" w:line="250"/>
        <w:ind w:left="142" w:right="142"/>
        <w:shd w:val="clear" w:fill="F5F7FB"/>
        <w:pBdr>
          <w:top w:val="single" w:sz="6" w:space="4" w:color="000E52"/>
          <w:bottom w:val="single" w:sz="3" w:space="4" w:color="CBD2E2"/>
        </w:pBdr>
      </w:pPr>
      <w:r>
        <w:rPr>
          <w:rFonts w:ascii="Arial" w:hAnsi="Arial" w:eastAsia="Arial"/>
          <w:b/>
          <w:i w:val="0"/>
          <w:color w:val="1F2430"/>
          <w:sz w:val="18"/>
        </w:rPr>
        <w:t xml:space="preserve">☐ Pilot bis 50 Kontakte bei erfüllten Startvoraussetzungen   </w:t>
      </w:r>
      <w:r>
        <w:rPr>
          <w:rFonts w:ascii="Arial" w:hAnsi="Arial" w:eastAsia="Arial"/>
          <w:b w:val="0"/>
          <w:i w:val="0"/>
          <w:color w:val="1F2430"/>
          <w:sz w:val="18"/>
        </w:rPr>
        <w:t>☐ Mit Auflagen   ☐ Nur Organisationsdaten   ☐ Ablehnen</w:t>
      </w:r>
    </w:p>
    <w:p>
      <w:pPr>
        <w:keepNext w:val="0"/>
        <w:keepLines/>
        <w:spacing w:before="0" w:after="0" w:lineRule="auto" w:line="245"/>
        <w:ind w:left="142" w:right="142"/>
        <w:pBdr>
          <w:bottom w:val="single" w:sz="6" w:space="4" w:color="000E52"/>
        </w:pBdr>
      </w:pPr>
      <w:r>
        <w:rPr>
          <w:rFonts w:ascii="Arial" w:hAnsi="Arial" w:eastAsia="Arial"/>
          <w:b/>
          <w:i w:val="0"/>
          <w:color w:val="000E52"/>
          <w:sz w:val="17"/>
        </w:rPr>
        <w:t xml:space="preserve">Auflagen: ______________  </w:t>
      </w:r>
      <w:r>
        <w:rPr>
          <w:rFonts w:ascii="Arial" w:hAnsi="Arial" w:eastAsia="Arial"/>
          <w:b w:val="0"/>
          <w:i w:val="0"/>
          <w:color w:val="1F2430"/>
          <w:sz w:val="17"/>
        </w:rPr>
        <w:t>Verantwortlich: __________  Start: ________  Prüfung nach vier Wochen: ________</w:t>
      </w:r>
    </w:p>
    <w:p>
      <w:pPr>
        <w:spacing w:before="0" w:after="0" w:line="240" w:lineRule="auto"/>
      </w:pPr>
      <w:r>
        <w:br w:type="page"/>
      </w:r>
    </w:p>
    <w:p>
      <w:pPr>
        <w:pStyle w:val="AnnexTitle"/>
        <w:keepNext/>
      </w:pPr>
      <w:r>
        <w:rPr>
          <w:rFonts w:ascii="Arial" w:hAnsi="Arial" w:eastAsia="Arial"/>
          <w:b/>
          <w:i w:val="0"/>
          <w:color w:val="000E52"/>
          <w:sz w:val="32"/>
        </w:rPr>
        <w:t>Kurzbegründung und Prüfauftrag</w:t>
      </w:r>
    </w:p>
    <w:p>
      <w:pPr>
        <w:pStyle w:val="AnnexLead"/>
        <w:keepNext/>
      </w:pPr>
      <w:r>
        <w:rPr>
          <w:rFonts w:ascii="Arial" w:hAnsi="Arial" w:eastAsia="Arial"/>
          <w:b w:val="0"/>
          <w:i w:val="0"/>
          <w:color w:val="60697F"/>
          <w:sz w:val="20"/>
        </w:rPr>
        <w:t>Erweiterung des Entscheidungsblatts um fachliche Anforderungen, Verarbeitung und Anlagen.</w:t>
      </w:r>
    </w:p>
    <w:tbl>
      <w:tblPr>
        <w:tblW w:type="dxa" w:w="10204"/>
        <w:jc w:val="left"/>
        <w:tblLayout w:type="fixed"/>
        <w:tblLook w:firstColumn="1" w:firstRow="1" w:lastColumn="0" w:lastRow="0" w:noHBand="0" w:noVBand="1" w:val="04A0"/>
        <w:tblInd w:w="150" w:type="dxa"/>
      </w:tblPr>
      <w:tblGrid>
        <w:gridCol w:w="10204"/>
      </w:tblGrid>
      <w:tr>
        <w:tc>
          <w:tcPr>
            <w:tcW w:type="dxa" w:w="10204"/>
            <w:shd w:fill="EAF7F0" w:val="clear"/>
            <w:tcBorders>
              <w:top w:val="single" w:sz="5" w:color="B8DDC9" w:space="0"/>
              <w:left w:val="single" w:sz="5" w:color="B8DDC9" w:space="0"/>
              <w:bottom w:val="single" w:sz="5" w:color="B8DDC9" w:space="0"/>
              <w:right w:val="single" w:sz="5" w:color="B8DDC9"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Vorgeschlagene Entscheidung: </w:t>
            </w:r>
            <w:r>
              <w:rPr>
                <w:rFonts w:ascii="Arial" w:hAnsi="Arial" w:eastAsia="Arial"/>
                <w:b w:val="0"/>
                <w:i w:val="0"/>
                <w:color w:val="1F2430"/>
              </w:rPr>
              <w:t>Ein begrenzter Produktivpilot wird vorbereitet. Personenbezogene Echtdaten werden erst genutzt, wenn Aufgabenbezug, Rechtsgrundlagen, Transparenz, Rollen, Fristen und Betrieb schriftlich bestätigt sind. Bis dahin bleibt die Organisationsdaten-Variante verfügbar.</w:t>
            </w:r>
          </w:p>
        </w:tc>
      </w:tr>
    </w:tbl>
    <w:p>
      <w:pPr>
        <w:spacing w:before="0" w:after="0" w:line="120" w:lineRule="auto"/>
      </w:pPr>
    </w:p>
    <w:p>
      <w:pPr>
        <w:pStyle w:val="Heading1"/>
        <w:keepNext/>
      </w:pPr>
      <w:r>
        <w:rPr>
          <w:rFonts w:ascii="Arial" w:hAnsi="Arial" w:eastAsia="Arial"/>
          <w:b/>
          <w:i w:val="0"/>
          <w:color w:val="000E52"/>
          <w:sz w:val="22"/>
        </w:rPr>
        <w:t>1 Fachlicher Hintergrund</w:t>
      </w:r>
    </w:p>
    <w:p>
      <w:pPr>
        <w:keepLines/>
        <w:numPr>
          <w:ilvl w:val="0"/>
          <w:numId w:val="10"/>
        </w:numPr>
        <w:spacing w:before="0" w:after="45" w:line="259" w:lineRule="auto"/>
      </w:pPr>
      <w:r>
        <w:rPr>
          <w:rFonts w:ascii="Arial" w:hAnsi="Arial" w:eastAsia="Arial"/>
          <w:b/>
          <w:i w:val="0"/>
          <w:color w:val="1F2430"/>
        </w:rPr>
        <w:t xml:space="preserve">Einbindung der Versorgung: </w:t>
      </w:r>
      <w:r>
        <w:rPr>
          <w:rFonts w:ascii="Arial" w:hAnsi="Arial" w:eastAsia="Arial"/>
          <w:b w:val="0"/>
          <w:i w:val="0"/>
          <w:color w:val="1F2430"/>
        </w:rPr>
        <w:t>Leistungserbringer sollen für Hospitationen, Workshops, Demonstratorentests, Rückmeldungen und Beiträge zur Quartalsplanung gezielt gefunden und eingebunden werden.</w:t>
      </w:r>
    </w:p>
    <w:p>
      <w:pPr>
        <w:keepLines/>
        <w:numPr>
          <w:ilvl w:val="0"/>
          <w:numId w:val="10"/>
        </w:numPr>
        <w:spacing w:before="0" w:after="45" w:line="259" w:lineRule="auto"/>
      </w:pPr>
      <w:r>
        <w:rPr>
          <w:rFonts w:ascii="Arial" w:hAnsi="Arial" w:eastAsia="Arial"/>
          <w:b/>
          <w:i w:val="0"/>
          <w:color w:val="1F2430"/>
        </w:rPr>
        <w:t xml:space="preserve">Bestehende Beziehungen: </w:t>
      </w:r>
      <w:r>
        <w:rPr>
          <w:rFonts w:ascii="Arial" w:hAnsi="Arial" w:eastAsia="Arial"/>
          <w:b w:val="0"/>
          <w:i w:val="0"/>
          <w:color w:val="1F2430"/>
        </w:rPr>
        <w:t>Berufliche Kontakte entstehen durch persönliche Gespräche, Visitenkarten, E-Mail, Microsoft Teams, Formulare, Veranstaltungen und öffentliche berufliche Quellen.</w:t>
      </w:r>
    </w:p>
    <w:p>
      <w:pPr>
        <w:keepLines/>
        <w:numPr>
          <w:ilvl w:val="0"/>
          <w:numId w:val="10"/>
        </w:numPr>
        <w:spacing w:before="0" w:after="45" w:line="259" w:lineRule="auto"/>
      </w:pPr>
      <w:r>
        <w:rPr>
          <w:rFonts w:ascii="Arial" w:hAnsi="Arial" w:eastAsia="Arial"/>
          <w:b/>
          <w:i w:val="0"/>
          <w:color w:val="1F2430"/>
        </w:rPr>
        <w:t xml:space="preserve">Teamarbeit: </w:t>
      </w:r>
      <w:r>
        <w:rPr>
          <w:rFonts w:ascii="Arial" w:hAnsi="Arial" w:eastAsia="Arial"/>
          <w:b w:val="0"/>
          <w:i w:val="0"/>
          <w:color w:val="1F2430"/>
        </w:rPr>
        <w:t>Mehrere gematik-Teams müssen erkennen können, welche Einrichtung oder Person bereits in welchem fachlichen Zusammenhang beteiligt war und wer den Vorgang betreut.</w:t>
      </w:r>
    </w:p>
    <w:p>
      <w:pPr>
        <w:keepLines/>
        <w:numPr>
          <w:ilvl w:val="0"/>
          <w:numId w:val="10"/>
        </w:numPr>
        <w:spacing w:before="0" w:after="30" w:line="259" w:lineRule="auto"/>
      </w:pPr>
      <w:r>
        <w:rPr>
          <w:rFonts w:ascii="Arial" w:hAnsi="Arial" w:eastAsia="Arial"/>
          <w:b/>
          <w:i w:val="0"/>
          <w:color w:val="1F2430"/>
        </w:rPr>
        <w:t xml:space="preserve">Heutige Alternative: </w:t>
      </w:r>
      <w:r>
        <w:rPr>
          <w:rFonts w:ascii="Arial" w:hAnsi="Arial" w:eastAsia="Arial"/>
          <w:b w:val="0"/>
          <w:i w:val="0"/>
          <w:color w:val="1F2430"/>
        </w:rPr>
        <w:t>Kontakte und Arbeitsstände liegen sonst verteilt in TYPO3, Survalyzer, E-Mail-Postfächern, Confluence, OneNote, Excel, SharePoint, ELO und persönlichen Notizen.</w:t>
      </w:r>
    </w:p>
    <w:p>
      <w:pPr>
        <w:pStyle w:val="Heading1"/>
        <w:keepNext/>
      </w:pPr>
      <w:r>
        <w:rPr>
          <w:rFonts w:ascii="Arial" w:hAnsi="Arial" w:eastAsia="Arial"/>
          <w:b/>
          <w:i w:val="0"/>
          <w:color w:val="000E52"/>
          <w:sz w:val="22"/>
        </w:rPr>
        <w:t>2 Warum ein gemeinsamer Versorgungskompass</w:t>
      </w:r>
    </w:p>
    <w:p>
      <w:pPr>
        <w:keepLines/>
        <w:numPr>
          <w:ilvl w:val="0"/>
          <w:numId w:val="10"/>
        </w:numPr>
        <w:spacing w:before="0" w:after="45" w:line="259" w:lineRule="auto"/>
      </w:pPr>
      <w:r>
        <w:rPr>
          <w:rFonts w:ascii="Arial" w:hAnsi="Arial" w:eastAsia="Arial"/>
          <w:b w:val="0"/>
          <w:i w:val="0"/>
          <w:color w:val="1F2430"/>
        </w:rPr>
        <w:t>Telefon, Einzel-E-Mail und persönliche Notizen vermeiden die Verarbeitung nicht; sie verlagern sie in schlechter steuerbare Kopien.</w:t>
      </w:r>
    </w:p>
    <w:p>
      <w:pPr>
        <w:keepLines/>
        <w:numPr>
          <w:ilvl w:val="0"/>
          <w:numId w:val="10"/>
        </w:numPr>
        <w:spacing w:before="0" w:after="45" w:line="259" w:lineRule="auto"/>
      </w:pPr>
      <w:r>
        <w:rPr>
          <w:rFonts w:ascii="Arial" w:hAnsi="Arial" w:eastAsia="Arial"/>
          <w:b w:val="0"/>
          <w:i w:val="0"/>
          <w:color w:val="1F2430"/>
        </w:rPr>
        <w:t>Ein führender Arbeitsbestand kann Datenumfang, Quelle, Zweck, Zuständigkeit, Kontaktstatus und Prüftermin einheitlich abbilden.</w:t>
      </w:r>
    </w:p>
    <w:p>
      <w:pPr>
        <w:keepLines/>
        <w:numPr>
          <w:ilvl w:val="0"/>
          <w:numId w:val="10"/>
        </w:numPr>
        <w:spacing w:before="0" w:after="45" w:line="259" w:lineRule="auto"/>
      </w:pPr>
      <w:r>
        <w:rPr>
          <w:rFonts w:ascii="Arial" w:hAnsi="Arial" w:eastAsia="Arial"/>
          <w:b w:val="0"/>
          <w:i w:val="0"/>
          <w:color w:val="1F2430"/>
        </w:rPr>
        <w:t>Der Versorgungskompass ist als datensparsames Register und Vorgangsverwaltung vorgesehen, nicht als umfassendes 360-Grad-Profil.</w:t>
      </w:r>
    </w:p>
    <w:p>
      <w:pPr>
        <w:keepLines/>
        <w:numPr>
          <w:ilvl w:val="0"/>
          <w:numId w:val="10"/>
        </w:numPr>
        <w:spacing w:before="0" w:after="30" w:line="259" w:lineRule="auto"/>
      </w:pPr>
      <w:r>
        <w:rPr>
          <w:rFonts w:ascii="Arial" w:hAnsi="Arial" w:eastAsia="Arial"/>
          <w:b w:val="0"/>
          <w:i w:val="0"/>
          <w:color w:val="1F2430"/>
        </w:rPr>
        <w:t>Ziel sind weniger Dubletten, weniger Schattenlisten und eine verlässliche Umsetzung von Berichtigung, Widerruf, Widerspruch und Löschung.</w:t>
      </w:r>
    </w:p>
    <w:p>
      <w:pPr>
        <w:pStyle w:val="Heading1"/>
        <w:keepNext/>
      </w:pPr>
      <w:r>
        <w:rPr>
          <w:rFonts w:ascii="Arial" w:hAnsi="Arial" w:eastAsia="Arial"/>
          <w:b/>
          <w:i w:val="0"/>
          <w:color w:val="000E52"/>
          <w:sz w:val="22"/>
        </w:rPr>
        <w:t>3 Konkreter Prüfauftrag an Datenschutz und Recht</w:t>
      </w:r>
    </w:p>
    <w:p>
      <w:pPr>
        <w:keepLines/>
        <w:numPr>
          <w:ilvl w:val="0"/>
          <w:numId w:val="10"/>
        </w:numPr>
        <w:spacing w:before="0" w:after="45" w:line="259" w:lineRule="auto"/>
      </w:pPr>
      <w:r>
        <w:rPr>
          <w:rFonts w:ascii="Arial" w:hAnsi="Arial" w:eastAsia="Arial"/>
          <w:b w:val="0"/>
          <w:i w:val="0"/>
          <w:color w:val="1F2430"/>
        </w:rPr>
        <w:t>Aufgabenbezug und Erforderlichkeit je Startanwendungsfall nach § 311 SGB V bestätigen oder konkretisieren.</w:t>
      </w:r>
    </w:p>
    <w:p>
      <w:pPr>
        <w:keepLines/>
        <w:numPr>
          <w:ilvl w:val="0"/>
          <w:numId w:val="10"/>
        </w:numPr>
        <w:spacing w:before="0" w:after="45" w:line="259" w:lineRule="auto"/>
      </w:pPr>
      <w:r>
        <w:rPr>
          <w:rFonts w:ascii="Arial" w:hAnsi="Arial" w:eastAsia="Arial"/>
          <w:b w:val="0"/>
          <w:i w:val="0"/>
          <w:color w:val="1F2430"/>
        </w:rPr>
        <w:t>Rechtsgrundlagen und Informationszeitpunkt für selbst übermittelte, mitarbeiterangelegte und öffentlich recherchierte Kontakte festlegen.</w:t>
      </w:r>
    </w:p>
    <w:p>
      <w:pPr>
        <w:keepLines/>
        <w:numPr>
          <w:ilvl w:val="0"/>
          <w:numId w:val="10"/>
        </w:numPr>
        <w:spacing w:before="0" w:after="45" w:line="259" w:lineRule="auto"/>
      </w:pPr>
      <w:r>
        <w:rPr>
          <w:rFonts w:ascii="Arial" w:hAnsi="Arial" w:eastAsia="Arial"/>
          <w:b w:val="0"/>
          <w:i w:val="0"/>
          <w:color w:val="1F2430"/>
        </w:rPr>
        <w:t>Operative Vorgangskommunikation von freiwilligen zukünftigen #Mitmachen-Einladungen trennen.</w:t>
      </w:r>
    </w:p>
    <w:p>
      <w:pPr>
        <w:keepLines/>
        <w:numPr>
          <w:ilvl w:val="0"/>
          <w:numId w:val="10"/>
        </w:numPr>
        <w:spacing w:before="0" w:after="45" w:line="259" w:lineRule="auto"/>
      </w:pPr>
      <w:r>
        <w:rPr>
          <w:rFonts w:ascii="Arial" w:hAnsi="Arial" w:eastAsia="Arial"/>
          <w:b w:val="0"/>
          <w:i w:val="0"/>
          <w:color w:val="1F2430"/>
        </w:rPr>
        <w:t>Zweckgrenzen zwischen Website/TYPO3, E-Health Community/Survalyzer und Versorgungskompass bestätigen.</w:t>
      </w:r>
    </w:p>
    <w:p>
      <w:pPr>
        <w:keepLines/>
        <w:numPr>
          <w:ilvl w:val="0"/>
          <w:numId w:val="10"/>
        </w:numPr>
        <w:spacing w:before="0" w:after="30" w:line="259" w:lineRule="auto"/>
      </w:pPr>
      <w:r>
        <w:rPr>
          <w:rFonts w:ascii="Arial" w:hAnsi="Arial" w:eastAsia="Arial"/>
          <w:b w:val="0"/>
          <w:i w:val="0"/>
          <w:color w:val="1F2430"/>
        </w:rPr>
        <w:t>Mindestfelder, Rollen, Lösch- und Sperrregeln sowie die DSFA-Schwellenprüfung beraten.</w:t>
      </w:r>
    </w:p>
    <w:p>
      <w:pPr>
        <w:pStyle w:val="Heading1"/>
        <w:keepNext/>
      </w:pPr>
      <w:r>
        <w:rPr>
          <w:rFonts w:ascii="Arial" w:hAnsi="Arial" w:eastAsia="Arial"/>
          <w:b/>
          <w:i w:val="0"/>
          <w:color w:val="000E52"/>
          <w:sz w:val="22"/>
        </w:rPr>
        <w:t>4 Anlagenübersicht</w:t>
      </w:r>
    </w:p>
    <w:tbl>
      <w:tblPr>
        <w:tblW w:type="dxa" w:w="10204"/>
        <w:jc w:val="left"/>
        <w:tblLayout w:type="fixed"/>
        <w:tblLook w:firstColumn="1" w:firstRow="1" w:lastColumn="0" w:lastRow="0" w:noHBand="0" w:noVBand="1" w:val="04A0"/>
        <w:tblInd w:w="120" w:type="dxa"/>
      </w:tblPr>
      <w:tblGrid>
        <w:gridCol w:w="1300"/>
        <w:gridCol w:w="8904"/>
      </w:tblGrid>
      <w:tr>
        <w:trPr>
          <w:tblHeader w:val="true"/>
        </w:trPr>
        <w:tc>
          <w:tcPr>
            <w:tcW w:type="dxa" w:w="13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Anlage</w:t>
            </w:r>
          </w:p>
        </w:tc>
        <w:tc>
          <w:tcPr>
            <w:tcW w:type="dxa" w:w="89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Inhalt</w:t>
            </w:r>
          </w:p>
        </w:tc>
      </w:tr>
      <w:tr>
        <w:trPr>
          <w:cantSplit w:val="true"/>
        </w:trPr>
        <w:tc>
          <w:tcPr>
            <w:tcW w:type="dxa" w:w="1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A</w:t>
            </w:r>
            <w:r>
              <w:rPr>
                <w:rFonts w:ascii="Arial" w:hAnsi="Arial" w:eastAsia="Arial"/>
                <w:b w:val="0"/>
                <w:i w:val="0"/>
                <w:color w:val="1F2430"/>
                <w:sz w:val="17"/>
              </w:rPr>
            </w:r>
          </w:p>
        </w:tc>
        <w:tc>
          <w:tcPr>
            <w:tcW w:type="dxa" w:w="8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Anforderungen des Initiators und der Kolleg:innen; sechs fachliche Cluster.</w:t>
            </w:r>
          </w:p>
        </w:tc>
      </w:tr>
      <w:tr>
        <w:trPr>
          <w:cantSplit w:val="true"/>
        </w:trPr>
        <w:tc>
          <w:tcPr>
            <w:tcW w:type="dxa" w:w="1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B</w:t>
            </w:r>
            <w:r>
              <w:rPr>
                <w:rFonts w:ascii="Arial" w:hAnsi="Arial" w:eastAsia="Arial"/>
                <w:b w:val="0"/>
                <w:i w:val="0"/>
                <w:color w:val="1F2430"/>
                <w:sz w:val="17"/>
              </w:rPr>
            </w:r>
          </w:p>
        </w:tc>
        <w:tc>
          <w:tcPr>
            <w:tcW w:type="dxa" w:w="89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Benötigte Datenverarbeitung, Datenstufen und fachliche Grenzen.</w:t>
            </w:r>
          </w:p>
        </w:tc>
      </w:tr>
      <w:tr>
        <w:trPr>
          <w:cantSplit w:val="true"/>
        </w:trPr>
        <w:tc>
          <w:tcPr>
            <w:tcW w:type="dxa" w:w="1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C</w:t>
            </w:r>
            <w:r>
              <w:rPr>
                <w:rFonts w:ascii="Arial" w:hAnsi="Arial" w:eastAsia="Arial"/>
                <w:b w:val="0"/>
                <w:i w:val="0"/>
                <w:color w:val="1F2430"/>
                <w:sz w:val="17"/>
              </w:rPr>
            </w:r>
          </w:p>
        </w:tc>
        <w:tc>
          <w:tcPr>
            <w:tcW w:type="dxa" w:w="8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Zweck- und Systemtrennung der Erhebungsquellen.</w:t>
            </w:r>
          </w:p>
        </w:tc>
      </w:tr>
      <w:tr>
        <w:trPr>
          <w:cantSplit w:val="true"/>
        </w:trPr>
        <w:tc>
          <w:tcPr>
            <w:tcW w:type="dxa" w:w="1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D</w:t>
            </w:r>
            <w:r>
              <w:rPr>
                <w:rFonts w:ascii="Arial" w:hAnsi="Arial" w:eastAsia="Arial"/>
                <w:b w:val="0"/>
                <w:i w:val="0"/>
                <w:color w:val="1F2430"/>
                <w:sz w:val="17"/>
              </w:rPr>
            </w:r>
          </w:p>
        </w:tc>
        <w:tc>
          <w:tcPr>
            <w:tcW w:type="dxa" w:w="89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Vorteile und Voraussetzungen aus Sicht des Datenschutzbeauftragten.</w:t>
            </w:r>
          </w:p>
        </w:tc>
      </w:tr>
      <w:tr>
        <w:trPr>
          <w:cantSplit w:val="true"/>
        </w:trPr>
        <w:tc>
          <w:tcPr>
            <w:tcW w:type="dxa" w:w="1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E</w:t>
            </w:r>
            <w:r>
              <w:rPr>
                <w:rFonts w:ascii="Arial" w:hAnsi="Arial" w:eastAsia="Arial"/>
                <w:b w:val="0"/>
                <w:i w:val="0"/>
                <w:color w:val="1F2430"/>
                <w:sz w:val="17"/>
              </w:rPr>
            </w:r>
          </w:p>
        </w:tc>
        <w:tc>
          <w:tcPr>
            <w:tcW w:type="dxa" w:w="8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Website, Rollen, Pilot und Abnahmekriterien.</w:t>
            </w:r>
          </w:p>
        </w:tc>
      </w:tr>
      <w:tr>
        <w:trPr>
          <w:cantSplit w:val="true"/>
        </w:trPr>
        <w:tc>
          <w:tcPr>
            <w:tcW w:type="dxa" w:w="1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F</w:t>
            </w:r>
            <w:r>
              <w:rPr>
                <w:rFonts w:ascii="Arial" w:hAnsi="Arial" w:eastAsia="Arial"/>
                <w:b w:val="0"/>
                <w:i w:val="0"/>
                <w:color w:val="1F2430"/>
                <w:sz w:val="17"/>
              </w:rPr>
            </w:r>
          </w:p>
        </w:tc>
        <w:tc>
          <w:tcPr>
            <w:tcW w:type="dxa" w:w="89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Quellenstand, Annahmen und offene Entscheidungen.</w:t>
            </w:r>
          </w:p>
        </w:tc>
      </w:tr>
      <w:tr>
        <w:trPr>
          <w:cantSplit w:val="true"/>
        </w:trPr>
        <w:tc>
          <w:tcPr>
            <w:tcW w:type="dxa" w:w="1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G</w:t>
            </w:r>
            <w:r>
              <w:rPr>
                <w:rFonts w:ascii="Arial" w:hAnsi="Arial" w:eastAsia="Arial"/>
                <w:b w:val="0"/>
                <w:i w:val="0"/>
                <w:color w:val="1F2430"/>
                <w:sz w:val="17"/>
              </w:rPr>
            </w:r>
          </w:p>
        </w:tc>
        <w:tc>
          <w:tcPr>
            <w:tcW w:type="dxa" w:w="8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Kurze Mailvorlagen für Erstabstimmung und Beschlussbestätigung.</w:t>
            </w:r>
          </w:p>
        </w:tc>
      </w:tr>
    </w:tbl>
    <w:p>
      <w:pPr>
        <w:spacing w:before="0" w:after="0" w:line="144" w:lineRule="auto"/>
      </w:pPr>
    </w:p>
    <w:p>
      <w:pPr>
        <w:spacing w:before="0" w:after="0" w:line="240" w:lineRule="auto"/>
      </w:pPr>
      <w:r>
        <w:br w:type="page"/>
      </w:r>
    </w:p>
    <w:p>
      <w:pPr>
        <w:pStyle w:val="AnnexTitle"/>
        <w:keepNext/>
      </w:pPr>
      <w:r>
        <w:rPr>
          <w:rFonts w:ascii="Arial" w:hAnsi="Arial" w:eastAsia="Arial"/>
          <w:b/>
          <w:i w:val="0"/>
          <w:color w:val="000E52"/>
          <w:sz w:val="32"/>
        </w:rPr>
        <w:t>Anlage A - Fachliche Anforderungen</w:t>
      </w:r>
    </w:p>
    <w:p>
      <w:pPr>
        <w:pStyle w:val="AnnexLead"/>
        <w:keepNext/>
      </w:pPr>
      <w:r>
        <w:rPr>
          <w:rFonts w:ascii="Arial" w:hAnsi="Arial" w:eastAsia="Arial"/>
          <w:b w:val="0"/>
          <w:i w:val="0"/>
          <w:color w:val="60697F"/>
          <w:sz w:val="20"/>
        </w:rPr>
        <w:t>Die folgenden Aussagen beschreiben den Arbeitsbedarf. Datenschutzrechtliche Anforderungen werden daraus erst im nächsten Schritt abgeleitet.</w:t>
      </w:r>
    </w:p>
    <w:p>
      <w:pPr>
        <w:pStyle w:val="Heading1"/>
        <w:keepNext/>
      </w:pPr>
      <w:r>
        <w:rPr>
          <w:rFonts w:ascii="Arial" w:hAnsi="Arial" w:eastAsia="Arial"/>
          <w:b/>
          <w:i w:val="0"/>
          <w:color w:val="000E52"/>
          <w:sz w:val="22"/>
        </w:rPr>
        <w:t>A.1 Anforderungen des Initiators</w:t>
      </w:r>
    </w:p>
    <w:p>
      <w:pPr>
        <w:keepLines/>
        <w:numPr>
          <w:ilvl w:val="0"/>
          <w:numId w:val="10"/>
        </w:numPr>
        <w:spacing w:before="0" w:after="45" w:line="259" w:lineRule="auto"/>
      </w:pPr>
      <w:r>
        <w:rPr>
          <w:rFonts w:ascii="Arial" w:hAnsi="Arial" w:eastAsia="Arial"/>
          <w:b w:val="0"/>
          <w:i w:val="0"/>
          <w:color w:val="1F2430"/>
        </w:rPr>
        <w:t>Ich möchte eigene berufliche Kontakte anlegen, mit denen ich persönlich gesprochen, Visitenkarten ausgetauscht oder bereits per E-Mail beziehungsweise Microsoft Teams kommuniziert habe.</w:t>
      </w:r>
    </w:p>
    <w:p>
      <w:pPr>
        <w:keepLines/>
        <w:numPr>
          <w:ilvl w:val="0"/>
          <w:numId w:val="10"/>
        </w:numPr>
        <w:spacing w:before="0" w:after="45" w:line="259" w:lineRule="auto"/>
      </w:pPr>
      <w:r>
        <w:rPr>
          <w:rFonts w:ascii="Arial" w:hAnsi="Arial" w:eastAsia="Arial"/>
          <w:b w:val="0"/>
          <w:i w:val="0"/>
          <w:color w:val="1F2430"/>
        </w:rPr>
        <w:t>Ich möchte berufliche Beziehungen, die bereits in der gematik bestehen, langfristig auffindbar halten und in einem gemeinsamen Arbeitskontext fortführen.</w:t>
      </w:r>
    </w:p>
    <w:p>
      <w:pPr>
        <w:keepLines/>
        <w:numPr>
          <w:ilvl w:val="0"/>
          <w:numId w:val="10"/>
        </w:numPr>
        <w:spacing w:before="0" w:after="45" w:line="259" w:lineRule="auto"/>
      </w:pPr>
      <w:r>
        <w:rPr>
          <w:rFonts w:ascii="Arial" w:hAnsi="Arial" w:eastAsia="Arial"/>
          <w:b w:val="0"/>
          <w:i w:val="0"/>
          <w:color w:val="1F2430"/>
        </w:rPr>
        <w:t>Ich möchte geeignete Kontakte für Demonstratorentests und praxisnahe Rückmeldungen zu TI-Anwendungen identifizieren.</w:t>
      </w:r>
    </w:p>
    <w:p>
      <w:pPr>
        <w:keepLines/>
        <w:numPr>
          <w:ilvl w:val="0"/>
          <w:numId w:val="10"/>
        </w:numPr>
        <w:spacing w:before="0" w:after="45" w:line="259" w:lineRule="auto"/>
      </w:pPr>
      <w:r>
        <w:rPr>
          <w:rFonts w:ascii="Arial" w:hAnsi="Arial" w:eastAsia="Arial"/>
          <w:b w:val="0"/>
          <w:i w:val="0"/>
          <w:color w:val="1F2430"/>
        </w:rPr>
        <w:t>Ich möchte für Quartalsplanungen und Vorträge gezielt Stimmen aus unterschiedlichen Bereichen der Versorgung einbeziehen.</w:t>
      </w:r>
    </w:p>
    <w:p>
      <w:pPr>
        <w:keepLines/>
        <w:numPr>
          <w:ilvl w:val="0"/>
          <w:numId w:val="10"/>
        </w:numPr>
        <w:spacing w:before="0" w:after="45" w:line="259" w:lineRule="auto"/>
      </w:pPr>
      <w:r>
        <w:rPr>
          <w:rFonts w:ascii="Arial" w:hAnsi="Arial" w:eastAsia="Arial"/>
          <w:b w:val="0"/>
          <w:i w:val="0"/>
          <w:color w:val="1F2430"/>
        </w:rPr>
        <w:t>Ich möchte Kontakte für Hospitationen, Workshops, Austauschrunden und weitere #Mitmachen-Formate gemeinsam mit Kolleg:innen nutzen.</w:t>
      </w:r>
    </w:p>
    <w:p>
      <w:pPr>
        <w:keepLines/>
        <w:numPr>
          <w:ilvl w:val="0"/>
          <w:numId w:val="10"/>
        </w:numPr>
        <w:spacing w:before="0" w:after="45" w:line="259" w:lineRule="auto"/>
      </w:pPr>
      <w:r>
        <w:rPr>
          <w:rFonts w:ascii="Arial" w:hAnsi="Arial" w:eastAsia="Arial"/>
          <w:b w:val="0"/>
          <w:i w:val="0"/>
          <w:color w:val="1F2430"/>
        </w:rPr>
        <w:t>Ich möchte erkennen, mit wem die gematik bereits Kontakt hatte, in welchem fachlichen Kontext und welche nächsten Schritte vereinbart wurden.</w:t>
      </w:r>
    </w:p>
    <w:p>
      <w:pPr>
        <w:keepLines/>
        <w:numPr>
          <w:ilvl w:val="0"/>
          <w:numId w:val="10"/>
        </w:numPr>
        <w:spacing w:before="0" w:after="45" w:line="259" w:lineRule="auto"/>
      </w:pPr>
      <w:r>
        <w:rPr>
          <w:rFonts w:ascii="Arial" w:hAnsi="Arial" w:eastAsia="Arial"/>
          <w:b w:val="0"/>
          <w:i w:val="0"/>
          <w:color w:val="1F2430"/>
        </w:rPr>
        <w:t>Ich möchte verstreute Kontaktbestände aus Teamablagen, Tabellen, E-Mail-Postfächern und persönlichen Notizen konsolidieren, damit Kontakte nicht verloren gehen oder mehrfach widersprüchlich gepflegt werden.</w:t>
      </w:r>
    </w:p>
    <w:p>
      <w:pPr>
        <w:keepLines/>
        <w:numPr>
          <w:ilvl w:val="0"/>
          <w:numId w:val="10"/>
        </w:numPr>
        <w:spacing w:before="0" w:after="30" w:line="259" w:lineRule="auto"/>
      </w:pPr>
      <w:r>
        <w:rPr>
          <w:rFonts w:ascii="Arial" w:hAnsi="Arial" w:eastAsia="Arial"/>
          <w:b w:val="0"/>
          <w:i w:val="0"/>
          <w:color w:val="1F2430"/>
        </w:rPr>
        <w:t>Ich möchte auf aggregierter Ebene sehen, welche Versorgungssektoren, Berufsgruppen, Regionen und Einrichtungstypen bereits vertreten sind.</w:t>
      </w:r>
    </w:p>
    <w:p>
      <w:pPr>
        <w:pStyle w:val="Heading1"/>
        <w:keepNext/>
      </w:pPr>
      <w:r>
        <w:rPr>
          <w:rFonts w:ascii="Arial" w:hAnsi="Arial" w:eastAsia="Arial"/>
          <w:b/>
          <w:i w:val="0"/>
          <w:color w:val="000E52"/>
          <w:sz w:val="22"/>
        </w:rPr>
        <w:t>A.2 Beispielanforderungen der Kolleg:innen</w:t>
      </w:r>
    </w:p>
    <w:p>
      <w:pPr>
        <w:keepLines/>
        <w:numPr>
          <w:ilvl w:val="0"/>
          <w:numId w:val="10"/>
        </w:numPr>
        <w:spacing w:before="0" w:after="45" w:line="259" w:lineRule="auto"/>
      </w:pPr>
      <w:r>
        <w:rPr>
          <w:rFonts w:ascii="Arial" w:hAnsi="Arial" w:eastAsia="Arial"/>
          <w:b w:val="0"/>
          <w:i w:val="0"/>
          <w:color w:val="1F2430"/>
        </w:rPr>
        <w:t>Ich möchte passende Kontakte aus Apotheken für einen Medikationsworkshop identifizieren.</w:t>
      </w:r>
    </w:p>
    <w:p>
      <w:pPr>
        <w:keepLines/>
        <w:numPr>
          <w:ilvl w:val="0"/>
          <w:numId w:val="10"/>
        </w:numPr>
        <w:spacing w:before="0" w:after="45" w:line="259" w:lineRule="auto"/>
      </w:pPr>
      <w:r>
        <w:rPr>
          <w:rFonts w:ascii="Arial" w:hAnsi="Arial" w:eastAsia="Arial"/>
          <w:b w:val="0"/>
          <w:i w:val="0"/>
          <w:color w:val="1F2430"/>
        </w:rPr>
        <w:t>Ich brauche gezieltes Feedback von Krankenhäusern zum Entlassmanagement.</w:t>
      </w:r>
    </w:p>
    <w:p>
      <w:pPr>
        <w:keepLines/>
        <w:numPr>
          <w:ilvl w:val="0"/>
          <w:numId w:val="10"/>
        </w:numPr>
        <w:spacing w:before="0" w:after="45" w:line="259" w:lineRule="auto"/>
      </w:pPr>
      <w:r>
        <w:rPr>
          <w:rFonts w:ascii="Arial" w:hAnsi="Arial" w:eastAsia="Arial"/>
          <w:b w:val="0"/>
          <w:i w:val="0"/>
          <w:color w:val="1F2430"/>
        </w:rPr>
        <w:t>Ich möchte einen gemeinsamen Überblick über vorgeschlagene, geplante und abgeschlossene Hospitationen im Team.</w:t>
      </w:r>
    </w:p>
    <w:p>
      <w:pPr>
        <w:keepLines/>
        <w:numPr>
          <w:ilvl w:val="0"/>
          <w:numId w:val="10"/>
        </w:numPr>
        <w:spacing w:before="0" w:after="45" w:line="259" w:lineRule="auto"/>
      </w:pPr>
      <w:r>
        <w:rPr>
          <w:rFonts w:ascii="Arial" w:hAnsi="Arial" w:eastAsia="Arial"/>
          <w:b w:val="0"/>
          <w:i w:val="0"/>
          <w:color w:val="1F2430"/>
        </w:rPr>
        <w:t>Ich möchte Formate und Einladungsmanagement gemeinsam mit Kolleg:innen bearbeiten und Teilnahme- sowie Rückmeldestatus nachvollziehen.</w:t>
      </w:r>
    </w:p>
    <w:p>
      <w:pPr>
        <w:keepLines/>
        <w:numPr>
          <w:ilvl w:val="0"/>
          <w:numId w:val="10"/>
        </w:numPr>
        <w:spacing w:before="0" w:after="30" w:line="259" w:lineRule="auto"/>
      </w:pPr>
      <w:r>
        <w:rPr>
          <w:rFonts w:ascii="Arial" w:hAnsi="Arial" w:eastAsia="Arial"/>
          <w:b w:val="0"/>
          <w:i w:val="0"/>
          <w:color w:val="1F2430"/>
        </w:rPr>
        <w:t>Ich möchte Doppelansprachen vermeiden und bei Vertretung oder Teamwechsel einen laufenden Vorgang übernehmen können.</w:t>
      </w:r>
    </w:p>
    <w:p>
      <w:pPr>
        <w:pStyle w:val="Heading1"/>
        <w:keepNext/>
      </w:pPr>
      <w:r>
        <w:rPr>
          <w:rFonts w:ascii="Arial" w:hAnsi="Arial" w:eastAsia="Arial"/>
          <w:b/>
          <w:i w:val="0"/>
          <w:color w:val="000E52"/>
          <w:sz w:val="22"/>
        </w:rPr>
        <w:t>A.3 Gemeinsames fachliches Zielbild</w:t>
      </w:r>
    </w:p>
    <w:p>
      <w:pPr>
        <w:keepLines/>
        <w:numPr>
          <w:ilvl w:val="0"/>
          <w:numId w:val="10"/>
        </w:numPr>
        <w:spacing w:before="0" w:after="45" w:line="259" w:lineRule="auto"/>
      </w:pPr>
      <w:r>
        <w:rPr>
          <w:rFonts w:ascii="Arial" w:hAnsi="Arial" w:eastAsia="Arial"/>
          <w:b w:val="0"/>
          <w:i w:val="0"/>
          <w:color w:val="1F2430"/>
        </w:rPr>
        <w:t>ein aktueller, gemeinsam nutzbarer Kontakt- und Organisationsbestand statt paralleler Teamkopien;</w:t>
      </w:r>
    </w:p>
    <w:p>
      <w:pPr>
        <w:keepLines/>
        <w:numPr>
          <w:ilvl w:val="0"/>
          <w:numId w:val="10"/>
        </w:numPr>
        <w:spacing w:before="0" w:after="45" w:line="259" w:lineRule="auto"/>
      </w:pPr>
      <w:r>
        <w:rPr>
          <w:rFonts w:ascii="Arial" w:hAnsi="Arial" w:eastAsia="Arial"/>
          <w:b w:val="0"/>
          <w:i w:val="0"/>
          <w:color w:val="1F2430"/>
        </w:rPr>
        <w:t>eine nachvollziehbare Verbindung zwischen Kontakt, fachlichem Anlass, Format, Hospitation und nächstem Schritt;</w:t>
      </w:r>
    </w:p>
    <w:p>
      <w:pPr>
        <w:keepLines/>
        <w:numPr>
          <w:ilvl w:val="0"/>
          <w:numId w:val="10"/>
        </w:numPr>
        <w:spacing w:before="0" w:after="45" w:line="259" w:lineRule="auto"/>
      </w:pPr>
      <w:r>
        <w:rPr>
          <w:rFonts w:ascii="Arial" w:hAnsi="Arial" w:eastAsia="Arial"/>
          <w:b w:val="0"/>
          <w:i w:val="0"/>
          <w:color w:val="1F2430"/>
        </w:rPr>
        <w:t>eine teamübergreifende Übergabe bestehender Arbeitsbeziehungen ohne vollständige Kommunikationsarchive;</w:t>
      </w:r>
    </w:p>
    <w:p>
      <w:pPr>
        <w:keepLines/>
        <w:numPr>
          <w:ilvl w:val="0"/>
          <w:numId w:val="10"/>
        </w:numPr>
        <w:spacing w:before="0" w:after="30" w:line="259" w:lineRule="auto"/>
      </w:pPr>
      <w:r>
        <w:rPr>
          <w:rFonts w:ascii="Arial" w:hAnsi="Arial" w:eastAsia="Arial"/>
          <w:b w:val="0"/>
          <w:i w:val="0"/>
          <w:color w:val="1F2430"/>
        </w:rPr>
        <w:t>ein fachlicher Pilotumfang, dessen Datenumfang erst aus den konkreten Arbeitsvorgängen abgeleitet wird.</w:t>
      </w: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Besondere Quelle: eigener beruflicher Kontakt: </w:t>
            </w:r>
            <w:r>
              <w:rPr>
                <w:rFonts w:ascii="Arial" w:hAnsi="Arial" w:eastAsia="Arial"/>
                <w:b w:val="0"/>
                <w:i w:val="0"/>
                <w:color w:val="1F2430"/>
              </w:rPr>
              <w:t>Erfasst werden nur die für einen konkreten fachlichen Vorgang erforderlichen Minimalangaben: Name, Einrichtung, berufliche Funktion, erforderlicher Kontaktweg, Kontaktanlass, Quelle beziehungsweise Begegnungskontext, Datum und interne Zuständigkeit. Eine Visitenkarte oder ein bestehender Austausch ist keine pauschale Einwilligung für beliebige Zukunftskommunikation.</w:t>
            </w:r>
          </w:p>
        </w:tc>
      </w:tr>
    </w:tbl>
    <w:p>
      <w:pPr>
        <w:spacing w:before="0" w:after="0" w:line="120" w:lineRule="auto"/>
      </w:pPr>
    </w:p>
    <w:p>
      <w:pPr>
        <w:spacing w:before="0" w:after="0" w:line="240" w:lineRule="auto"/>
      </w:pPr>
      <w:r>
        <w:br w:type="page"/>
      </w:r>
    </w:p>
    <w:p>
      <w:pPr>
        <w:pStyle w:val="AnnexTitle"/>
        <w:keepNext/>
      </w:pPr>
      <w:r>
        <w:rPr>
          <w:rFonts w:ascii="Arial" w:hAnsi="Arial" w:eastAsia="Arial"/>
          <w:b/>
          <w:i w:val="0"/>
          <w:color w:val="000E52"/>
          <w:sz w:val="32"/>
        </w:rPr>
        <w:t>Anlage A - Anforderungscluster</w:t>
      </w:r>
    </w:p>
    <w:p>
      <w:pPr>
        <w:pStyle w:val="AnnexLead"/>
        <w:keepNext/>
      </w:pPr>
      <w:r>
        <w:rPr>
          <w:rFonts w:ascii="Arial" w:hAnsi="Arial" w:eastAsia="Arial"/>
          <w:b w:val="0"/>
          <w:i w:val="0"/>
          <w:color w:val="60697F"/>
          <w:sz w:val="20"/>
        </w:rPr>
        <w:t>Die Einzelanforderungen werden für Produkt, Datenschutz und Management in sechs Funktionscluster gebündelt.</w:t>
      </w:r>
    </w:p>
    <w:p>
      <w:pPr>
        <w:pStyle w:val="Heading2"/>
        <w:keepNext/>
      </w:pPr>
      <w:r>
        <w:rPr>
          <w:rFonts w:ascii="Arial" w:hAnsi="Arial" w:eastAsia="Arial"/>
          <w:b/>
          <w:i w:val="0"/>
          <w:color w:val="000E52"/>
          <w:sz w:val="21"/>
        </w:rPr>
        <w:t>Cluster 1: Kontakte erfassen und übernehmen</w:t>
      </w:r>
    </w:p>
    <w:p>
      <w:pPr>
        <w:spacing w:after="80" w:line="259" w:lineRule="auto"/>
      </w:pPr>
      <w:r>
        <w:rPr>
          <w:rFonts w:ascii="Arial" w:hAnsi="Arial" w:eastAsia="Arial"/>
          <w:b w:val="0"/>
          <w:i w:val="0"/>
          <w:color w:val="1F2430"/>
        </w:rPr>
        <w:t>Eigene berufliche Kontakte, selbst eingereichte Formulardaten, gezielt recherchierte Berufsangaben und geprüfte Arbeitslisten erfassen. Quelle, Datum und fachlicher Anlass werden mitgeführt; vollständige E-Mail-, Teams- oder Chatverläufe werden nicht übernommen.</w:t>
      </w:r>
    </w:p>
    <w:p>
      <w:pPr>
        <w:pStyle w:val="Heading2"/>
        <w:keepNext/>
      </w:pPr>
      <w:r>
        <w:rPr>
          <w:rFonts w:ascii="Arial" w:hAnsi="Arial" w:eastAsia="Arial"/>
          <w:b/>
          <w:i w:val="0"/>
          <w:color w:val="000E52"/>
          <w:sz w:val="21"/>
        </w:rPr>
        <w:t>Cluster 2: Gemeinsamen Bestand führen und Kontakte finden</w:t>
      </w:r>
    </w:p>
    <w:p>
      <w:pPr>
        <w:spacing w:after="80" w:line="259" w:lineRule="auto"/>
      </w:pPr>
      <w:r>
        <w:rPr>
          <w:rFonts w:ascii="Arial" w:hAnsi="Arial" w:eastAsia="Arial"/>
          <w:b w:val="0"/>
          <w:i w:val="0"/>
          <w:color w:val="1F2430"/>
        </w:rPr>
        <w:t>Personen ihrer Organisation und beruflichen Funktion zuordnen, Dubletten vermeiden, Angaben aktualisieren sowie nach Sektor, Region, Einrichtungstyp, Berufsgruppe, Fachrichtung und Thema suchen. Die Karte bleibt grundsätzlich organisationszentriert.</w:t>
      </w:r>
    </w:p>
    <w:p>
      <w:pPr>
        <w:pStyle w:val="Heading2"/>
        <w:keepNext/>
      </w:pPr>
      <w:r>
        <w:rPr>
          <w:rFonts w:ascii="Arial" w:hAnsi="Arial" w:eastAsia="Arial"/>
          <w:b/>
          <w:i w:val="0"/>
          <w:color w:val="000E52"/>
          <w:sz w:val="21"/>
        </w:rPr>
        <w:t>Cluster 3: Formate und Einladungen steuern</w:t>
      </w:r>
    </w:p>
    <w:p>
      <w:pPr>
        <w:spacing w:after="80" w:line="259" w:lineRule="auto"/>
      </w:pPr>
      <w:r>
        <w:rPr>
          <w:rFonts w:ascii="Arial" w:hAnsi="Arial" w:eastAsia="Arial"/>
          <w:b w:val="0"/>
          <w:i w:val="0"/>
          <w:color w:val="1F2430"/>
        </w:rPr>
        <w:t>Workshops, Austauschrunden, Kommentierungen und weitere Formate anlegen, Kandidat:innen und Teilnehmende zuordnen sowie den Stand vorgemerkt, eingeladen, zugesagt, abgesagt oder teilgenommen gemeinsam pflegen.</w:t>
      </w:r>
    </w:p>
    <w:p>
      <w:pPr>
        <w:pStyle w:val="Heading2"/>
        <w:keepNext/>
      </w:pPr>
      <w:r>
        <w:rPr>
          <w:rFonts w:ascii="Arial" w:hAnsi="Arial" w:eastAsia="Arial"/>
          <w:b/>
          <w:i w:val="0"/>
          <w:color w:val="000E52"/>
          <w:sz w:val="21"/>
        </w:rPr>
        <w:t>Cluster 4: Hospitationen, Tests und Feedback organisieren</w:t>
      </w:r>
    </w:p>
    <w:p>
      <w:pPr>
        <w:spacing w:after="80" w:line="259" w:lineRule="auto"/>
      </w:pPr>
      <w:r>
        <w:rPr>
          <w:rFonts w:ascii="Arial" w:hAnsi="Arial" w:eastAsia="Arial"/>
          <w:b w:val="0"/>
          <w:i w:val="0"/>
          <w:color w:val="1F2430"/>
        </w:rPr>
        <w:t>Hospitationsangebote, Demonstratorentests und Feedbackvorhaben mit Einrichtung, Kontakt, Thema, Termin, Status, interner Verantwortung und sachlicher Nachbereitung koordinieren.</w:t>
      </w:r>
    </w:p>
    <w:p>
      <w:pPr>
        <w:pStyle w:val="Heading2"/>
        <w:keepNext/>
      </w:pPr>
      <w:r>
        <w:rPr>
          <w:rFonts w:ascii="Arial" w:hAnsi="Arial" w:eastAsia="Arial"/>
          <w:b/>
          <w:i w:val="0"/>
          <w:color w:val="000E52"/>
          <w:sz w:val="21"/>
        </w:rPr>
        <w:t>Cluster 5: Beziehungen und Vorgänge teamweit fortführen</w:t>
      </w:r>
    </w:p>
    <w:p>
      <w:pPr>
        <w:spacing w:after="80" w:line="259" w:lineRule="auto"/>
      </w:pPr>
      <w:r>
        <w:rPr>
          <w:rFonts w:ascii="Arial" w:hAnsi="Arial" w:eastAsia="Arial"/>
          <w:b w:val="0"/>
          <w:i w:val="0"/>
          <w:color w:val="1F2430"/>
        </w:rPr>
        <w:t>Den letzten relevanten Austausch, sachliche Vereinbarungen, offene Aufgaben und nächste Schritte dokumentieren. Kontakte und Vorgänge sollen bei Abwesenheit, Vertretung oder Teamwechsel ohne private Nebenlisten fortgeführt werden können.</w:t>
      </w:r>
    </w:p>
    <w:p>
      <w:pPr>
        <w:pStyle w:val="Heading2"/>
        <w:keepNext/>
      </w:pPr>
      <w:r>
        <w:rPr>
          <w:rFonts w:ascii="Arial" w:hAnsi="Arial" w:eastAsia="Arial"/>
          <w:b/>
          <w:i w:val="0"/>
          <w:color w:val="000E52"/>
          <w:sz w:val="21"/>
        </w:rPr>
        <w:t>Cluster 6: Zweckstatus, Importe und Auswertung unterscheiden</w:t>
      </w:r>
    </w:p>
    <w:p>
      <w:pPr>
        <w:spacing w:after="80" w:line="259" w:lineRule="auto"/>
      </w:pPr>
      <w:r>
        <w:rPr>
          <w:rFonts w:ascii="Arial" w:hAnsi="Arial" w:eastAsia="Arial"/>
          <w:b w:val="0"/>
          <w:i w:val="0"/>
          <w:color w:val="1F2430"/>
        </w:rPr>
        <w:t>Operativen Kontakt, Kandidatenstatus, freiwillige Zukunftseinladungen, Ablehnung, Widerruf, EHC-Zweck und Importquelle getrennt führen. Planungs- und Managementansichten werden möglichst aggregiert bereitgestellt.</w:t>
      </w:r>
    </w:p>
    <w:p>
      <w:pPr>
        <w:pStyle w:val="Heading1"/>
        <w:keepNext/>
      </w:pPr>
      <w:r>
        <w:rPr>
          <w:rFonts w:ascii="Arial" w:hAnsi="Arial" w:eastAsia="Arial"/>
          <w:b/>
          <w:i w:val="0"/>
          <w:color w:val="000E52"/>
          <w:sz w:val="22"/>
        </w:rPr>
        <w:t>Nicht aus den Startanforderungen ableitbar</w:t>
      </w:r>
    </w:p>
    <w:p>
      <w:pPr>
        <w:keepLines/>
        <w:numPr>
          <w:ilvl w:val="0"/>
          <w:numId w:val="10"/>
        </w:numPr>
        <w:spacing w:before="0" w:after="45" w:line="259" w:lineRule="auto"/>
      </w:pPr>
      <w:r>
        <w:rPr>
          <w:rFonts w:ascii="Arial" w:hAnsi="Arial" w:eastAsia="Arial"/>
          <w:b w:val="0"/>
          <w:i w:val="0"/>
          <w:color w:val="1F2430"/>
        </w:rPr>
        <w:t>private Kontaktwege oder Privatanschriften; Profilbilder; Visitenkartenbilder nach Erfassung;</w:t>
      </w:r>
    </w:p>
    <w:p>
      <w:pPr>
        <w:keepLines/>
        <w:numPr>
          <w:ilvl w:val="0"/>
          <w:numId w:val="10"/>
        </w:numPr>
        <w:spacing w:before="0" w:after="45" w:line="259" w:lineRule="auto"/>
      </w:pPr>
      <w:r>
        <w:rPr>
          <w:rFonts w:ascii="Arial" w:hAnsi="Arial" w:eastAsia="Arial"/>
          <w:b w:val="0"/>
          <w:i w:val="0"/>
          <w:color w:val="1F2430"/>
        </w:rPr>
        <w:t>vollständige Kommunikationsverläufe, Lebensläufe oder Social-Media-Kopien;</w:t>
      </w:r>
    </w:p>
    <w:p>
      <w:pPr>
        <w:keepLines/>
        <w:numPr>
          <w:ilvl w:val="0"/>
          <w:numId w:val="10"/>
        </w:numPr>
        <w:spacing w:before="0" w:after="45" w:line="259" w:lineRule="auto"/>
      </w:pPr>
      <w:r>
        <w:rPr>
          <w:rFonts w:ascii="Arial" w:hAnsi="Arial" w:eastAsia="Arial"/>
          <w:b w:val="0"/>
          <w:i w:val="0"/>
          <w:color w:val="1F2430"/>
        </w:rPr>
        <w:t>Patientendaten, besondere Kategorien personenbezogener Daten oder konkrete Versorgungsfälle;</w:t>
      </w:r>
    </w:p>
    <w:p>
      <w:pPr>
        <w:keepLines/>
        <w:numPr>
          <w:ilvl w:val="0"/>
          <w:numId w:val="10"/>
        </w:numPr>
        <w:spacing w:before="0" w:after="45" w:line="259" w:lineRule="auto"/>
      </w:pPr>
      <w:r>
        <w:rPr>
          <w:rFonts w:ascii="Arial" w:hAnsi="Arial" w:eastAsia="Arial"/>
          <w:b w:val="0"/>
          <w:i w:val="0"/>
          <w:color w:val="1F2430"/>
        </w:rPr>
        <w:t>Persönlichkeits-, Sympathie-, Zuverlässigkeits- oder Eignungsscores;</w:t>
      </w:r>
    </w:p>
    <w:p>
      <w:pPr>
        <w:keepLines/>
        <w:numPr>
          <w:ilvl w:val="0"/>
          <w:numId w:val="10"/>
        </w:numPr>
        <w:spacing w:before="0" w:after="30" w:line="259" w:lineRule="auto"/>
      </w:pPr>
      <w:r>
        <w:rPr>
          <w:rFonts w:ascii="Arial" w:hAnsi="Arial" w:eastAsia="Arial"/>
          <w:b w:val="0"/>
          <w:i w:val="0"/>
          <w:color w:val="1F2430"/>
        </w:rPr>
        <w:t>allgemeine Massenmailings oder vollständige EHC-Befragungs- und Teilnahmehistorien.</w:t>
      </w:r>
    </w:p>
    <w:p>
      <w:pPr>
        <w:pStyle w:val="Heading1"/>
        <w:keepNext/>
      </w:pPr>
      <w:r>
        <w:rPr>
          <w:rFonts w:ascii="Arial" w:hAnsi="Arial" w:eastAsia="Arial"/>
          <w:b/>
          <w:i w:val="0"/>
          <w:color w:val="000E52"/>
          <w:sz w:val="22"/>
        </w:rPr>
        <w:t>Fragen für die Team-Rückmeldung</w:t>
      </w:r>
    </w:p>
    <w:p>
      <w:pPr>
        <w:keepLines/>
        <w:numPr>
          <w:ilvl w:val="0"/>
          <w:numId w:val="10"/>
        </w:numPr>
        <w:spacing w:before="0" w:after="45" w:line="259" w:lineRule="auto"/>
      </w:pPr>
      <w:r>
        <w:rPr>
          <w:rFonts w:ascii="Arial" w:hAnsi="Arial" w:eastAsia="Arial"/>
          <w:b w:val="0"/>
          <w:i w:val="0"/>
          <w:color w:val="1F2430"/>
        </w:rPr>
        <w:t>Decken die sechs Cluster die tatsächlichen Arbeitsvorgänge der Teams ab?</w:t>
      </w:r>
    </w:p>
    <w:p>
      <w:pPr>
        <w:keepLines/>
        <w:numPr>
          <w:ilvl w:val="0"/>
          <w:numId w:val="10"/>
        </w:numPr>
        <w:spacing w:before="0" w:after="45" w:line="259" w:lineRule="auto"/>
      </w:pPr>
      <w:r>
        <w:rPr>
          <w:rFonts w:ascii="Arial" w:hAnsi="Arial" w:eastAsia="Arial"/>
          <w:b w:val="0"/>
          <w:i w:val="0"/>
          <w:color w:val="1F2430"/>
        </w:rPr>
        <w:t>Welche zwei bis drei Anwendungsfälle müssen im Pilot zwingend funktionieren?</w:t>
      </w:r>
    </w:p>
    <w:p>
      <w:pPr>
        <w:keepLines/>
        <w:numPr>
          <w:ilvl w:val="0"/>
          <w:numId w:val="10"/>
        </w:numPr>
        <w:spacing w:before="0" w:after="45" w:line="259" w:lineRule="auto"/>
      </w:pPr>
      <w:r>
        <w:rPr>
          <w:rFonts w:ascii="Arial" w:hAnsi="Arial" w:eastAsia="Arial"/>
          <w:b w:val="0"/>
          <w:i w:val="0"/>
          <w:color w:val="1F2430"/>
        </w:rPr>
        <w:t>Welche Datenfelder oder Funktionen werden für diese Anwendungsfälle nicht benötigt?</w:t>
      </w:r>
    </w:p>
    <w:p>
      <w:pPr>
        <w:keepLines/>
        <w:numPr>
          <w:ilvl w:val="0"/>
          <w:numId w:val="10"/>
        </w:numPr>
        <w:spacing w:before="0" w:after="30" w:line="259" w:lineRule="auto"/>
      </w:pPr>
      <w:r>
        <w:rPr>
          <w:rFonts w:ascii="Arial" w:hAnsi="Arial" w:eastAsia="Arial"/>
          <w:b w:val="0"/>
          <w:i w:val="0"/>
          <w:color w:val="1F2430"/>
        </w:rPr>
        <w:t>Welche Übergaben, Doppelansprachen oder Suchprobleme treten heute konkret auf?</w:t>
      </w:r>
    </w:p>
    <w:p>
      <w:pPr>
        <w:spacing w:before="0" w:after="0" w:line="240" w:lineRule="auto"/>
      </w:pPr>
      <w:r>
        <w:br w:type="page"/>
      </w:r>
    </w:p>
    <w:p>
      <w:pPr>
        <w:pStyle w:val="AnnexTitle"/>
        <w:keepNext/>
      </w:pPr>
      <w:r>
        <w:rPr>
          <w:rFonts w:ascii="Arial" w:hAnsi="Arial" w:eastAsia="Arial"/>
          <w:b/>
          <w:i w:val="0"/>
          <w:color w:val="000E52"/>
          <w:sz w:val="32"/>
        </w:rPr>
        <w:t>Anlage B - Benötigte Datenverarbeitung</w:t>
      </w:r>
    </w:p>
    <w:p>
      <w:pPr>
        <w:pStyle w:val="AnnexLead"/>
        <w:keepNext/>
      </w:pPr>
      <w:r>
        <w:rPr>
          <w:rFonts w:ascii="Arial" w:hAnsi="Arial" w:eastAsia="Arial"/>
          <w:b w:val="0"/>
          <w:i w:val="0"/>
          <w:color w:val="60697F"/>
          <w:sz w:val="20"/>
        </w:rPr>
        <w:t>Die fachlichen Anforderungen benötigen konkrete Verarbeitungsschritte. Die bloße Bezeichnung als Kontaktmanagementsystem erweitert den zulässigen Zweck nicht.</w:t>
      </w:r>
    </w:p>
    <w:p>
      <w:pPr>
        <w:pStyle w:val="Heading1"/>
        <w:keepNext/>
      </w:pPr>
      <w:r>
        <w:rPr>
          <w:rFonts w:ascii="Arial" w:hAnsi="Arial" w:eastAsia="Arial"/>
          <w:b/>
          <w:i w:val="0"/>
          <w:color w:val="000E52"/>
          <w:sz w:val="22"/>
        </w:rPr>
        <w:t>B.1 Erforderliche Operationen</w:t>
      </w:r>
    </w:p>
    <w:p>
      <w:pPr>
        <w:keepLines/>
        <w:numPr>
          <w:ilvl w:val="0"/>
          <w:numId w:val="10"/>
        </w:numPr>
        <w:spacing w:before="0" w:after="45" w:line="259" w:lineRule="auto"/>
      </w:pPr>
      <w:r>
        <w:rPr>
          <w:rFonts w:ascii="Arial" w:hAnsi="Arial" w:eastAsia="Arial"/>
          <w:b/>
          <w:i w:val="0"/>
          <w:color w:val="1F2430"/>
        </w:rPr>
        <w:t xml:space="preserve">Erheben und erfassen: </w:t>
      </w:r>
      <w:r>
        <w:rPr>
          <w:rFonts w:ascii="Arial" w:hAnsi="Arial" w:eastAsia="Arial"/>
          <w:b w:val="0"/>
          <w:i w:val="0"/>
          <w:color w:val="1F2430"/>
        </w:rPr>
        <w:t>berufliche Minimalangaben aus direktem Austausch, Formularen, geprüften Listen und geeigneten öffentlichen Quellen.</w:t>
      </w:r>
    </w:p>
    <w:p>
      <w:pPr>
        <w:keepLines/>
        <w:numPr>
          <w:ilvl w:val="0"/>
          <w:numId w:val="10"/>
        </w:numPr>
        <w:spacing w:before="0" w:after="45" w:line="259" w:lineRule="auto"/>
      </w:pPr>
      <w:r>
        <w:rPr>
          <w:rFonts w:ascii="Arial" w:hAnsi="Arial" w:eastAsia="Arial"/>
          <w:b/>
          <w:i w:val="0"/>
          <w:color w:val="1F2430"/>
        </w:rPr>
        <w:t xml:space="preserve">Speichern und verknüpfen: </w:t>
      </w:r>
      <w:r>
        <w:rPr>
          <w:rFonts w:ascii="Arial" w:hAnsi="Arial" w:eastAsia="Arial"/>
          <w:b w:val="0"/>
          <w:i w:val="0"/>
          <w:color w:val="1F2430"/>
        </w:rPr>
        <w:t>Kontakt, Organisation, Rolle, Quelle, Aufgabe, Format, Hospitation, Zuständigkeit und Status.</w:t>
      </w:r>
    </w:p>
    <w:p>
      <w:pPr>
        <w:keepLines/>
        <w:numPr>
          <w:ilvl w:val="0"/>
          <w:numId w:val="10"/>
        </w:numPr>
        <w:spacing w:before="0" w:after="45" w:line="259" w:lineRule="auto"/>
      </w:pPr>
      <w:r>
        <w:rPr>
          <w:rFonts w:ascii="Arial" w:hAnsi="Arial" w:eastAsia="Arial"/>
          <w:b/>
          <w:i w:val="0"/>
          <w:color w:val="1F2430"/>
        </w:rPr>
        <w:t xml:space="preserve">Suchen und selektieren: </w:t>
      </w:r>
      <w:r>
        <w:rPr>
          <w:rFonts w:ascii="Arial" w:hAnsi="Arial" w:eastAsia="Arial"/>
          <w:b w:val="0"/>
          <w:i w:val="0"/>
          <w:color w:val="1F2430"/>
        </w:rPr>
        <w:t>nach fachlich erforderlichen Merkmalen; ohne automatisiertes Personenranking.</w:t>
      </w:r>
    </w:p>
    <w:p>
      <w:pPr>
        <w:keepLines/>
        <w:numPr>
          <w:ilvl w:val="0"/>
          <w:numId w:val="10"/>
        </w:numPr>
        <w:spacing w:before="0" w:after="45" w:line="259" w:lineRule="auto"/>
      </w:pPr>
      <w:r>
        <w:rPr>
          <w:rFonts w:ascii="Arial" w:hAnsi="Arial" w:eastAsia="Arial"/>
          <w:b/>
          <w:i w:val="0"/>
          <w:color w:val="1F2430"/>
        </w:rPr>
        <w:t xml:space="preserve">Aktualisieren und zusammenführen: </w:t>
      </w:r>
      <w:r>
        <w:rPr>
          <w:rFonts w:ascii="Arial" w:hAnsi="Arial" w:eastAsia="Arial"/>
          <w:b w:val="0"/>
          <w:i w:val="0"/>
          <w:color w:val="1F2430"/>
        </w:rPr>
        <w:t>Berichtigung, Dublettenabgleich, Quellenprüfung und kontrollierter Import.</w:t>
      </w:r>
    </w:p>
    <w:p>
      <w:pPr>
        <w:keepLines/>
        <w:numPr>
          <w:ilvl w:val="0"/>
          <w:numId w:val="10"/>
        </w:numPr>
        <w:spacing w:before="0" w:after="45" w:line="259" w:lineRule="auto"/>
      </w:pPr>
      <w:r>
        <w:rPr>
          <w:rFonts w:ascii="Arial" w:hAnsi="Arial" w:eastAsia="Arial"/>
          <w:b/>
          <w:i w:val="0"/>
          <w:color w:val="1F2430"/>
        </w:rPr>
        <w:t xml:space="preserve">Intern bereitstellen: </w:t>
      </w:r>
      <w:r>
        <w:rPr>
          <w:rFonts w:ascii="Arial" w:hAnsi="Arial" w:eastAsia="Arial"/>
          <w:b w:val="0"/>
          <w:i w:val="0"/>
          <w:color w:val="1F2430"/>
        </w:rPr>
        <w:t>unterschiedliche Such-, Fall-, Format-, Versand- und Qualitätssichten.</w:t>
      </w:r>
    </w:p>
    <w:p>
      <w:pPr>
        <w:keepLines/>
        <w:numPr>
          <w:ilvl w:val="0"/>
          <w:numId w:val="10"/>
        </w:numPr>
        <w:spacing w:before="0" w:after="45" w:line="259" w:lineRule="auto"/>
      </w:pPr>
      <w:r>
        <w:rPr>
          <w:rFonts w:ascii="Arial" w:hAnsi="Arial" w:eastAsia="Arial"/>
          <w:b/>
          <w:i w:val="0"/>
          <w:color w:val="1F2430"/>
        </w:rPr>
        <w:t xml:space="preserve">Protokollieren, sperren und löschen: </w:t>
      </w:r>
      <w:r>
        <w:rPr>
          <w:rFonts w:ascii="Arial" w:hAnsi="Arial" w:eastAsia="Arial"/>
          <w:b w:val="0"/>
          <w:i w:val="0"/>
          <w:color w:val="1F2430"/>
        </w:rPr>
        <w:t>kritische Statusänderungen, Widerspruch, Widerruf, Export, Prüffrist und Löschung.</w:t>
      </w:r>
    </w:p>
    <w:p>
      <w:pPr>
        <w:keepLines/>
        <w:numPr>
          <w:ilvl w:val="0"/>
          <w:numId w:val="10"/>
        </w:numPr>
        <w:spacing w:before="0" w:after="30" w:line="259" w:lineRule="auto"/>
      </w:pPr>
      <w:r>
        <w:rPr>
          <w:rFonts w:ascii="Arial" w:hAnsi="Arial" w:eastAsia="Arial"/>
          <w:b/>
          <w:i w:val="0"/>
          <w:color w:val="1F2430"/>
        </w:rPr>
        <w:t xml:space="preserve">Aggregieren: </w:t>
      </w:r>
      <w:r>
        <w:rPr>
          <w:rFonts w:ascii="Arial" w:hAnsi="Arial" w:eastAsia="Arial"/>
          <w:b w:val="0"/>
          <w:i w:val="0"/>
          <w:color w:val="1F2430"/>
        </w:rPr>
        <w:t>Abdeckung und Arbeitsstand nach Sektor, Region, Berufsgruppe, Format und Hospitationsstatus.</w:t>
      </w:r>
    </w:p>
    <w:p>
      <w:pPr>
        <w:pStyle w:val="Heading1"/>
        <w:keepNext/>
      </w:pPr>
      <w:r>
        <w:rPr>
          <w:rFonts w:ascii="Arial" w:hAnsi="Arial" w:eastAsia="Arial"/>
          <w:b/>
          <w:i w:val="0"/>
          <w:color w:val="000E52"/>
          <w:sz w:val="22"/>
        </w:rPr>
        <w:t>B.2 Verarbeitungsmatrix</w:t>
      </w:r>
    </w:p>
    <w:tbl>
      <w:tblPr>
        <w:tblW w:type="dxa" w:w="10204"/>
        <w:jc w:val="left"/>
        <w:tblLayout w:type="fixed"/>
        <w:tblLook w:firstColumn="1" w:firstRow="1" w:lastColumn="0" w:lastRow="0" w:noHBand="0" w:noVBand="1" w:val="04A0"/>
        <w:tblInd w:w="120" w:type="dxa"/>
      </w:tblPr>
      <w:tblGrid>
        <w:gridCol w:w="1900"/>
        <w:gridCol w:w="3600"/>
        <w:gridCol w:w="2350"/>
        <w:gridCol w:w="2354"/>
      </w:tblGrid>
      <w:tr>
        <w:trPr>
          <w:tblHeader w:val="true"/>
        </w:trPr>
        <w:tc>
          <w:tcPr>
            <w:tcW w:type="dxa" w:w="19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Arbeitsbedarf</w:t>
            </w:r>
          </w:p>
        </w:tc>
        <w:tc>
          <w:tcPr>
            <w:tcW w:type="dxa" w:w="36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Daten und Operation</w:t>
            </w:r>
          </w:p>
        </w:tc>
        <w:tc>
          <w:tcPr>
            <w:tcW w:type="dxa" w:w="235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Fachlicher Zweck</w:t>
            </w:r>
          </w:p>
        </w:tc>
        <w:tc>
          <w:tcPr>
            <w:tcW w:type="dxa" w:w="235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Begrenzung</w:t>
            </w:r>
          </w:p>
        </w:tc>
      </w:tr>
      <w:tr>
        <w:trPr>
          <w:cantSplit w:val="true"/>
        </w:trPr>
        <w:tc>
          <w:tcPr>
            <w:tcW w:type="dxa" w:w="19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Kontaktanlage</w:t>
            </w:r>
            <w:r>
              <w:rPr>
                <w:rFonts w:ascii="Arial" w:hAnsi="Arial" w:eastAsia="Arial"/>
                <w:b w:val="0"/>
                <w:i w:val="0"/>
                <w:color w:val="1F2430"/>
                <w:sz w:val="16"/>
              </w:rPr>
            </w:r>
          </w:p>
        </w:tc>
        <w:tc>
          <w:tcPr>
            <w:tcW w:type="dxa" w:w="36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Name, berufliche Funktion, Einrichtung, ein erforderlicher Kontaktweg, Quelle, Datum, Anlass und Zuständigkeit erfassen.</w:t>
            </w:r>
          </w:p>
        </w:tc>
        <w:tc>
          <w:tcPr>
            <w:tcW w:type="dxa" w:w="23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Bestehenden beruflichen Kontakt in einen konkreten Arbeitsvorgang überführen.</w:t>
            </w:r>
          </w:p>
        </w:tc>
        <w:tc>
          <w:tcPr>
            <w:tcW w:type="dxa" w:w="235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 Import vollständiger E-Mail-, Teams- oder Visitenkarteninhalte; keine private Kontaktangabe ohne Bedarf.</w:t>
            </w:r>
          </w:p>
        </w:tc>
      </w:tr>
      <w:tr>
        <w:trPr>
          <w:cantSplit w:val="true"/>
        </w:trPr>
        <w:tc>
          <w:tcPr>
            <w:tcW w:type="dxa" w:w="19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Gemeinsamer Bestand</w:t>
            </w:r>
            <w:r>
              <w:rPr>
                <w:rFonts w:ascii="Arial" w:hAnsi="Arial" w:eastAsia="Arial"/>
                <w:b w:val="0"/>
                <w:i w:val="0"/>
                <w:color w:val="1F2430"/>
                <w:sz w:val="16"/>
              </w:rPr>
            </w:r>
          </w:p>
        </w:tc>
        <w:tc>
          <w:tcPr>
            <w:tcW w:type="dxa" w:w="36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Person und Organisation verknüpfen; berufliche Stammdaten speichern, aktualisieren, berichtigen und Dubletten zusammenführen.</w:t>
            </w:r>
          </w:p>
        </w:tc>
        <w:tc>
          <w:tcPr>
            <w:tcW w:type="dxa" w:w="23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Ein führender aktueller Datensatz statt paralleler Kopien.</w:t>
            </w:r>
          </w:p>
        </w:tc>
        <w:tc>
          <w:tcPr>
            <w:tcW w:type="dxa" w:w="235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vorsorgliche Sammlung beliebiger biografischer Angaben.</w:t>
            </w:r>
          </w:p>
        </w:tc>
      </w:tr>
      <w:tr>
        <w:trPr>
          <w:cantSplit w:val="true"/>
        </w:trPr>
        <w:tc>
          <w:tcPr>
            <w:tcW w:type="dxa" w:w="19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Finden und auswählen</w:t>
            </w:r>
            <w:r>
              <w:rPr>
                <w:rFonts w:ascii="Arial" w:hAnsi="Arial" w:eastAsia="Arial"/>
                <w:b w:val="0"/>
                <w:i w:val="0"/>
                <w:color w:val="1F2430"/>
                <w:sz w:val="16"/>
              </w:rPr>
            </w:r>
          </w:p>
        </w:tc>
        <w:tc>
          <w:tcPr>
            <w:tcW w:type="dxa" w:w="36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Nach Einrichtung, Sektor, Region, Berufsgruppe, Fachrichtung, Funktion und Thema suchen; Kandidatenliste bilden.</w:t>
            </w:r>
          </w:p>
        </w:tc>
        <w:tc>
          <w:tcPr>
            <w:tcW w:type="dxa" w:w="23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Passende Versorgungsperspektiven für einen benannten Vorgang finden.</w:t>
            </w:r>
          </w:p>
        </w:tc>
        <w:tc>
          <w:tcPr>
            <w:tcW w:type="dxa" w:w="235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automatisierte Eignungsbewertung; die Zuordnung zur Vorschlagsliste ist noch keine Einladung.</w:t>
            </w:r>
          </w:p>
        </w:tc>
      </w:tr>
      <w:tr>
        <w:trPr>
          <w:cantSplit w:val="true"/>
        </w:trPr>
        <w:tc>
          <w:tcPr>
            <w:tcW w:type="dxa" w:w="19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Formate und Einladungen</w:t>
            </w:r>
            <w:r>
              <w:rPr>
                <w:rFonts w:ascii="Arial" w:hAnsi="Arial" w:eastAsia="Arial"/>
                <w:b w:val="0"/>
                <w:i w:val="0"/>
                <w:color w:val="1F2430"/>
                <w:sz w:val="16"/>
              </w:rPr>
            </w:r>
          </w:p>
        </w:tc>
        <w:tc>
          <w:tcPr>
            <w:tcW w:type="dxa" w:w="36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Kontakt mit Format, fachlicher Rolle, Termin, Zuständigkeit sowie Einladungs- und Teilnahmestatus verknüpfen.</w:t>
            </w:r>
          </w:p>
        </w:tc>
        <w:tc>
          <w:tcPr>
            <w:tcW w:type="dxa" w:w="23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Workshops und Beteiligungsformate im Team planen und durchführen.</w:t>
            </w:r>
          </w:p>
        </w:tc>
        <w:tc>
          <w:tcPr>
            <w:tcW w:type="dxa" w:w="235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Status gilt nur für das konkrete Format; Zukunftskommunikation gesondert prüfen.</w:t>
            </w:r>
          </w:p>
        </w:tc>
      </w:tr>
      <w:tr>
        <w:trPr>
          <w:cantSplit w:val="true"/>
        </w:trPr>
        <w:tc>
          <w:tcPr>
            <w:tcW w:type="dxa" w:w="19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Hospitation und Feedback</w:t>
            </w:r>
            <w:r>
              <w:rPr>
                <w:rFonts w:ascii="Arial" w:hAnsi="Arial" w:eastAsia="Arial"/>
                <w:b w:val="0"/>
                <w:i w:val="0"/>
                <w:color w:val="1F2430"/>
                <w:sz w:val="16"/>
              </w:rPr>
            </w:r>
          </w:p>
        </w:tc>
        <w:tc>
          <w:tcPr>
            <w:tcW w:type="dxa" w:w="36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Einrichtung, Kontakt, Thema, Termin, Status, interne Zuständigkeit, Vorbereitung und Folgeschritt verknüpfen.</w:t>
            </w:r>
          </w:p>
        </w:tc>
        <w:tc>
          <w:tcPr>
            <w:tcW w:type="dxa" w:w="23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Hospitationen, Demonstratorentests und Rückmeldungen koordinieren.</w:t>
            </w:r>
          </w:p>
        </w:tc>
        <w:tc>
          <w:tcPr>
            <w:tcW w:type="dxa" w:w="235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Patient:innen-, Behandlungs- oder konkreten Versorgungsfalldaten.</w:t>
            </w:r>
          </w:p>
        </w:tc>
      </w:tr>
      <w:tr>
        <w:trPr>
          <w:cantSplit w:val="true"/>
        </w:trPr>
        <w:tc>
          <w:tcPr>
            <w:tcW w:type="dxa" w:w="19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Vorgangskontinuität</w:t>
            </w:r>
            <w:r>
              <w:rPr>
                <w:rFonts w:ascii="Arial" w:hAnsi="Arial" w:eastAsia="Arial"/>
                <w:b w:val="0"/>
                <w:i w:val="0"/>
                <w:color w:val="1F2430"/>
                <w:sz w:val="16"/>
              </w:rPr>
            </w:r>
          </w:p>
        </w:tc>
        <w:tc>
          <w:tcPr>
            <w:tcW w:type="dxa" w:w="36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Kontaktanlass, Zeitpunkt, sachliches Ergebnis, Vereinbarung, Zuständigkeit und nächsten Schritt dokumentieren.</w:t>
            </w:r>
          </w:p>
        </w:tc>
        <w:tc>
          <w:tcPr>
            <w:tcW w:type="dxa" w:w="23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Vertretung, Übergabe und Vermeidung widersprüchlicher Ansprache.</w:t>
            </w:r>
          </w:p>
        </w:tc>
        <w:tc>
          <w:tcPr>
            <w:tcW w:type="dxa" w:w="235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privaten, sensiblen, spekulativen oder abwertenden Personenprofile.</w:t>
            </w:r>
          </w:p>
        </w:tc>
      </w:tr>
      <w:tr>
        <w:trPr>
          <w:cantSplit w:val="true"/>
        </w:trPr>
        <w:tc>
          <w:tcPr>
            <w:tcW w:type="dxa" w:w="19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Zweck- und Kontaktstatus</w:t>
            </w:r>
            <w:r>
              <w:rPr>
                <w:rFonts w:ascii="Arial" w:hAnsi="Arial" w:eastAsia="Arial"/>
                <w:b w:val="0"/>
                <w:i w:val="0"/>
                <w:color w:val="1F2430"/>
                <w:sz w:val="16"/>
              </w:rPr>
            </w:r>
          </w:p>
        </w:tc>
        <w:tc>
          <w:tcPr>
            <w:tcW w:type="dxa" w:w="36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Beziehungsgrundlage, operative Kommunikation, optionale Zukunftseinladung, EHC-Zweck, Ablehnung, Widerruf und Sperre getrennt speichern.</w:t>
            </w:r>
          </w:p>
        </w:tc>
        <w:tc>
          <w:tcPr>
            <w:tcW w:type="dxa" w:w="23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Nur für den jeweils dokumentierten Zweck und Kanal verarbeiten.</w:t>
            </w:r>
          </w:p>
        </w:tc>
        <w:tc>
          <w:tcPr>
            <w:tcW w:type="dxa" w:w="235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Ein Status wird nicht auf andere Zwecke übertragen; EHC-Mitgliedschaft ist keine automatische #Mitmachen-Freigabe.</w:t>
            </w:r>
          </w:p>
        </w:tc>
      </w:tr>
      <w:tr>
        <w:trPr>
          <w:cantSplit w:val="true"/>
        </w:trPr>
        <w:tc>
          <w:tcPr>
            <w:tcW w:type="dxa" w:w="19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Import und Systemaustausch</w:t>
            </w:r>
            <w:r>
              <w:rPr>
                <w:rFonts w:ascii="Arial" w:hAnsi="Arial" w:eastAsia="Arial"/>
                <w:b w:val="0"/>
                <w:i w:val="0"/>
                <w:color w:val="1F2430"/>
                <w:sz w:val="16"/>
              </w:rPr>
            </w:r>
          </w:p>
        </w:tc>
        <w:tc>
          <w:tcPr>
            <w:tcW w:type="dxa" w:w="36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Ausgewählte Felder einlesen, validieren, zuordnen, Dubletten prüfen und kontrolliert übernehmen.</w:t>
            </w:r>
          </w:p>
        </w:tc>
        <w:tc>
          <w:tcPr>
            <w:tcW w:type="dxa" w:w="23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Qualifizierte Bestände nutzbar machen, ohne neue Schattenlisten.</w:t>
            </w:r>
          </w:p>
        </w:tc>
        <w:tc>
          <w:tcPr>
            <w:tcW w:type="dxa" w:w="235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unkontrollierte Vollübernahme; keine Befragungsantworten, Prämien- oder Verhaltensdaten.</w:t>
            </w:r>
          </w:p>
        </w:tc>
      </w:tr>
      <w:tr>
        <w:trPr>
          <w:cantSplit w:val="true"/>
        </w:trPr>
        <w:tc>
          <w:tcPr>
            <w:tcW w:type="dxa" w:w="19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Planung und Auswertung</w:t>
            </w:r>
            <w:r>
              <w:rPr>
                <w:rFonts w:ascii="Arial" w:hAnsi="Arial" w:eastAsia="Arial"/>
                <w:b w:val="0"/>
                <w:i w:val="0"/>
                <w:color w:val="1F2430"/>
                <w:sz w:val="16"/>
              </w:rPr>
            </w:r>
          </w:p>
        </w:tc>
        <w:tc>
          <w:tcPr>
            <w:tcW w:type="dxa" w:w="36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Sektor-, Berufsgruppen-, Regions-, Format-, Einladungs- und Hospitationsdaten zusammenführen und aggregieren.</w:t>
            </w:r>
          </w:p>
        </w:tc>
        <w:tc>
          <w:tcPr>
            <w:tcW w:type="dxa" w:w="23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Abdeckung, Lücken und Arbeitsstand erkennen.</w:t>
            </w:r>
          </w:p>
        </w:tc>
        <w:tc>
          <w:tcPr>
            <w:tcW w:type="dxa" w:w="235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Managementansichten grundsätzlich aggregiert; keine freien Gesprächsnotizen oder Personenrankings.</w:t>
            </w:r>
          </w:p>
        </w:tc>
      </w:tr>
    </w:tbl>
    <w:p>
      <w:pPr>
        <w:spacing w:before="0" w:after="0" w:line="144" w:lineRule="auto"/>
      </w:pPr>
    </w:p>
    <w:p>
      <w:pPr>
        <w:pStyle w:val="Heading1"/>
        <w:keepNext/>
      </w:pPr>
      <w:r>
        <w:rPr>
          <w:rFonts w:ascii="Arial" w:hAnsi="Arial" w:eastAsia="Arial"/>
          <w:b/>
          <w:i w:val="0"/>
          <w:color w:val="000E52"/>
          <w:sz w:val="22"/>
        </w:rPr>
        <w:t>B.3 Datensparsame Stufen</w:t>
      </w:r>
    </w:p>
    <w:tbl>
      <w:tblPr>
        <w:tblW w:type="dxa" w:w="10204"/>
        <w:jc w:val="left"/>
        <w:tblLayout w:type="fixed"/>
        <w:tblLook w:firstColumn="1" w:firstRow="1" w:lastColumn="0" w:lastRow="0" w:noHBand="0" w:noVBand="1" w:val="04A0"/>
        <w:tblInd w:w="120" w:type="dxa"/>
      </w:tblPr>
      <w:tblGrid>
        <w:gridCol w:w="1800"/>
        <w:gridCol w:w="5200"/>
        <w:gridCol w:w="3204"/>
      </w:tblGrid>
      <w:tr>
        <w:trPr>
          <w:tblHeader w:val="true"/>
        </w:trPr>
        <w:tc>
          <w:tcPr>
            <w:tcW w:type="dxa" w:w="18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Stufe</w:t>
            </w:r>
          </w:p>
        </w:tc>
        <w:tc>
          <w:tcPr>
            <w:tcW w:type="dxa" w:w="52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Inhalt</w:t>
            </w:r>
          </w:p>
        </w:tc>
        <w:tc>
          <w:tcPr>
            <w:tcW w:type="dxa" w:w="32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Auslöser</w:t>
            </w:r>
          </w:p>
        </w:tc>
      </w:tr>
      <w:tr>
        <w:trPr>
          <w:cantSplit w:val="true"/>
        </w:trPr>
        <w:tc>
          <w:tcPr>
            <w:tcW w:type="dxa" w:w="18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0 Organisation</w:t>
            </w:r>
            <w:r>
              <w:rPr>
                <w:rFonts w:ascii="Arial" w:hAnsi="Arial" w:eastAsia="Arial"/>
                <w:b w:val="0"/>
                <w:i w:val="0"/>
                <w:color w:val="1F2430"/>
                <w:sz w:val="17"/>
              </w:rPr>
            </w:r>
          </w:p>
        </w:tc>
        <w:tc>
          <w:tcPr>
            <w:tcW w:type="dxa" w:w="52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Name, Sektor, Region, öffentlicher Geschäftsstandort, Website oder Funktionspostfach, Quelle.</w:t>
            </w:r>
          </w:p>
        </w:tc>
        <w:tc>
          <w:tcPr>
            <w:tcW w:type="dxa" w:w="32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Versorgungslandkarte und organisationsbezogene Planung.</w:t>
            </w:r>
          </w:p>
        </w:tc>
      </w:tr>
      <w:tr>
        <w:trPr>
          <w:cantSplit w:val="true"/>
        </w:trPr>
        <w:tc>
          <w:tcPr>
            <w:tcW w:type="dxa" w:w="18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1 Kontaktvorschlag</w:t>
            </w:r>
            <w:r>
              <w:rPr>
                <w:rFonts w:ascii="Arial" w:hAnsi="Arial" w:eastAsia="Arial"/>
                <w:b w:val="0"/>
                <w:i w:val="0"/>
                <w:color w:val="1F2430"/>
                <w:sz w:val="17"/>
              </w:rPr>
            </w:r>
          </w:p>
        </w:tc>
        <w:tc>
          <w:tcPr>
            <w:tcW w:type="dxa" w:w="52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Zusätzlich Name, Funktion, ein beruflicher Kontaktweg, Quelle, Anlass, Zuständigkeit, Informations- und Prüftermin.</w:t>
            </w:r>
          </w:p>
        </w:tc>
        <w:tc>
          <w:tcPr>
            <w:tcW w:type="dxa" w:w="32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Konkreter fachlicher Bedarf oder bestehender beruflicher Kontakt.</w:t>
            </w:r>
          </w:p>
        </w:tc>
      </w:tr>
      <w:tr>
        <w:trPr>
          <w:cantSplit w:val="true"/>
        </w:trPr>
        <w:tc>
          <w:tcPr>
            <w:tcW w:type="dxa" w:w="18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2 Aktiver Vorgang</w:t>
            </w:r>
            <w:r>
              <w:rPr>
                <w:rFonts w:ascii="Arial" w:hAnsi="Arial" w:eastAsia="Arial"/>
                <w:b w:val="0"/>
                <w:i w:val="0"/>
                <w:color w:val="1F2430"/>
                <w:sz w:val="17"/>
              </w:rPr>
            </w:r>
          </w:p>
        </w:tc>
        <w:tc>
          <w:tcPr>
            <w:tcW w:type="dxa" w:w="52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Zusätzlich Format, Hospitation, Termin, Teilnahmestatus, sachliches Ergebnis und nächster Schritt.</w:t>
            </w:r>
          </w:p>
        </w:tc>
        <w:tc>
          <w:tcPr>
            <w:tcW w:type="dxa" w:w="32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Tatsächlich begonnene Zusammenarbeit.</w:t>
            </w:r>
          </w:p>
        </w:tc>
      </w:tr>
    </w:tbl>
    <w:p>
      <w:pPr>
        <w:spacing w:before="0" w:after="0" w:line="144" w:lineRule="auto"/>
      </w:pP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Grundsatz: </w:t>
            </w:r>
            <w:r>
              <w:rPr>
                <w:rFonts w:ascii="Arial" w:hAnsi="Arial" w:eastAsia="Arial"/>
                <w:b w:val="0"/>
                <w:i w:val="0"/>
                <w:color w:val="1F2430"/>
              </w:rPr>
              <w:t>Ein Kontakt wird nicht deshalb umfangreicher, weil das System mehr Felder anbietet. Zusätzliche Informationen benötigen einen konkreten Vorgang und eine dokumentierte fachliche Erforderlichkeit.</w:t>
            </w:r>
          </w:p>
        </w:tc>
      </w:tr>
    </w:tbl>
    <w:p>
      <w:pPr>
        <w:spacing w:before="0" w:after="0" w:line="120" w:lineRule="auto"/>
      </w:pPr>
    </w:p>
    <w:p>
      <w:pPr>
        <w:pStyle w:val="Heading1"/>
        <w:keepNext/>
      </w:pPr>
      <w:r>
        <w:rPr>
          <w:rFonts w:ascii="Arial" w:hAnsi="Arial" w:eastAsia="Arial"/>
          <w:b/>
          <w:i w:val="0"/>
          <w:color w:val="000E52"/>
          <w:sz w:val="22"/>
        </w:rPr>
        <w:t>B.4 Mindestfeldgruppen</w:t>
      </w:r>
    </w:p>
    <w:tbl>
      <w:tblPr>
        <w:tblW w:type="dxa" w:w="10204"/>
        <w:jc w:val="left"/>
        <w:tblLayout w:type="fixed"/>
        <w:tblLook w:firstColumn="1" w:firstRow="1" w:lastColumn="0" w:lastRow="0" w:noHBand="0" w:noVBand="1" w:val="04A0"/>
        <w:tblInd w:w="120" w:type="dxa"/>
      </w:tblPr>
      <w:tblGrid>
        <w:gridCol w:w="2150"/>
        <w:gridCol w:w="4550"/>
        <w:gridCol w:w="3504"/>
      </w:tblGrid>
      <w:tr>
        <w:trPr>
          <w:tblHeader w:val="true"/>
        </w:trPr>
        <w:tc>
          <w:tcPr>
            <w:tcW w:type="dxa" w:w="215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Feldgruppe</w:t>
            </w:r>
          </w:p>
        </w:tc>
        <w:tc>
          <w:tcPr>
            <w:tcW w:type="dxa" w:w="455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Mindestinhalt</w:t>
            </w:r>
          </w:p>
        </w:tc>
        <w:tc>
          <w:tcPr>
            <w:tcW w:type="dxa" w:w="35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Zweck und Begrenzung</w:t>
            </w:r>
          </w:p>
        </w:tc>
      </w:tr>
      <w:tr>
        <w:trPr>
          <w:cantSplit w:val="true"/>
        </w:trPr>
        <w:tc>
          <w:tcPr>
            <w:tcW w:type="dxa" w:w="21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Identität und Organisation</w:t>
            </w:r>
            <w:r>
              <w:rPr>
                <w:rFonts w:ascii="Arial" w:hAnsi="Arial" w:eastAsia="Arial"/>
                <w:b w:val="0"/>
                <w:i w:val="0"/>
                <w:color w:val="1F2430"/>
                <w:sz w:val="17"/>
              </w:rPr>
            </w:r>
          </w:p>
        </w:tc>
        <w:tc>
          <w:tcPr>
            <w:tcW w:type="dxa" w:w="45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Name, berufliche Funktion, Organisation sowie erforderlicher Sektor- oder Regionsbezug.</w:t>
            </w:r>
          </w:p>
        </w:tc>
        <w:tc>
          <w:tcPr>
            <w:tcW w:type="dxa" w:w="35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Nur beruflicher Kontext; keine private Biografie.</w:t>
            </w:r>
          </w:p>
        </w:tc>
      </w:tr>
      <w:tr>
        <w:trPr>
          <w:cantSplit w:val="true"/>
        </w:trPr>
        <w:tc>
          <w:tcPr>
            <w:tcW w:type="dxa" w:w="21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Quelle und Anlass</w:t>
            </w:r>
            <w:r>
              <w:rPr>
                <w:rFonts w:ascii="Arial" w:hAnsi="Arial" w:eastAsia="Arial"/>
                <w:b w:val="0"/>
                <w:i w:val="0"/>
                <w:color w:val="1F2430"/>
                <w:sz w:val="17"/>
              </w:rPr>
            </w:r>
          </w:p>
        </w:tc>
        <w:tc>
          <w:tcPr>
            <w:tcW w:type="dxa" w:w="45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Quellentyp, gegebenenfalls Fundstelle und Datum, Gesprächs-, Veranstaltungs- oder Formularkontext sowie konkrete Aufgabe oder Thema.</w:t>
            </w:r>
          </w:p>
        </w:tc>
        <w:tc>
          <w:tcPr>
            <w:tcW w:type="dxa" w:w="35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Die Quelle schafft Nachvollziehbarkeit, aber keine pauschale Kontaktfreigabe.</w:t>
            </w:r>
          </w:p>
        </w:tc>
      </w:tr>
      <w:tr>
        <w:trPr>
          <w:cantSplit w:val="true"/>
        </w:trPr>
        <w:tc>
          <w:tcPr>
            <w:tcW w:type="dxa" w:w="21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Kontaktweg und Status</w:t>
            </w:r>
            <w:r>
              <w:rPr>
                <w:rFonts w:ascii="Arial" w:hAnsi="Arial" w:eastAsia="Arial"/>
                <w:b w:val="0"/>
                <w:i w:val="0"/>
                <w:color w:val="1F2430"/>
                <w:sz w:val="17"/>
              </w:rPr>
            </w:r>
          </w:p>
        </w:tc>
        <w:tc>
          <w:tcPr>
            <w:tcW w:type="dxa" w:w="45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Höchstens ein erforderlicher beruflicher Kontaktweg; Status operativ, Einwilligung offen, bestätigt, widerrufen oder widersprochen.</w:t>
            </w:r>
          </w:p>
        </w:tc>
        <w:tc>
          <w:tcPr>
            <w:tcW w:type="dxa" w:w="35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Kontakt- und Einwilligungsstatus werden je Zweck und Kanal getrennt geführt.</w:t>
            </w:r>
          </w:p>
        </w:tc>
      </w:tr>
      <w:tr>
        <w:trPr>
          <w:cantSplit w:val="true"/>
        </w:trPr>
        <w:tc>
          <w:tcPr>
            <w:tcW w:type="dxa" w:w="21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Zuständigkeit und Vorgang</w:t>
            </w:r>
            <w:r>
              <w:rPr>
                <w:rFonts w:ascii="Arial" w:hAnsi="Arial" w:eastAsia="Arial"/>
                <w:b w:val="0"/>
                <w:i w:val="0"/>
                <w:color w:val="1F2430"/>
                <w:sz w:val="17"/>
              </w:rPr>
            </w:r>
          </w:p>
        </w:tc>
        <w:tc>
          <w:tcPr>
            <w:tcW w:type="dxa" w:w="45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Zuständige Person oder Team, Format oder Hospitation, Termin beziehungsweise Status und nächster Schritt.</w:t>
            </w:r>
          </w:p>
        </w:tc>
        <w:tc>
          <w:tcPr>
            <w:tcW w:type="dxa" w:w="35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Nur Angaben zum konkreten Arbeitsvorgang.</w:t>
            </w:r>
          </w:p>
        </w:tc>
      </w:tr>
      <w:tr>
        <w:trPr>
          <w:cantSplit w:val="true"/>
        </w:trPr>
        <w:tc>
          <w:tcPr>
            <w:tcW w:type="dxa" w:w="21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Transparenz und Lebenszyklus</w:t>
            </w:r>
            <w:r>
              <w:rPr>
                <w:rFonts w:ascii="Arial" w:hAnsi="Arial" w:eastAsia="Arial"/>
                <w:b w:val="0"/>
                <w:i w:val="0"/>
                <w:color w:val="1F2430"/>
                <w:sz w:val="17"/>
              </w:rPr>
            </w:r>
          </w:p>
        </w:tc>
        <w:tc>
          <w:tcPr>
            <w:tcW w:type="dxa" w:w="45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Hinweisversion und -datum, gegebenenfalls Information nach Artikel 14, Prüftermin sowie Lösch- oder Sperrstatus.</w:t>
            </w:r>
          </w:p>
        </w:tc>
        <w:tc>
          <w:tcPr>
            <w:tcW w:type="dxa" w:w="35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Transparenz, Aktualität und kontrollierte Beendigung technisch unterstützen.</w:t>
            </w:r>
          </w:p>
        </w:tc>
      </w:tr>
    </w:tbl>
    <w:p>
      <w:pPr>
        <w:spacing w:before="0" w:after="0" w:line="144" w:lineRule="auto"/>
      </w:pP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Notizregel: </w:t>
            </w:r>
            <w:r>
              <w:rPr>
                <w:rFonts w:ascii="Arial" w:hAnsi="Arial" w:eastAsia="Arial"/>
                <w:b w:val="0"/>
                <w:i w:val="0"/>
                <w:color w:val="1F2430"/>
              </w:rPr>
              <w:t>Freitext dient nur der sachlichen Dokumentation von Vereinbarungen und Ergebnissen. Status, Datum, Thema und Teilnahme werden möglichst in strukturierten Feldern geführt.</w:t>
            </w:r>
          </w:p>
        </w:tc>
      </w:tr>
    </w:tbl>
    <w:p>
      <w:pPr>
        <w:spacing w:before="0" w:after="0" w:line="120" w:lineRule="auto"/>
      </w:pPr>
    </w:p>
    <w:p>
      <w:pPr>
        <w:spacing w:before="0" w:after="0" w:line="240" w:lineRule="auto"/>
      </w:pPr>
      <w:r>
        <w:br w:type="page"/>
      </w:r>
    </w:p>
    <w:p>
      <w:pPr>
        <w:pStyle w:val="AnnexTitle"/>
        <w:keepNext/>
      </w:pPr>
      <w:r>
        <w:rPr>
          <w:rFonts w:ascii="Arial" w:hAnsi="Arial" w:eastAsia="Arial"/>
          <w:b/>
          <w:i w:val="0"/>
          <w:color w:val="000E52"/>
          <w:sz w:val="32"/>
        </w:rPr>
        <w:t>Anlage C - Zweck- und Systemtrennung</w:t>
      </w:r>
    </w:p>
    <w:p>
      <w:pPr>
        <w:pStyle w:val="AnnexLead"/>
        <w:keepNext/>
      </w:pPr>
      <w:r>
        <w:rPr>
          <w:rFonts w:ascii="Arial" w:hAnsi="Arial" w:eastAsia="Arial"/>
          <w:b w:val="0"/>
          <w:i w:val="0"/>
          <w:color w:val="60697F"/>
          <w:sz w:val="20"/>
        </w:rPr>
        <w:t>Die Übernahme einzelner Angaben verändert nicht automatisch Zweck oder Rechtsgrundlage des Quellsystems.</w:t>
      </w:r>
    </w:p>
    <w:tbl>
      <w:tblPr>
        <w:tblW w:type="dxa" w:w="10204"/>
        <w:jc w:val="left"/>
        <w:tblLayout w:type="fixed"/>
        <w:tblLook w:firstColumn="1" w:firstRow="1" w:lastColumn="0" w:lastRow="0" w:noHBand="0" w:noVBand="1" w:val="04A0"/>
        <w:tblInd w:w="120" w:type="dxa"/>
      </w:tblPr>
      <w:tblGrid>
        <w:gridCol w:w="2050"/>
        <w:gridCol w:w="2250"/>
        <w:gridCol w:w="3000"/>
        <w:gridCol w:w="2904"/>
      </w:tblGrid>
      <w:tr>
        <w:trPr>
          <w:tblHeader w:val="true"/>
        </w:trPr>
        <w:tc>
          <w:tcPr>
            <w:tcW w:type="dxa" w:w="205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System / Quelle</w:t>
            </w:r>
          </w:p>
        </w:tc>
        <w:tc>
          <w:tcPr>
            <w:tcW w:type="dxa" w:w="225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Führender Zweck</w:t>
            </w:r>
          </w:p>
        </w:tc>
        <w:tc>
          <w:tcPr>
            <w:tcW w:type="dxa" w:w="30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Übernahme in den Versorgungskompass</w:t>
            </w:r>
          </w:p>
        </w:tc>
        <w:tc>
          <w:tcPr>
            <w:tcW w:type="dxa" w:w="29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Nicht umfasst / Bedingung</w:t>
            </w:r>
          </w:p>
        </w:tc>
      </w:tr>
      <w:tr>
        <w:trPr>
          <w:cantSplit w:val="true"/>
        </w:trPr>
        <w:tc>
          <w:tcPr>
            <w:tcW w:type="dxa" w:w="20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Website / TYPO3</w:t>
            </w:r>
            <w:r>
              <w:rPr>
                <w:rFonts w:ascii="Arial" w:hAnsi="Arial" w:eastAsia="Arial"/>
                <w:b w:val="0"/>
                <w:i w:val="0"/>
                <w:color w:val="1F2430"/>
                <w:sz w:val="16"/>
              </w:rPr>
            </w:r>
          </w:p>
        </w:tc>
        <w:tc>
          <w:tcPr>
            <w:tcW w:type="dxa" w:w="22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Hospitationsangebot entgegennehmen, prüfen und hierzu Kontakt aufnehmen.</w:t>
            </w:r>
          </w:p>
        </w:tc>
        <w:tc>
          <w:tcPr>
            <w:tcW w:type="dxa" w:w="30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Erforderliche Formularangaben mit Quelle, Eingang und Datenschutzhinweis-Version übernehmen.</w:t>
            </w:r>
          </w:p>
        </w:tc>
        <w:tc>
          <w:tcPr>
            <w:tcW w:type="dxa" w:w="2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pauschale Freigabe für beliebige Profilbildung oder alle späteren Formate.</w:t>
            </w:r>
          </w:p>
        </w:tc>
      </w:tr>
      <w:tr>
        <w:trPr>
          <w:cantSplit w:val="true"/>
        </w:trPr>
        <w:tc>
          <w:tcPr>
            <w:tcW w:type="dxa" w:w="20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Optionale #Mitmachen-Einwilligung</w:t>
            </w:r>
            <w:r>
              <w:rPr>
                <w:rFonts w:ascii="Arial" w:hAnsi="Arial" w:eastAsia="Arial"/>
                <w:b w:val="0"/>
                <w:i w:val="0"/>
                <w:color w:val="1F2430"/>
                <w:sz w:val="16"/>
              </w:rPr>
            </w:r>
          </w:p>
        </w:tc>
        <w:tc>
          <w:tcPr>
            <w:tcW w:type="dxa" w:w="22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Zusätzliche E-Mail-Information und Einladung zu bezeichneten Beteiligungsformaten.</w:t>
            </w:r>
          </w:p>
        </w:tc>
        <w:tc>
          <w:tcPr>
            <w:tcW w:type="dxa" w:w="30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Minimale Versanddaten und nachweisbarer Einwilligungs-, Double-Opt-in-, Widerrufs- und Sperrstatus.</w:t>
            </w:r>
          </w:p>
        </w:tc>
        <w:tc>
          <w:tcPr>
            <w:tcW w:type="dxa" w:w="29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allgemeine organisationsweite Vollsicht; keine internen Notizen in Versandlisten.</w:t>
            </w:r>
          </w:p>
        </w:tc>
      </w:tr>
      <w:tr>
        <w:trPr>
          <w:cantSplit w:val="true"/>
        </w:trPr>
        <w:tc>
          <w:tcPr>
            <w:tcW w:type="dxa" w:w="20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Survalyzer / E-Health Community</w:t>
            </w:r>
            <w:r>
              <w:rPr>
                <w:rFonts w:ascii="Arial" w:hAnsi="Arial" w:eastAsia="Arial"/>
                <w:b w:val="0"/>
                <w:i w:val="0"/>
                <w:color w:val="1F2430"/>
                <w:sz w:val="16"/>
              </w:rPr>
            </w:r>
          </w:p>
        </w:tc>
        <w:tc>
          <w:tcPr>
            <w:tcW w:type="dxa" w:w="22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Panelverwaltung, Befragungseinladungen, Befragungen und Prämienabwicklung.</w:t>
            </w:r>
          </w:p>
        </w:tc>
        <w:tc>
          <w:tcPr>
            <w:tcW w:type="dxa" w:w="30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EHC-only-Daten verbleiben im führenden EHC-System oder einer streng getrennten Domäne.</w:t>
            </w:r>
          </w:p>
        </w:tc>
        <w:tc>
          <w:tcPr>
            <w:tcW w:type="dxa" w:w="2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Keine Vollübernahme von Antworten, Prämien, Teilnahmeverhalten oder internen Qualitätsmerkmalen.</w:t>
            </w:r>
          </w:p>
        </w:tc>
      </w:tr>
      <w:tr>
        <w:trPr>
          <w:cantSplit w:val="true"/>
        </w:trPr>
        <w:tc>
          <w:tcPr>
            <w:tcW w:type="dxa" w:w="20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Eigener beruflicher Kontakt</w:t>
            </w:r>
            <w:r>
              <w:rPr>
                <w:rFonts w:ascii="Arial" w:hAnsi="Arial" w:eastAsia="Arial"/>
                <w:b w:val="0"/>
                <w:i w:val="0"/>
                <w:color w:val="1F2430"/>
                <w:sz w:val="16"/>
              </w:rPr>
            </w:r>
          </w:p>
        </w:tc>
        <w:tc>
          <w:tcPr>
            <w:tcW w:type="dxa" w:w="22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Bestehenden dienstlichen Austausch für einen konkreten gematik-Vorgang fortführen.</w:t>
            </w:r>
          </w:p>
        </w:tc>
        <w:tc>
          <w:tcPr>
            <w:tcW w:type="dxa" w:w="30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Berufliche Minimaldaten, Quelle beziehungsweise Begegnungskontext, Datum, Anlass und Zuständigkeit.</w:t>
            </w:r>
          </w:p>
        </w:tc>
        <w:tc>
          <w:tcPr>
            <w:tcW w:type="dxa" w:w="29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Visitenkarte, E-Mail oder Teams-Kontakt ist keine pauschale Einwilligung für Zukunftseinladungen.</w:t>
            </w:r>
          </w:p>
        </w:tc>
      </w:tr>
      <w:tr>
        <w:trPr>
          <w:cantSplit w:val="true"/>
        </w:trPr>
        <w:tc>
          <w:tcPr>
            <w:tcW w:type="dxa" w:w="20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Öffentliche Berufsquelle</w:t>
            </w:r>
            <w:r>
              <w:rPr>
                <w:rFonts w:ascii="Arial" w:hAnsi="Arial" w:eastAsia="Arial"/>
                <w:b w:val="0"/>
                <w:i w:val="0"/>
                <w:color w:val="1F2430"/>
                <w:sz w:val="16"/>
              </w:rPr>
            </w:r>
          </w:p>
        </w:tc>
        <w:tc>
          <w:tcPr>
            <w:tcW w:type="dxa" w:w="225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Fachlich relevanten Kontaktvorschlag vorbereiten und berufliche Angaben aktualisieren.</w:t>
            </w:r>
          </w:p>
        </w:tc>
        <w:tc>
          <w:tcPr>
            <w:tcW w:type="dxa" w:w="30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Name, Funktion, Einrichtung, öffentlicher Geschäftsstandort, Quellen-URL und Abrufdatum.</w:t>
            </w:r>
          </w:p>
        </w:tc>
        <w:tc>
          <w:tcPr>
            <w:tcW w:type="dxa" w:w="29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Nur geeignete berufsbezogene Quellen; Rechtsgrundlage und Information nach Art. 14 DSGVO dokumentieren.</w:t>
            </w:r>
          </w:p>
        </w:tc>
      </w:tr>
      <w:tr>
        <w:trPr>
          <w:cantSplit w:val="true"/>
        </w:trPr>
        <w:tc>
          <w:tcPr>
            <w:tcW w:type="dxa" w:w="20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Versorgungskompass</w:t>
            </w:r>
            <w:r>
              <w:rPr>
                <w:rFonts w:ascii="Arial" w:hAnsi="Arial" w:eastAsia="Arial"/>
                <w:b w:val="0"/>
                <w:i w:val="0"/>
                <w:color w:val="1F2430"/>
                <w:sz w:val="16"/>
              </w:rPr>
            </w:r>
          </w:p>
        </w:tc>
        <w:tc>
          <w:tcPr>
            <w:tcW w:type="dxa" w:w="225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Berufliches Register und Vorgangsverwaltung für konkrete Hospitationen und Beteiligungsformate.</w:t>
            </w:r>
          </w:p>
        </w:tc>
        <w:tc>
          <w:tcPr>
            <w:tcW w:type="dxa" w:w="30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Erforderliche Stamm-, Quellen-, Zweck-, Status-, Zuständigkeits- und sachliche Vorgangsdaten.</w:t>
            </w:r>
          </w:p>
        </w:tc>
        <w:tc>
          <w:tcPr>
            <w:tcW w:type="dxa" w:w="29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Kein unstrukturierter Gesamtdatenbestand, keine Patientendaten, keine sensiblen Dossiers und keine automatisierte Personenbewertung.</w:t>
            </w:r>
          </w:p>
        </w:tc>
      </w:tr>
    </w:tbl>
    <w:p>
      <w:pPr>
        <w:spacing w:before="0" w:after="0" w:line="144" w:lineRule="auto"/>
      </w:pPr>
    </w:p>
    <w:p>
      <w:pPr>
        <w:pStyle w:val="Heading1"/>
        <w:keepNext/>
      </w:pPr>
      <w:r>
        <w:rPr>
          <w:rFonts w:ascii="Arial" w:hAnsi="Arial" w:eastAsia="Arial"/>
          <w:b/>
          <w:i w:val="0"/>
          <w:color w:val="000E52"/>
          <w:sz w:val="22"/>
        </w:rPr>
        <w:t>C.1 Verbindliche Trennungsregeln</w:t>
      </w:r>
    </w:p>
    <w:p>
      <w:pPr>
        <w:keepLines/>
        <w:numPr>
          <w:ilvl w:val="0"/>
          <w:numId w:val="10"/>
        </w:numPr>
        <w:spacing w:before="0" w:after="45" w:line="259" w:lineRule="auto"/>
      </w:pPr>
      <w:r>
        <w:rPr>
          <w:rFonts w:ascii="Arial" w:hAnsi="Arial" w:eastAsia="Arial"/>
          <w:b w:val="0"/>
          <w:i w:val="0"/>
          <w:color w:val="1F2430"/>
        </w:rPr>
        <w:t>Quelle, Zweckdomäne, Rechtsgrundlage, Kontaktstatus, Zugriffsumfang und Prüftermin werden getrennt geführt.</w:t>
      </w:r>
    </w:p>
    <w:p>
      <w:pPr>
        <w:keepLines/>
        <w:numPr>
          <w:ilvl w:val="0"/>
          <w:numId w:val="10"/>
        </w:numPr>
        <w:spacing w:before="0" w:after="45" w:line="259" w:lineRule="auto"/>
      </w:pPr>
      <w:r>
        <w:rPr>
          <w:rFonts w:ascii="Arial" w:hAnsi="Arial" w:eastAsia="Arial"/>
          <w:b w:val="0"/>
          <w:i w:val="0"/>
          <w:color w:val="1F2430"/>
        </w:rPr>
        <w:t>Die bloße Existenz eines Datensatzes berechtigt weder zur Kontaktaufnahme noch zur Zukunftseinladung.</w:t>
      </w:r>
    </w:p>
    <w:p>
      <w:pPr>
        <w:keepLines/>
        <w:numPr>
          <w:ilvl w:val="0"/>
          <w:numId w:val="10"/>
        </w:numPr>
        <w:spacing w:before="0" w:after="45" w:line="259" w:lineRule="auto"/>
      </w:pPr>
      <w:r>
        <w:rPr>
          <w:rFonts w:ascii="Arial" w:hAnsi="Arial" w:eastAsia="Arial"/>
          <w:b w:val="0"/>
          <w:i w:val="0"/>
          <w:color w:val="1F2430"/>
        </w:rPr>
        <w:t>Ein Widerruf beendet einwilligungsbasierte Zukunftseinladungen; ein anderer erforderlicher Vorgang wird nur auf eigenständiger Grundlage fortgeführt.</w:t>
      </w:r>
    </w:p>
    <w:p>
      <w:pPr>
        <w:keepLines/>
        <w:numPr>
          <w:ilvl w:val="0"/>
          <w:numId w:val="10"/>
        </w:numPr>
        <w:spacing w:before="0" w:after="45" w:line="259" w:lineRule="auto"/>
      </w:pPr>
      <w:r>
        <w:rPr>
          <w:rFonts w:ascii="Arial" w:hAnsi="Arial" w:eastAsia="Arial"/>
          <w:b w:val="0"/>
          <w:i w:val="0"/>
          <w:color w:val="1F2430"/>
        </w:rPr>
        <w:t>EHC-Mitgliedschaft allein wird nicht als #Mitmachen-Freigabe behandelt.</w:t>
      </w:r>
    </w:p>
    <w:p>
      <w:pPr>
        <w:keepLines/>
        <w:numPr>
          <w:ilvl w:val="0"/>
          <w:numId w:val="10"/>
        </w:numPr>
        <w:spacing w:before="0" w:after="30" w:line="259" w:lineRule="auto"/>
      </w:pPr>
      <w:r>
        <w:rPr>
          <w:rFonts w:ascii="Arial" w:hAnsi="Arial" w:eastAsia="Arial"/>
          <w:b w:val="0"/>
          <w:i w:val="0"/>
          <w:color w:val="1F2430"/>
        </w:rPr>
        <w:t>Die Suchansicht zeigt weniger Felder als die Fall-, Format- oder Zuständigkeitssicht.</w:t>
      </w:r>
    </w:p>
    <w:p>
      <w:pPr>
        <w:pStyle w:val="Heading1"/>
        <w:keepNext/>
      </w:pPr>
      <w:r>
        <w:rPr>
          <w:rFonts w:ascii="Arial" w:hAnsi="Arial" w:eastAsia="Arial"/>
          <w:b/>
          <w:i w:val="0"/>
          <w:color w:val="000E52"/>
          <w:sz w:val="22"/>
        </w:rPr>
        <w:t>C.2 Mindeststatus je Kontakt</w:t>
      </w:r>
    </w:p>
    <w:tbl>
      <w:tblPr>
        <w:tblW w:type="dxa" w:w="10204"/>
        <w:jc w:val="left"/>
        <w:tblLayout w:type="fixed"/>
        <w:tblLook w:firstColumn="1" w:firstRow="1" w:lastColumn="0" w:lastRow="0" w:noHBand="0" w:noVBand="1" w:val="04A0"/>
        <w:tblInd w:w="120" w:type="dxa"/>
      </w:tblPr>
      <w:tblGrid>
        <w:gridCol w:w="2500"/>
        <w:gridCol w:w="7704"/>
      </w:tblGrid>
      <w:tr>
        <w:trPr>
          <w:tblHeader w:val="true"/>
        </w:trPr>
        <w:tc>
          <w:tcPr>
            <w:tcW w:type="dxa" w:w="25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Statusfeld</w:t>
            </w:r>
          </w:p>
        </w:tc>
        <w:tc>
          <w:tcPr>
            <w:tcW w:type="dxa" w:w="77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Benötigte Aussage</w:t>
            </w:r>
          </w:p>
        </w:tc>
      </w:tr>
      <w:tr>
        <w:trPr>
          <w:cantSplit w:val="true"/>
        </w:trPr>
        <w:tc>
          <w:tcPr>
            <w:tcW w:type="dxa" w:w="25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Quelle</w:t>
            </w:r>
            <w:r>
              <w:rPr>
                <w:rFonts w:ascii="Arial" w:hAnsi="Arial" w:eastAsia="Arial"/>
                <w:b w:val="0"/>
                <w:i w:val="0"/>
                <w:color w:val="1F2430"/>
                <w:sz w:val="17"/>
              </w:rPr>
            </w:r>
          </w:p>
        </w:tc>
        <w:tc>
          <w:tcPr>
            <w:tcW w:type="dxa" w:w="77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TYPO3, EHC, öffentliche Berufsquelle, persönlicher Kontakt oder sonstige geprüfte Quelle.</w:t>
            </w:r>
          </w:p>
        </w:tc>
      </w:tr>
      <w:tr>
        <w:trPr>
          <w:cantSplit w:val="true"/>
        </w:trPr>
        <w:tc>
          <w:tcPr>
            <w:tcW w:type="dxa" w:w="25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Zweckdomäne</w:t>
            </w:r>
            <w:r>
              <w:rPr>
                <w:rFonts w:ascii="Arial" w:hAnsi="Arial" w:eastAsia="Arial"/>
                <w:b w:val="0"/>
                <w:i w:val="0"/>
                <w:color w:val="1F2430"/>
                <w:sz w:val="17"/>
              </w:rPr>
            </w:r>
          </w:p>
        </w:tc>
        <w:tc>
          <w:tcPr>
            <w:tcW w:type="dxa" w:w="77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Hospitationsangebot, EHC-Panel, #Mitmachen oder benanntes Beteiligungsformat.</w:t>
            </w:r>
          </w:p>
        </w:tc>
      </w:tr>
      <w:tr>
        <w:trPr>
          <w:cantSplit w:val="true"/>
        </w:trPr>
        <w:tc>
          <w:tcPr>
            <w:tcW w:type="dxa" w:w="25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Aufgaben- / Rechtsbezug</w:t>
            </w:r>
            <w:r>
              <w:rPr>
                <w:rFonts w:ascii="Arial" w:hAnsi="Arial" w:eastAsia="Arial"/>
                <w:b w:val="0"/>
                <w:i w:val="0"/>
                <w:color w:val="1F2430"/>
                <w:sz w:val="17"/>
              </w:rPr>
            </w:r>
          </w:p>
        </w:tc>
        <w:tc>
          <w:tcPr>
            <w:tcW w:type="dxa" w:w="77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Dokumentierte Grundlage der konkreten Verarbeitung; „Prüfung erforderlich“ bleibt als Sperrstatus möglich.</w:t>
            </w:r>
          </w:p>
        </w:tc>
      </w:tr>
      <w:tr>
        <w:trPr>
          <w:cantSplit w:val="true"/>
        </w:trPr>
        <w:tc>
          <w:tcPr>
            <w:tcW w:type="dxa" w:w="25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Kontaktstatus</w:t>
            </w:r>
            <w:r>
              <w:rPr>
                <w:rFonts w:ascii="Arial" w:hAnsi="Arial" w:eastAsia="Arial"/>
                <w:b w:val="0"/>
                <w:i w:val="0"/>
                <w:color w:val="1F2430"/>
                <w:sz w:val="17"/>
              </w:rPr>
            </w:r>
          </w:p>
        </w:tc>
        <w:tc>
          <w:tcPr>
            <w:tcW w:type="dxa" w:w="77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Nicht geprüft, operativer Kontakt zulässig, Opt-in ausstehend, bestätigt, widerrufen oder gesperrt.</w:t>
            </w:r>
          </w:p>
        </w:tc>
      </w:tr>
      <w:tr>
        <w:trPr>
          <w:cantSplit w:val="true"/>
        </w:trPr>
        <w:tc>
          <w:tcPr>
            <w:tcW w:type="dxa" w:w="25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Zugriff und Lebenszyklus</w:t>
            </w:r>
            <w:r>
              <w:rPr>
                <w:rFonts w:ascii="Arial" w:hAnsi="Arial" w:eastAsia="Arial"/>
                <w:b w:val="0"/>
                <w:i w:val="0"/>
                <w:color w:val="1F2430"/>
                <w:sz w:val="17"/>
              </w:rPr>
            </w:r>
          </w:p>
        </w:tc>
        <w:tc>
          <w:tcPr>
            <w:tcW w:type="dxa" w:w="77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Kontaktverantwortung, zuständiges Team, zulässige Sicht sowie Informations-, Prüf- und Löschtermin.</w:t>
            </w:r>
          </w:p>
        </w:tc>
      </w:tr>
    </w:tbl>
    <w:p>
      <w:pPr>
        <w:spacing w:before="0" w:after="0" w:line="144" w:lineRule="auto"/>
      </w:pPr>
    </w:p>
    <w:p>
      <w:pPr>
        <w:spacing w:before="0" w:after="0" w:line="240" w:lineRule="auto"/>
      </w:pPr>
      <w:r>
        <w:br w:type="page"/>
      </w:r>
    </w:p>
    <w:p>
      <w:pPr>
        <w:pStyle w:val="AnnexTitle"/>
        <w:keepNext/>
      </w:pPr>
      <w:r>
        <w:rPr>
          <w:rFonts w:ascii="Arial" w:hAnsi="Arial" w:eastAsia="Arial"/>
          <w:b/>
          <w:i w:val="0"/>
          <w:color w:val="000E52"/>
          <w:sz w:val="32"/>
        </w:rPr>
        <w:t>Anlage D - Nutzen aus Sicht des Datenschutzes</w:t>
      </w:r>
    </w:p>
    <w:p>
      <w:pPr>
        <w:pStyle w:val="AnnexLead"/>
        <w:keepNext/>
      </w:pPr>
      <w:r>
        <w:rPr>
          <w:rFonts w:ascii="Arial" w:hAnsi="Arial" w:eastAsia="Arial"/>
          <w:b w:val="0"/>
          <w:i w:val="0"/>
          <w:color w:val="60697F"/>
          <w:sz w:val="20"/>
        </w:rPr>
        <w:t>Die folgenden Vorteile sind ein Zielbild. Sie entstehen nur, wenn Zweck-, Rollen-, Nachweis- und Löschlogik verbindlich umgesetzt werden.</w:t>
      </w:r>
    </w:p>
    <w:tbl>
      <w:tblPr>
        <w:tblW w:type="dxa" w:w="10204"/>
        <w:jc w:val="left"/>
        <w:tblLayout w:type="fixed"/>
        <w:tblLook w:firstColumn="1" w:firstRow="1" w:lastColumn="0" w:lastRow="0" w:noHBand="0" w:noVBand="1" w:val="04A0"/>
        <w:tblInd w:w="150" w:type="dxa"/>
      </w:tblPr>
      <w:tblGrid>
        <w:gridCol w:w="10204"/>
      </w:tblGrid>
      <w:tr>
        <w:tc>
          <w:tcPr>
            <w:tcW w:type="dxa" w:w="10204"/>
            <w:shd w:fill="FFF8E5" w:val="clear"/>
            <w:tcBorders>
              <w:top w:val="single" w:sz="5" w:color="E8D58D" w:space="0"/>
              <w:left w:val="single" w:sz="5" w:color="E8D58D" w:space="0"/>
              <w:bottom w:val="single" w:sz="5" w:color="E8D58D" w:space="0"/>
              <w:right w:val="single" w:sz="5" w:color="E8D58D"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Ausgewogene Bewertung: </w:t>
            </w:r>
            <w:r>
              <w:rPr>
                <w:rFonts w:ascii="Arial" w:hAnsi="Arial" w:eastAsia="Arial"/>
                <w:b w:val="0"/>
                <w:i w:val="0"/>
                <w:color w:val="1F2430"/>
              </w:rPr>
              <w:t>Zentralisierung erhöht zunächst das Schadenspotenzial. Gegenüber verteilten Postfächern, Tabellen und Teamablagen kann ein begrenztes Register das reale Datenschutzrisiko aber senken, wenn Zugriff, Datenumfang und Lebenszyklus technisch gesteuert werden.</w:t>
            </w:r>
          </w:p>
        </w:tc>
      </w:tr>
    </w:tbl>
    <w:p>
      <w:pPr>
        <w:spacing w:before="0" w:after="0" w:line="120" w:lineRule="auto"/>
      </w:pPr>
    </w:p>
    <w:p>
      <w:pPr>
        <w:pStyle w:val="Heading1"/>
        <w:keepNext/>
      </w:pPr>
      <w:r>
        <w:rPr>
          <w:rFonts w:ascii="Arial" w:hAnsi="Arial" w:eastAsia="Arial"/>
          <w:b/>
          <w:i w:val="0"/>
          <w:color w:val="000E52"/>
          <w:sz w:val="22"/>
        </w:rPr>
        <w:t>D.1 Potenzielle Vorteile</w:t>
      </w:r>
    </w:p>
    <w:p>
      <w:pPr>
        <w:keepLines/>
        <w:numPr>
          <w:ilvl w:val="0"/>
          <w:numId w:val="10"/>
        </w:numPr>
        <w:spacing w:before="0" w:after="45" w:line="259" w:lineRule="auto"/>
      </w:pPr>
      <w:r>
        <w:rPr>
          <w:rFonts w:ascii="Arial" w:hAnsi="Arial" w:eastAsia="Arial"/>
          <w:b/>
          <w:i w:val="0"/>
          <w:color w:val="1F2430"/>
        </w:rPr>
        <w:t xml:space="preserve">Weniger Nebenlisten: </w:t>
      </w:r>
      <w:r>
        <w:rPr>
          <w:rFonts w:ascii="Arial" w:hAnsi="Arial" w:eastAsia="Arial"/>
          <w:b w:val="0"/>
          <w:i w:val="0"/>
          <w:color w:val="1F2430"/>
        </w:rPr>
        <w:t>Kontakte, Zuständigkeiten und Vorgänge müssen nicht mehrfach in persönlichen Dateien oder Postfächern geführt werden.</w:t>
      </w:r>
    </w:p>
    <w:p>
      <w:pPr>
        <w:keepLines/>
        <w:numPr>
          <w:ilvl w:val="0"/>
          <w:numId w:val="10"/>
        </w:numPr>
        <w:spacing w:before="0" w:after="45" w:line="259" w:lineRule="auto"/>
      </w:pPr>
      <w:r>
        <w:rPr>
          <w:rFonts w:ascii="Arial" w:hAnsi="Arial" w:eastAsia="Arial"/>
          <w:b/>
          <w:i w:val="0"/>
          <w:color w:val="1F2430"/>
        </w:rPr>
        <w:t xml:space="preserve">Nachweisbare Zweck- und Quellenzuordnung: </w:t>
      </w:r>
      <w:r>
        <w:rPr>
          <w:rFonts w:ascii="Arial" w:hAnsi="Arial" w:eastAsia="Arial"/>
          <w:b w:val="0"/>
          <w:i w:val="0"/>
          <w:color w:val="1F2430"/>
        </w:rPr>
        <w:t>Für jeden Datensatz wird sichtbar, warum und aus welcher Quelle er angelegt wurde.</w:t>
      </w:r>
    </w:p>
    <w:p>
      <w:pPr>
        <w:keepLines/>
        <w:numPr>
          <w:ilvl w:val="0"/>
          <w:numId w:val="10"/>
        </w:numPr>
        <w:spacing w:before="0" w:after="45" w:line="259" w:lineRule="auto"/>
      </w:pPr>
      <w:r>
        <w:rPr>
          <w:rFonts w:ascii="Arial" w:hAnsi="Arial" w:eastAsia="Arial"/>
          <w:b/>
          <w:i w:val="0"/>
          <w:color w:val="1F2430"/>
        </w:rPr>
        <w:t xml:space="preserve">Zentrale Kontaktbeschränkungen: </w:t>
      </w:r>
      <w:r>
        <w:rPr>
          <w:rFonts w:ascii="Arial" w:hAnsi="Arial" w:eastAsia="Arial"/>
          <w:b w:val="0"/>
          <w:i w:val="0"/>
          <w:color w:val="1F2430"/>
        </w:rPr>
        <w:t>Widerruf, Widerspruch, Sperre und Versandstatus können organisationsweit wirksam werden.</w:t>
      </w:r>
    </w:p>
    <w:p>
      <w:pPr>
        <w:keepLines/>
        <w:numPr>
          <w:ilvl w:val="0"/>
          <w:numId w:val="10"/>
        </w:numPr>
        <w:spacing w:before="0" w:after="45" w:line="259" w:lineRule="auto"/>
      </w:pPr>
      <w:r>
        <w:rPr>
          <w:rFonts w:ascii="Arial" w:hAnsi="Arial" w:eastAsia="Arial"/>
          <w:b/>
          <w:i w:val="0"/>
          <w:color w:val="1F2430"/>
        </w:rPr>
        <w:t xml:space="preserve">Bessere Betroffenenrechte: </w:t>
      </w:r>
      <w:r>
        <w:rPr>
          <w:rFonts w:ascii="Arial" w:hAnsi="Arial" w:eastAsia="Arial"/>
          <w:b w:val="0"/>
          <w:i w:val="0"/>
          <w:color w:val="1F2430"/>
        </w:rPr>
        <w:t>Auskunft, Berichtigung, Einschränkung und Löschung lassen sich an einem führenden Bestand bearbeiten.</w:t>
      </w:r>
    </w:p>
    <w:p>
      <w:pPr>
        <w:keepLines/>
        <w:numPr>
          <w:ilvl w:val="0"/>
          <w:numId w:val="10"/>
        </w:numPr>
        <w:spacing w:before="0" w:after="45" w:line="259" w:lineRule="auto"/>
      </w:pPr>
      <w:r>
        <w:rPr>
          <w:rFonts w:ascii="Arial" w:hAnsi="Arial" w:eastAsia="Arial"/>
          <w:b/>
          <w:i w:val="0"/>
          <w:color w:val="1F2430"/>
        </w:rPr>
        <w:t xml:space="preserve">Datenminimierung durch Produktregeln: </w:t>
      </w:r>
      <w:r>
        <w:rPr>
          <w:rFonts w:ascii="Arial" w:hAnsi="Arial" w:eastAsia="Arial"/>
          <w:b w:val="0"/>
          <w:i w:val="0"/>
          <w:color w:val="1F2430"/>
        </w:rPr>
        <w:t>Pflichtfelder, ausgeschlossene Kategorien und erlaubte Notiztypen werden zentral vorgegeben.</w:t>
      </w:r>
    </w:p>
    <w:p>
      <w:pPr>
        <w:keepLines/>
        <w:numPr>
          <w:ilvl w:val="0"/>
          <w:numId w:val="10"/>
        </w:numPr>
        <w:spacing w:before="0" w:after="45" w:line="259" w:lineRule="auto"/>
      </w:pPr>
      <w:r>
        <w:rPr>
          <w:rFonts w:ascii="Arial" w:hAnsi="Arial" w:eastAsia="Arial"/>
          <w:b/>
          <w:i w:val="0"/>
          <w:color w:val="1F2430"/>
        </w:rPr>
        <w:t xml:space="preserve">Prüfbare Aufbewahrung: </w:t>
      </w:r>
      <w:r>
        <w:rPr>
          <w:rFonts w:ascii="Arial" w:hAnsi="Arial" w:eastAsia="Arial"/>
          <w:b w:val="0"/>
          <w:i w:val="0"/>
          <w:color w:val="1F2430"/>
        </w:rPr>
        <w:t>Aktualitätsprüfungen, Wiedervorlagen, Inaktivitätsfristen und Löschungen können ausgeführt und nachgewiesen werden.</w:t>
      </w:r>
    </w:p>
    <w:p>
      <w:pPr>
        <w:keepLines/>
        <w:numPr>
          <w:ilvl w:val="0"/>
          <w:numId w:val="10"/>
        </w:numPr>
        <w:spacing w:before="0" w:after="45" w:line="259" w:lineRule="auto"/>
      </w:pPr>
      <w:r>
        <w:rPr>
          <w:rFonts w:ascii="Arial" w:hAnsi="Arial" w:eastAsia="Arial"/>
          <w:b/>
          <w:i w:val="0"/>
          <w:color w:val="1F2430"/>
        </w:rPr>
        <w:t xml:space="preserve">Berechtigungen statt informeller Weitergabe: </w:t>
      </w:r>
      <w:r>
        <w:rPr>
          <w:rFonts w:ascii="Arial" w:hAnsi="Arial" w:eastAsia="Arial"/>
          <w:b w:val="0"/>
          <w:i w:val="0"/>
          <w:color w:val="1F2430"/>
        </w:rPr>
        <w:t>Such-, Fall-, Versand-, Qualitäts- und Administrationssichten können technisch getrennt werden.</w:t>
      </w:r>
    </w:p>
    <w:p>
      <w:pPr>
        <w:keepLines/>
        <w:numPr>
          <w:ilvl w:val="0"/>
          <w:numId w:val="10"/>
        </w:numPr>
        <w:spacing w:before="0" w:after="30" w:line="259" w:lineRule="auto"/>
      </w:pPr>
      <w:r>
        <w:rPr>
          <w:rFonts w:ascii="Arial" w:hAnsi="Arial" w:eastAsia="Arial"/>
          <w:b/>
          <w:i w:val="0"/>
          <w:color w:val="1F2430"/>
        </w:rPr>
        <w:t xml:space="preserve">Rechenschaft und Missbrauchskontrolle: </w:t>
      </w:r>
      <w:r>
        <w:rPr>
          <w:rFonts w:ascii="Arial" w:hAnsi="Arial" w:eastAsia="Arial"/>
          <w:b w:val="0"/>
          <w:i w:val="0"/>
          <w:color w:val="1F2430"/>
        </w:rPr>
        <w:t>Exporte, privilegierte Zugriffe und kritische Statusänderungen können protokolliert und regelmäßig überprüft werden.</w:t>
      </w:r>
    </w:p>
    <w:p>
      <w:pPr>
        <w:pStyle w:val="Heading1"/>
        <w:keepNext/>
      </w:pPr>
      <w:r>
        <w:rPr>
          <w:rFonts w:ascii="Arial" w:hAnsi="Arial" w:eastAsia="Arial"/>
          <w:b/>
          <w:i w:val="0"/>
          <w:color w:val="000E52"/>
          <w:sz w:val="22"/>
        </w:rPr>
        <w:t>D.2 Voraussetzungen für diesen Mehrwert</w:t>
      </w:r>
    </w:p>
    <w:p>
      <w:pPr>
        <w:keepLines/>
        <w:numPr>
          <w:ilvl w:val="0"/>
          <w:numId w:val="10"/>
        </w:numPr>
        <w:spacing w:before="0" w:after="45" w:line="259" w:lineRule="auto"/>
      </w:pPr>
      <w:r>
        <w:rPr>
          <w:rFonts w:ascii="Arial" w:hAnsi="Arial" w:eastAsia="Arial"/>
          <w:b w:val="0"/>
          <w:i w:val="0"/>
          <w:color w:val="1F2430"/>
        </w:rPr>
        <w:t>führender Arbeitsbestand mit klarer Abschaltung oder Bereinigung paralleler Nebenlisten;</w:t>
      </w:r>
    </w:p>
    <w:p>
      <w:pPr>
        <w:keepLines/>
        <w:numPr>
          <w:ilvl w:val="0"/>
          <w:numId w:val="10"/>
        </w:numPr>
        <w:spacing w:before="0" w:after="45" w:line="259" w:lineRule="auto"/>
      </w:pPr>
      <w:r>
        <w:rPr>
          <w:rFonts w:ascii="Arial" w:hAnsi="Arial" w:eastAsia="Arial"/>
          <w:b w:val="0"/>
          <w:i w:val="0"/>
          <w:color w:val="1F2430"/>
        </w:rPr>
        <w:t>verbindliches Zweck-, Quellen-, Rollen- und Feldmodell;</w:t>
      </w:r>
    </w:p>
    <w:p>
      <w:pPr>
        <w:keepLines/>
        <w:numPr>
          <w:ilvl w:val="0"/>
          <w:numId w:val="10"/>
        </w:numPr>
        <w:spacing w:before="0" w:after="45" w:line="259" w:lineRule="auto"/>
      </w:pPr>
      <w:r>
        <w:rPr>
          <w:rFonts w:ascii="Arial" w:hAnsi="Arial" w:eastAsia="Arial"/>
          <w:b w:val="0"/>
          <w:i w:val="0"/>
          <w:color w:val="1F2430"/>
        </w:rPr>
        <w:t>serverseitige Zugriffsbeschränkung, Exportkontrolle und Protokollierung;</w:t>
      </w:r>
    </w:p>
    <w:p>
      <w:pPr>
        <w:keepLines/>
        <w:numPr>
          <w:ilvl w:val="0"/>
          <w:numId w:val="10"/>
        </w:numPr>
        <w:spacing w:before="0" w:after="45" w:line="259" w:lineRule="auto"/>
      </w:pPr>
      <w:r>
        <w:rPr>
          <w:rFonts w:ascii="Arial" w:hAnsi="Arial" w:eastAsia="Arial"/>
          <w:b w:val="0"/>
          <w:i w:val="0"/>
          <w:color w:val="1F2430"/>
        </w:rPr>
        <w:t>funktionsfähiger Rechte-, Sperr-, Berichtigungs- und Löschprozess;</w:t>
      </w:r>
    </w:p>
    <w:p>
      <w:pPr>
        <w:keepLines/>
        <w:numPr>
          <w:ilvl w:val="0"/>
          <w:numId w:val="10"/>
        </w:numPr>
        <w:spacing w:before="0" w:after="45" w:line="259" w:lineRule="auto"/>
      </w:pPr>
      <w:r>
        <w:rPr>
          <w:rFonts w:ascii="Arial" w:hAnsi="Arial" w:eastAsia="Arial"/>
          <w:b w:val="0"/>
          <w:i w:val="0"/>
          <w:color w:val="1F2430"/>
        </w:rPr>
        <w:t>regelmäßige Datenqualitäts- und Berechtigungsprüfung;</w:t>
      </w:r>
    </w:p>
    <w:p>
      <w:pPr>
        <w:keepLines/>
        <w:numPr>
          <w:ilvl w:val="0"/>
          <w:numId w:val="10"/>
        </w:numPr>
        <w:spacing w:before="0" w:after="30" w:line="259" w:lineRule="auto"/>
      </w:pPr>
      <w:r>
        <w:rPr>
          <w:rFonts w:ascii="Arial" w:hAnsi="Arial" w:eastAsia="Arial"/>
          <w:b w:val="0"/>
          <w:i w:val="0"/>
          <w:color w:val="1F2430"/>
        </w:rPr>
        <w:t>Änderungsprüfung vor neuen Datenfeldern, Quellen, Importen oder Automatisierungen.</w:t>
      </w:r>
    </w:p>
    <w:p>
      <w:pPr>
        <w:pStyle w:val="Heading1"/>
        <w:keepNext/>
      </w:pPr>
      <w:r>
        <w:rPr>
          <w:rFonts w:ascii="Arial" w:hAnsi="Arial" w:eastAsia="Arial"/>
          <w:b/>
          <w:i w:val="0"/>
          <w:color w:val="000E52"/>
          <w:sz w:val="22"/>
        </w:rPr>
        <w:t>D.3 Im Pilot nachzuweisender Datenschutzgewinn</w:t>
      </w:r>
    </w:p>
    <w:tbl>
      <w:tblPr>
        <w:tblW w:type="dxa" w:w="10204"/>
        <w:jc w:val="left"/>
        <w:tblLayout w:type="fixed"/>
        <w:tblLook w:firstColumn="1" w:firstRow="1" w:lastColumn="0" w:lastRow="0" w:noHBand="0" w:noVBand="1" w:val="04A0"/>
        <w:tblInd w:w="120" w:type="dxa"/>
      </w:tblPr>
      <w:tblGrid>
        <w:gridCol w:w="3100"/>
        <w:gridCol w:w="7104"/>
      </w:tblGrid>
      <w:tr>
        <w:trPr>
          <w:tblHeader w:val="true"/>
        </w:trPr>
        <w:tc>
          <w:tcPr>
            <w:tcW w:type="dxa" w:w="31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Prüfpunkt</w:t>
            </w:r>
          </w:p>
        </w:tc>
        <w:tc>
          <w:tcPr>
            <w:tcW w:type="dxa" w:w="71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Nachweis in der Vier-Wochen-Auswertung</w:t>
            </w:r>
          </w:p>
        </w:tc>
      </w:tr>
      <w:tr>
        <w:trPr>
          <w:cantSplit w:val="true"/>
        </w:trPr>
        <w:tc>
          <w:tcPr>
            <w:tcW w:type="dxa" w:w="31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Nebenlisten</w:t>
            </w:r>
            <w:r>
              <w:rPr>
                <w:rFonts w:ascii="Arial" w:hAnsi="Arial" w:eastAsia="Arial"/>
                <w:b w:val="0"/>
                <w:i w:val="0"/>
                <w:color w:val="1F2430"/>
                <w:sz w:val="17"/>
              </w:rPr>
            </w:r>
          </w:p>
        </w:tc>
        <w:tc>
          <w:tcPr>
            <w:tcW w:type="dxa" w:w="71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Benannte Pilotvorgänge werden im Versorgungskompass geführt; zusätzliche lokale Arbeitslisten werden erfasst und bereinigt.</w:t>
            </w:r>
          </w:p>
        </w:tc>
      </w:tr>
      <w:tr>
        <w:trPr>
          <w:cantSplit w:val="true"/>
        </w:trPr>
        <w:tc>
          <w:tcPr>
            <w:tcW w:type="dxa" w:w="31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Quelle und Zweck</w:t>
            </w:r>
            <w:r>
              <w:rPr>
                <w:rFonts w:ascii="Arial" w:hAnsi="Arial" w:eastAsia="Arial"/>
                <w:b w:val="0"/>
                <w:i w:val="0"/>
                <w:color w:val="1F2430"/>
                <w:sz w:val="17"/>
              </w:rPr>
            </w:r>
          </w:p>
        </w:tc>
        <w:tc>
          <w:tcPr>
            <w:tcW w:type="dxa" w:w="71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Jeder Personenkontakt besitzt eine nachvollziehbare Quelle, einen fachlichen Anlass und eine zuständige Stelle.</w:t>
            </w:r>
          </w:p>
        </w:tc>
      </w:tr>
      <w:tr>
        <w:trPr>
          <w:cantSplit w:val="true"/>
        </w:trPr>
        <w:tc>
          <w:tcPr>
            <w:tcW w:type="dxa" w:w="31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Kontaktbeschränkung</w:t>
            </w:r>
            <w:r>
              <w:rPr>
                <w:rFonts w:ascii="Arial" w:hAnsi="Arial" w:eastAsia="Arial"/>
                <w:b w:val="0"/>
                <w:i w:val="0"/>
                <w:color w:val="1F2430"/>
                <w:sz w:val="17"/>
              </w:rPr>
            </w:r>
          </w:p>
        </w:tc>
        <w:tc>
          <w:tcPr>
            <w:tcW w:type="dxa" w:w="71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Widerruf, Widerspruch und Sperre verhindern nachweisbar weitere unzulässige Einladungen.</w:t>
            </w:r>
          </w:p>
        </w:tc>
      </w:tr>
      <w:tr>
        <w:trPr>
          <w:cantSplit w:val="true"/>
        </w:trPr>
        <w:tc>
          <w:tcPr>
            <w:tcW w:type="dxa" w:w="31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Berechtigung</w:t>
            </w:r>
            <w:r>
              <w:rPr>
                <w:rFonts w:ascii="Arial" w:hAnsi="Arial" w:eastAsia="Arial"/>
                <w:b w:val="0"/>
                <w:i w:val="0"/>
                <w:color w:val="1F2430"/>
                <w:sz w:val="17"/>
              </w:rPr>
            </w:r>
          </w:p>
        </w:tc>
        <w:tc>
          <w:tcPr>
            <w:tcW w:type="dxa" w:w="71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Positiv- und Negativtests belegen die Trennung von Such-, Fall-, Versand- und Administrationssicht.</w:t>
            </w:r>
          </w:p>
        </w:tc>
      </w:tr>
      <w:tr>
        <w:trPr>
          <w:cantSplit w:val="true"/>
        </w:trPr>
        <w:tc>
          <w:tcPr>
            <w:tcW w:type="dxa" w:w="31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Lebenszyklus</w:t>
            </w:r>
            <w:r>
              <w:rPr>
                <w:rFonts w:ascii="Arial" w:hAnsi="Arial" w:eastAsia="Arial"/>
                <w:b w:val="0"/>
                <w:i w:val="0"/>
                <w:color w:val="1F2430"/>
                <w:sz w:val="17"/>
              </w:rPr>
            </w:r>
          </w:p>
        </w:tc>
        <w:tc>
          <w:tcPr>
            <w:tcW w:type="dxa" w:w="71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Informations-, Prüf- und Löschfälligkeiten werden erzeugt und mindestens einmal praktisch ausgeführt.</w:t>
            </w:r>
          </w:p>
        </w:tc>
      </w:tr>
      <w:tr>
        <w:trPr>
          <w:cantSplit w:val="true"/>
        </w:trPr>
        <w:tc>
          <w:tcPr>
            <w:tcW w:type="dxa" w:w="31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7"/>
              </w:rPr>
              <w:t>Notizqualität</w:t>
            </w:r>
            <w:r>
              <w:rPr>
                <w:rFonts w:ascii="Arial" w:hAnsi="Arial" w:eastAsia="Arial"/>
                <w:b w:val="0"/>
                <w:i w:val="0"/>
                <w:color w:val="1F2430"/>
                <w:sz w:val="17"/>
              </w:rPr>
            </w:r>
          </w:p>
        </w:tc>
        <w:tc>
          <w:tcPr>
            <w:tcW w:type="dxa" w:w="71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Eine Stichprobe enthält nur sachliche, erforderliche und einem Vorgang zugeordnete Arbeitsnotizen.</w:t>
            </w:r>
          </w:p>
        </w:tc>
      </w:tr>
    </w:tbl>
    <w:p>
      <w:pPr>
        <w:spacing w:before="0" w:after="0" w:line="144" w:lineRule="auto"/>
      </w:pPr>
    </w:p>
    <w:p>
      <w:pPr>
        <w:spacing w:before="0" w:after="0" w:line="240" w:lineRule="auto"/>
      </w:pPr>
      <w:r>
        <w:br w:type="page"/>
      </w:r>
    </w:p>
    <w:p>
      <w:pPr>
        <w:pStyle w:val="AnnexTitle"/>
        <w:keepNext/>
      </w:pPr>
      <w:r>
        <w:rPr>
          <w:rFonts w:ascii="Arial" w:hAnsi="Arial" w:eastAsia="Arial"/>
          <w:b/>
          <w:i w:val="0"/>
          <w:color w:val="000E52"/>
          <w:sz w:val="32"/>
        </w:rPr>
        <w:t>Anlage E - Transparenz, Website und Kommunikation</w:t>
      </w:r>
    </w:p>
    <w:p>
      <w:pPr>
        <w:pStyle w:val="AnnexLead"/>
        <w:keepNext/>
      </w:pPr>
      <w:r>
        <w:rPr>
          <w:rFonts w:ascii="Arial" w:hAnsi="Arial" w:eastAsia="Arial"/>
          <w:b w:val="0"/>
          <w:i w:val="0"/>
          <w:color w:val="60697F"/>
          <w:sz w:val="20"/>
        </w:rPr>
        <w:t>Arbeitsformulierungen für die Abstimmung; Veröffentlichung erst nach fachlicher, rechtlicher und technischer Prüfung.</w:t>
      </w:r>
    </w:p>
    <w:p>
      <w:pPr>
        <w:pStyle w:val="Heading1"/>
        <w:keepNext/>
      </w:pPr>
      <w:r>
        <w:rPr>
          <w:rFonts w:ascii="Arial" w:hAnsi="Arial" w:eastAsia="Arial"/>
          <w:b/>
          <w:i w:val="0"/>
          <w:color w:val="000E52"/>
          <w:sz w:val="22"/>
        </w:rPr>
        <w:t>E.1 Aktueller Korrekturpunkt</w:t>
      </w:r>
    </w:p>
    <w:p>
      <w:pPr>
        <w:spacing w:line="259" w:lineRule="auto"/>
      </w:pPr>
      <w:r>
        <w:rPr>
          <w:rFonts w:ascii="Arial" w:hAnsi="Arial" w:eastAsia="Arial"/>
          <w:b w:val="0"/>
          <w:i w:val="0"/>
          <w:color w:val="1F2430"/>
        </w:rPr>
        <w:t>Öffentlicher Prüfstand 30.07.2026: Das Versorgungs-Netzwerk-Formular kennzeichnet den „Datenschutzhinweis*“ als Pflichtfeld, während die Datenschutzerklärung die zusätzliche #Mitmachen-Einwilligung als freiwillig und nicht formularnotwendig beschreibt. Der technische Live-Zustand ist vor Umsetzung erneut zu prüfen.</w:t>
      </w:r>
    </w:p>
    <w:p>
      <w:pPr>
        <w:keepLines/>
        <w:numPr>
          <w:ilvl w:val="0"/>
          <w:numId w:val="10"/>
        </w:numPr>
        <w:spacing w:before="0" w:after="45" w:line="259" w:lineRule="auto"/>
      </w:pPr>
      <w:r>
        <w:rPr>
          <w:rFonts w:ascii="Arial" w:hAnsi="Arial" w:eastAsia="Arial"/>
          <w:b w:val="0"/>
          <w:i w:val="0"/>
          <w:color w:val="1F2430"/>
        </w:rPr>
        <w:t>Pflichtstern, Pflichtvalidierung und Kopplung der zusätzlichen #Mitmachen-Einwilligung entfernen.</w:t>
      </w:r>
    </w:p>
    <w:p>
      <w:pPr>
        <w:keepLines/>
        <w:numPr>
          <w:ilvl w:val="0"/>
          <w:numId w:val="10"/>
        </w:numPr>
        <w:spacing w:before="0" w:after="45" w:line="259" w:lineRule="auto"/>
      </w:pPr>
      <w:r>
        <w:rPr>
          <w:rFonts w:ascii="Arial" w:hAnsi="Arial" w:eastAsia="Arial"/>
          <w:b w:val="0"/>
          <w:i w:val="0"/>
          <w:color w:val="1F2430"/>
        </w:rPr>
        <w:t>Reinen Datenschutzhinweis für die notwendige Bearbeitung ohne Einwilligungscheckbox anzeigen.</w:t>
      </w:r>
    </w:p>
    <w:p>
      <w:pPr>
        <w:keepLines/>
        <w:numPr>
          <w:ilvl w:val="0"/>
          <w:numId w:val="10"/>
        </w:numPr>
        <w:spacing w:before="0" w:after="45" w:line="259" w:lineRule="auto"/>
      </w:pPr>
      <w:r>
        <w:rPr>
          <w:rFonts w:ascii="Arial" w:hAnsi="Arial" w:eastAsia="Arial"/>
          <w:b w:val="0"/>
          <w:i w:val="0"/>
          <w:color w:val="1F2430"/>
        </w:rPr>
        <w:t>Optionale, nicht vorangekreuzte Checkbox für zusätzliche zukünftige #Mitmachen-E-Mails getrennt anbieten.</w:t>
      </w:r>
    </w:p>
    <w:p>
      <w:pPr>
        <w:keepLines/>
        <w:numPr>
          <w:ilvl w:val="0"/>
          <w:numId w:val="10"/>
        </w:numPr>
        <w:spacing w:before="0" w:after="30" w:line="259" w:lineRule="auto"/>
      </w:pPr>
      <w:r>
        <w:rPr>
          <w:rFonts w:ascii="Arial" w:hAnsi="Arial" w:eastAsia="Arial"/>
          <w:b w:val="0"/>
          <w:i w:val="0"/>
          <w:color w:val="1F2430"/>
        </w:rPr>
        <w:t>Double-Opt-in nur für diesen freiwilligen Zukunftsverteiler einsetzen; das ursprüngliche Anliegen unabhängig bearbeiten.</w:t>
      </w:r>
    </w:p>
    <w:p>
      <w:pPr>
        <w:pStyle w:val="Heading1"/>
        <w:keepNext/>
      </w:pPr>
      <w:r>
        <w:rPr>
          <w:rFonts w:ascii="Arial" w:hAnsi="Arial" w:eastAsia="Arial"/>
          <w:b/>
          <w:i w:val="0"/>
          <w:color w:val="000E52"/>
          <w:sz w:val="22"/>
        </w:rPr>
        <w:t>E.2 Arbeitsvorschlag: Hinweis am Formular</w:t>
      </w: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Hinweis ohne Checkbox: </w:t>
            </w:r>
            <w:r>
              <w:rPr>
                <w:rFonts w:ascii="Arial" w:hAnsi="Arial" w:eastAsia="Arial"/>
                <w:b w:val="0"/>
                <w:i w:val="0"/>
                <w:color w:val="1F2430"/>
              </w:rPr>
              <w:t>Mit dem Absenden verarbeiten wir Ihre Angaben, um Ihr Angebot als möglichen Hospitationsort zu prüfen, hierzu Kontakt aufzunehmen und die weitere Zusammenarbeit im Versorgungsnetzwerk zu organisieren. Einzelheiten, auch zum Versorgungskompass und zu Ihren Rechten, finden Sie in unseren Datenschutzhinweisen.</w:t>
            </w:r>
          </w:p>
        </w:tc>
      </w:tr>
    </w:tbl>
    <w:p>
      <w:pPr>
        <w:spacing w:before="0" w:after="0" w:line="120" w:lineRule="auto"/>
      </w:pPr>
    </w:p>
    <w:tbl>
      <w:tblPr>
        <w:tblW w:type="dxa" w:w="10204"/>
        <w:jc w:val="left"/>
        <w:tblLayout w:type="fixed"/>
        <w:tblLook w:firstColumn="1" w:firstRow="1" w:lastColumn="0" w:lastRow="0" w:noHBand="0" w:noVBand="1" w:val="04A0"/>
        <w:tblInd w:w="150" w:type="dxa"/>
      </w:tblPr>
      <w:tblGrid>
        <w:gridCol w:w="10204"/>
      </w:tblGrid>
      <w:tr>
        <w:tc>
          <w:tcPr>
            <w:tcW w:type="dxa" w:w="10204"/>
            <w:shd w:fill="EEF3FA"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Optionale Checkbox: </w:t>
            </w:r>
            <w:r>
              <w:rPr>
                <w:rFonts w:ascii="Arial" w:hAnsi="Arial" w:eastAsia="Arial"/>
                <w:b w:val="0"/>
                <w:i w:val="0"/>
                <w:color w:val="1F2430"/>
              </w:rPr>
              <w:t>Ich möchte zusätzlich per E-Mail über fachlich passende #Mitmachen-Möglichkeiten der gematik - insbesondere Hospitationen, Austausch- und Kommentierungsformate sowie Veranstaltungen - informiert und eingeladen werden. Ich kann diese Einwilligung jederzeit mit Wirkung für die Zukunft widerrufen.</w:t>
            </w:r>
          </w:p>
        </w:tc>
      </w:tr>
    </w:tbl>
    <w:p>
      <w:pPr>
        <w:spacing w:before="0" w:after="0" w:line="120" w:lineRule="auto"/>
      </w:pPr>
    </w:p>
    <w:p>
      <w:pPr>
        <w:pStyle w:val="Heading1"/>
        <w:keepNext/>
      </w:pPr>
      <w:r>
        <w:rPr>
          <w:rFonts w:ascii="Arial" w:hAnsi="Arial" w:eastAsia="Arial"/>
          <w:b/>
          <w:i w:val="0"/>
          <w:color w:val="000E52"/>
          <w:sz w:val="22"/>
        </w:rPr>
        <w:t>E.3 Nachweis- und Statusmodell</w:t>
      </w:r>
    </w:p>
    <w:p>
      <w:pPr>
        <w:keepLines/>
        <w:numPr>
          <w:ilvl w:val="0"/>
          <w:numId w:val="10"/>
        </w:numPr>
        <w:spacing w:before="0" w:after="45" w:line="259" w:lineRule="auto"/>
      </w:pPr>
      <w:r>
        <w:rPr>
          <w:rFonts w:ascii="Arial" w:hAnsi="Arial" w:eastAsia="Arial"/>
          <w:b w:val="0"/>
          <w:i w:val="0"/>
          <w:color w:val="1F2430"/>
        </w:rPr>
        <w:t>Formular, Quelle, Einwilligungstext beziehungsweise Textversion und Zeitpunkt speichern.</w:t>
      </w:r>
    </w:p>
    <w:p>
      <w:pPr>
        <w:keepLines/>
        <w:numPr>
          <w:ilvl w:val="0"/>
          <w:numId w:val="10"/>
        </w:numPr>
        <w:spacing w:before="0" w:after="45" w:line="259" w:lineRule="auto"/>
      </w:pPr>
      <w:r>
        <w:rPr>
          <w:rFonts w:ascii="Arial" w:hAnsi="Arial" w:eastAsia="Arial"/>
          <w:b w:val="0"/>
          <w:i w:val="0"/>
          <w:color w:val="1F2430"/>
        </w:rPr>
        <w:t>Status zunächst „Opt-in ausstehend“; Aktivierung erst nach Bestätigungslink.</w:t>
      </w:r>
    </w:p>
    <w:p>
      <w:pPr>
        <w:keepLines/>
        <w:numPr>
          <w:ilvl w:val="0"/>
          <w:numId w:val="10"/>
        </w:numPr>
        <w:spacing w:before="0" w:after="45" w:line="259" w:lineRule="auto"/>
      </w:pPr>
      <w:r>
        <w:rPr>
          <w:rFonts w:ascii="Arial" w:hAnsi="Arial" w:eastAsia="Arial"/>
          <w:b w:val="0"/>
          <w:i w:val="0"/>
          <w:color w:val="1F2430"/>
        </w:rPr>
        <w:t>Bestätigungszeitpunkt, Widerruf, Widerspruch und Sperrgrund revisionsfest dokumentieren.</w:t>
      </w:r>
    </w:p>
    <w:p>
      <w:pPr>
        <w:keepLines/>
        <w:numPr>
          <w:ilvl w:val="0"/>
          <w:numId w:val="10"/>
        </w:numPr>
        <w:spacing w:before="0" w:after="45" w:line="259" w:lineRule="auto"/>
      </w:pPr>
      <w:r>
        <w:rPr>
          <w:rFonts w:ascii="Arial" w:hAnsi="Arial" w:eastAsia="Arial"/>
          <w:b w:val="0"/>
          <w:i w:val="0"/>
          <w:color w:val="1F2430"/>
        </w:rPr>
        <w:t>Jeder Versand prüft den aktuellen Zweck- und Kanalstatus.</w:t>
      </w:r>
    </w:p>
    <w:p>
      <w:pPr>
        <w:keepLines/>
        <w:numPr>
          <w:ilvl w:val="0"/>
          <w:numId w:val="10"/>
        </w:numPr>
        <w:spacing w:before="0" w:after="30" w:line="259" w:lineRule="auto"/>
      </w:pPr>
      <w:r>
        <w:rPr>
          <w:rFonts w:ascii="Arial" w:hAnsi="Arial" w:eastAsia="Arial"/>
          <w:b w:val="0"/>
          <w:i w:val="0"/>
          <w:color w:val="1F2430"/>
        </w:rPr>
        <w:t>Interne Notizen und vollständige Vorgangshistorien werden nicht in Versandlisten übernommen.</w:t>
      </w:r>
    </w:p>
    <w:p>
      <w:pPr>
        <w:pStyle w:val="Heading1"/>
        <w:keepNext/>
      </w:pPr>
      <w:r>
        <w:rPr>
          <w:rFonts w:ascii="Arial" w:hAnsi="Arial" w:eastAsia="Arial"/>
          <w:b/>
          <w:i w:val="0"/>
          <w:color w:val="000E52"/>
          <w:sz w:val="22"/>
        </w:rPr>
        <w:t>E.4 Ergänzung der Datenschutzerklärung</w:t>
      </w:r>
    </w:p>
    <w:p>
      <w:pPr>
        <w:spacing w:line="259" w:lineRule="auto"/>
      </w:pPr>
      <w:r>
        <w:rPr>
          <w:rFonts w:ascii="Arial" w:hAnsi="Arial" w:eastAsia="Arial"/>
          <w:b w:val="0"/>
          <w:i w:val="0"/>
          <w:color w:val="1F2430"/>
        </w:rPr>
        <w:t>Zu beschreiben sind mindestens: Versorgungskompass als internes Arbeitsinstrument, Zwecke, Datenkategorien, Quellen einschließlich öffentlicher Berufsquellen, sachliche Interaktionsdaten, Rollen/Empfänger, Rechtsgrundlagen, Art.-13/14-Prozess, Speicherkriterien, Rechte, Widerspruch, Widerruf, Auftragsverarbeiter und die Trennung von operativer Verarbeitung und Zukunftseinladungen.</w:t>
      </w:r>
    </w:p>
    <w:p>
      <w:pPr>
        <w:pStyle w:val="Heading1"/>
        <w:keepNext/>
      </w:pPr>
      <w:r>
        <w:rPr>
          <w:rFonts w:ascii="Arial" w:hAnsi="Arial" w:eastAsia="Arial"/>
          <w:b/>
          <w:i w:val="0"/>
          <w:color w:val="000E52"/>
          <w:sz w:val="22"/>
        </w:rPr>
        <w:t>E.5 Arbeitsvorschlag: Erstinformation bei indirekter Erhebung</w:t>
      </w: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Art.-14-Kurzhinweis: </w:t>
            </w:r>
            <w:r>
              <w:rPr>
                <w:rFonts w:ascii="Arial" w:hAnsi="Arial" w:eastAsia="Arial"/>
                <w:b w:val="0"/>
                <w:i w:val="0"/>
                <w:color w:val="1F2430"/>
              </w:rPr>
              <w:t>Wir haben Ihre beruflichen Kontaktdaten aus [konkrete Quelle] übernommen, weil Ihre Funktion beziehungsweise Einrichtung für [konkretes TI- oder Beteiligungsthema] fachlich relevant ist. Informationen zu Zwecken, Rechtsgrundlage, Quelle, Speicherdauer und Ihren Rechten finden Sie in unseren Datenschutzhinweisen. Wenn Sie nicht auf dieser Grundlage kontaktiert werden möchten, teilen Sie uns dies bitte mit.</w:t>
            </w:r>
          </w:p>
        </w:tc>
      </w:tr>
    </w:tbl>
    <w:p>
      <w:pPr>
        <w:spacing w:before="0" w:after="0" w:line="120" w:lineRule="auto"/>
      </w:pPr>
    </w:p>
    <w:p>
      <w:pPr>
        <w:spacing w:line="259" w:lineRule="auto"/>
      </w:pPr>
      <w:r>
        <w:rPr>
          <w:rFonts w:ascii="Arial" w:hAnsi="Arial" w:eastAsia="Arial"/>
          <w:b w:val="0"/>
          <w:i/>
          <w:color w:val="60697F"/>
        </w:rPr>
        <w:t>Die Platzhalter werden je Kontakt ersetzt. Quelle, Abrufdatum, Versandzeitpunkt und ein Widerspruch werden im Datensatz dokumentiert. Der Baustein ist vor Nutzung durch Datenschutz und Recht zu bestätigen.</w:t>
      </w:r>
    </w:p>
    <w:p>
      <w:pPr>
        <w:spacing w:before="0" w:after="0" w:line="240" w:lineRule="auto"/>
      </w:pPr>
      <w:r>
        <w:br w:type="page"/>
      </w:r>
    </w:p>
    <w:p>
      <w:pPr>
        <w:pStyle w:val="AnnexTitle"/>
        <w:keepNext/>
      </w:pPr>
      <w:r>
        <w:rPr>
          <w:rFonts w:ascii="Arial" w:hAnsi="Arial" w:eastAsia="Arial"/>
          <w:b/>
          <w:i w:val="0"/>
          <w:color w:val="000E52"/>
          <w:sz w:val="32"/>
        </w:rPr>
        <w:t>Anlage E - Rollen, Pilot und Abnahme</w:t>
      </w:r>
    </w:p>
    <w:p>
      <w:pPr>
        <w:pStyle w:val="AnnexLead"/>
        <w:keepNext/>
      </w:pPr>
      <w:r>
        <w:rPr>
          <w:rFonts w:ascii="Arial" w:hAnsi="Arial" w:eastAsia="Arial"/>
          <w:b w:val="0"/>
          <w:i w:val="0"/>
          <w:color w:val="60697F"/>
          <w:sz w:val="20"/>
        </w:rPr>
        <w:t>Die Einwilligung der Kontaktperson ist keine organisationsweite interne Zugriffsfreigabe.</w:t>
      </w:r>
    </w:p>
    <w:p>
      <w:pPr>
        <w:pStyle w:val="Heading1"/>
        <w:keepNext/>
      </w:pPr>
      <w:r>
        <w:rPr>
          <w:rFonts w:ascii="Arial" w:hAnsi="Arial" w:eastAsia="Arial"/>
          <w:b/>
          <w:i w:val="0"/>
          <w:color w:val="000E52"/>
          <w:sz w:val="22"/>
        </w:rPr>
        <w:t>E.6 Abgestuftes Sichtmodell</w:t>
      </w:r>
    </w:p>
    <w:tbl>
      <w:tblPr>
        <w:tblW w:type="dxa" w:w="10204"/>
        <w:jc w:val="left"/>
        <w:tblLayout w:type="fixed"/>
        <w:tblLook w:firstColumn="1" w:firstRow="1" w:lastColumn="0" w:lastRow="0" w:noHBand="0" w:noVBand="1" w:val="04A0"/>
        <w:tblInd w:w="120" w:type="dxa"/>
      </w:tblPr>
      <w:tblGrid>
        <w:gridCol w:w="2300"/>
        <w:gridCol w:w="4300"/>
        <w:gridCol w:w="3604"/>
      </w:tblGrid>
      <w:tr>
        <w:trPr>
          <w:tblHeader w:val="true"/>
        </w:trPr>
        <w:tc>
          <w:tcPr>
            <w:tcW w:type="dxa" w:w="23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Funktionssicht</w:t>
            </w:r>
          </w:p>
        </w:tc>
        <w:tc>
          <w:tcPr>
            <w:tcW w:type="dxa" w:w="43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Benötigter Umfang</w:t>
            </w:r>
          </w:p>
        </w:tc>
        <w:tc>
          <w:tcPr>
            <w:tcW w:type="dxa" w:w="36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6"/>
              </w:rPr>
              <w:t>Nicht regulär sichtbar</w:t>
            </w:r>
          </w:p>
        </w:tc>
      </w:tr>
      <w:tr>
        <w:trPr>
          <w:cantSplit w:val="true"/>
        </w:trPr>
        <w:tc>
          <w:tcPr>
            <w:tcW w:type="dxa" w:w="2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Suchansicht</w:t>
            </w:r>
            <w:r>
              <w:rPr>
                <w:rFonts w:ascii="Arial" w:hAnsi="Arial" w:eastAsia="Arial"/>
                <w:b w:val="0"/>
                <w:i w:val="0"/>
                <w:color w:val="1F2430"/>
                <w:sz w:val="16"/>
              </w:rPr>
            </w:r>
          </w:p>
        </w:tc>
        <w:tc>
          <w:tcPr>
            <w:tcW w:type="dxa" w:w="4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Organisation, Sektor, Region, Name, Funktion, berufliche Themen und Kontaktverantwortung.</w:t>
            </w:r>
          </w:p>
        </w:tc>
        <w:tc>
          <w:tcPr>
            <w:tcW w:type="dxa" w:w="36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Detailnotizen, vollständige Historie, Roh-Einwilligungsnachweise und Exporte.</w:t>
            </w:r>
          </w:p>
        </w:tc>
      </w:tr>
      <w:tr>
        <w:trPr>
          <w:cantSplit w:val="true"/>
        </w:trPr>
        <w:tc>
          <w:tcPr>
            <w:tcW w:type="dxa" w:w="2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Kontaktverantwortung / zuständiges Team</w:t>
            </w:r>
            <w:r>
              <w:rPr>
                <w:rFonts w:ascii="Arial" w:hAnsi="Arial" w:eastAsia="Arial"/>
                <w:b w:val="0"/>
                <w:i w:val="0"/>
                <w:color w:val="1F2430"/>
                <w:sz w:val="16"/>
              </w:rPr>
            </w:r>
          </w:p>
        </w:tc>
        <w:tc>
          <w:tcPr>
            <w:tcW w:type="dxa" w:w="4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Stammdaten, Quelle, operativer Verlauf, Termine, sachliche Notizen und nächste Schritte der zugewiesenen Kontakte.</w:t>
            </w:r>
          </w:p>
        </w:tc>
        <w:tc>
          <w:tcPr>
            <w:tcW w:type="dxa" w:w="36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Sachfremde Vorgänge anderer Teams und allgemeiner Gesamtexport.</w:t>
            </w:r>
          </w:p>
        </w:tc>
      </w:tr>
      <w:tr>
        <w:trPr>
          <w:cantSplit w:val="true"/>
        </w:trPr>
        <w:tc>
          <w:tcPr>
            <w:tcW w:type="dxa" w:w="2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Format- / Hospitationskoordination</w:t>
            </w:r>
            <w:r>
              <w:rPr>
                <w:rFonts w:ascii="Arial" w:hAnsi="Arial" w:eastAsia="Arial"/>
                <w:b w:val="0"/>
                <w:i w:val="0"/>
                <w:color w:val="1F2430"/>
                <w:sz w:val="16"/>
              </w:rPr>
            </w:r>
          </w:p>
        </w:tc>
        <w:tc>
          <w:tcPr>
            <w:tcW w:type="dxa" w:w="4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Erforderliche Stammdaten, Termin, Einladungs- und Teilnahmestatus sowie formatspezifische Notizen.</w:t>
            </w:r>
          </w:p>
        </w:tc>
        <w:tc>
          <w:tcPr>
            <w:tcW w:type="dxa" w:w="36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Gesamte Beziehungshistorie anderer Formate.</w:t>
            </w:r>
          </w:p>
        </w:tc>
      </w:tr>
      <w:tr>
        <w:trPr>
          <w:cantSplit w:val="true"/>
        </w:trPr>
        <w:tc>
          <w:tcPr>
            <w:tcW w:type="dxa" w:w="2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Kommunikation / Versand</w:t>
            </w:r>
            <w:r>
              <w:rPr>
                <w:rFonts w:ascii="Arial" w:hAnsi="Arial" w:eastAsia="Arial"/>
                <w:b w:val="0"/>
                <w:i w:val="0"/>
                <w:color w:val="1F2430"/>
                <w:sz w:val="16"/>
              </w:rPr>
            </w:r>
          </w:p>
        </w:tc>
        <w:tc>
          <w:tcPr>
            <w:tcW w:type="dxa" w:w="4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Name, dienstliche E-Mail, Einrichtung, Zielgruppenmerkmale und aktueller Versandstatus.</w:t>
            </w:r>
          </w:p>
        </w:tc>
        <w:tc>
          <w:tcPr>
            <w:tcW w:type="dxa" w:w="36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Freie Gesprächsnotizen, Profilbilder und vollständige Historie.</w:t>
            </w:r>
          </w:p>
        </w:tc>
      </w:tr>
      <w:tr>
        <w:trPr>
          <w:cantSplit w:val="true"/>
        </w:trPr>
        <w:tc>
          <w:tcPr>
            <w:tcW w:type="dxa" w:w="2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Datenqualität / Betroffenenrechte</w:t>
            </w:r>
            <w:r>
              <w:rPr>
                <w:rFonts w:ascii="Arial" w:hAnsi="Arial" w:eastAsia="Arial"/>
                <w:b w:val="0"/>
                <w:i w:val="0"/>
                <w:color w:val="1F2430"/>
                <w:sz w:val="16"/>
              </w:rPr>
            </w:r>
          </w:p>
        </w:tc>
        <w:tc>
          <w:tcPr>
            <w:tcW w:type="dxa" w:w="4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Fallbezogener Zugriff für Dubletten, Berichtigung, Sperre, Löschung und Auskunft.</w:t>
            </w:r>
          </w:p>
        </w:tc>
        <w:tc>
          <w:tcPr>
            <w:tcW w:type="dxa" w:w="36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Eigene fachliche Nutzung oder Kampagnenversand.</w:t>
            </w:r>
          </w:p>
        </w:tc>
      </w:tr>
      <w:tr>
        <w:trPr>
          <w:cantSplit w:val="true"/>
        </w:trPr>
        <w:tc>
          <w:tcPr>
            <w:tcW w:type="dxa" w:w="2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1F2430"/>
                <w:sz w:val="16"/>
              </w:rPr>
              <w:t>Administration / Prüfung</w:t>
            </w:r>
            <w:r>
              <w:rPr>
                <w:rFonts w:ascii="Arial" w:hAnsi="Arial" w:eastAsia="Arial"/>
                <w:b w:val="0"/>
                <w:i w:val="0"/>
                <w:color w:val="1F2430"/>
                <w:sz w:val="16"/>
              </w:rPr>
            </w:r>
          </w:p>
        </w:tc>
        <w:tc>
          <w:tcPr>
            <w:tcW w:type="dxa" w:w="4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Technische Administration ohne Dauer-Vollsicht; Datenschutz und Audit mit fallbezogenem Lesezugriff nach Prüfbedarf.</w:t>
            </w:r>
          </w:p>
        </w:tc>
        <w:tc>
          <w:tcPr>
            <w:tcW w:type="dxa" w:w="36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6"/>
              </w:rPr>
              <w:t>Selbstgenehmigte fachliche Rollen oder routinemäßiger Inhaltszugriff.</w:t>
            </w:r>
          </w:p>
        </w:tc>
      </w:tr>
    </w:tbl>
    <w:p>
      <w:pPr>
        <w:spacing w:before="0" w:after="0" w:line="144" w:lineRule="auto"/>
      </w:pPr>
    </w:p>
    <w:p>
      <w:pPr>
        <w:pStyle w:val="Heading1"/>
        <w:keepNext/>
      </w:pPr>
      <w:r>
        <w:rPr>
          <w:rFonts w:ascii="Arial" w:hAnsi="Arial" w:eastAsia="Arial"/>
          <w:b/>
          <w:i w:val="0"/>
          <w:color w:val="000E52"/>
          <w:sz w:val="22"/>
        </w:rPr>
        <w:t>E.7 Startvoraussetzungen</w:t>
      </w:r>
    </w:p>
    <w:tbl>
      <w:tblPr>
        <w:tblW w:type="dxa" w:w="10204"/>
        <w:jc w:val="left"/>
        <w:tblLayout w:type="fixed"/>
        <w:tblLook w:firstColumn="1" w:firstRow="1" w:lastColumn="0" w:lastRow="0" w:noHBand="0" w:noVBand="1" w:val="04A0"/>
        <w:tblInd w:w="120" w:type="dxa"/>
      </w:tblPr>
      <w:tblGrid>
        <w:gridCol w:w="4700"/>
        <w:gridCol w:w="2300"/>
        <w:gridCol w:w="3204"/>
      </w:tblGrid>
      <w:tr>
        <w:trPr>
          <w:tblHeader w:val="true"/>
        </w:trPr>
        <w:tc>
          <w:tcPr>
            <w:tcW w:type="dxa" w:w="47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Startvoraussetzung</w:t>
            </w:r>
          </w:p>
        </w:tc>
        <w:tc>
          <w:tcPr>
            <w:tcW w:type="dxa" w:w="2300"/>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Verantwortung</w:t>
            </w:r>
          </w:p>
        </w:tc>
        <w:tc>
          <w:tcPr>
            <w:tcW w:type="dxa" w:w="3204"/>
            <w:shd w:fill="F5F7FB"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i w:val="0"/>
                <w:color w:val="000E52"/>
                <w:sz w:val="17"/>
              </w:rPr>
              <w:t>Status / Nachweis</w:t>
            </w:r>
          </w:p>
        </w:tc>
      </w:tr>
      <w:tr>
        <w:trPr>
          <w:cantSplit w:val="true"/>
        </w:trPr>
        <w:tc>
          <w:tcPr>
            <w:tcW w:type="dxa" w:w="47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 Aufgabenbezug und Rechtsgrundlagen je Startanwendungsfall bestätigt</w:t>
            </w:r>
          </w:p>
        </w:tc>
        <w:tc>
          <w:tcPr>
            <w:tcW w:type="dxa" w:w="2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Fachbereich + Recht</w:t>
            </w:r>
          </w:p>
        </w:tc>
        <w:tc>
          <w:tcPr>
            <w:tcW w:type="dxa" w:w="32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offen / Vermerk</w:t>
            </w:r>
          </w:p>
        </w:tc>
      </w:tr>
      <w:tr>
        <w:trPr>
          <w:cantSplit w:val="true"/>
        </w:trPr>
        <w:tc>
          <w:tcPr>
            <w:tcW w:type="dxa" w:w="47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 Art.-13/14-Texte, Website-Hinweise und optionale Checkbox abgestimmt</w:t>
            </w:r>
          </w:p>
        </w:tc>
        <w:tc>
          <w:tcPr>
            <w:tcW w:type="dxa" w:w="2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Datenschutz + Web</w:t>
            </w:r>
          </w:p>
        </w:tc>
        <w:tc>
          <w:tcPr>
            <w:tcW w:type="dxa" w:w="32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offen / Textversion</w:t>
            </w:r>
          </w:p>
        </w:tc>
      </w:tr>
      <w:tr>
        <w:trPr>
          <w:cantSplit w:val="true"/>
        </w:trPr>
        <w:tc>
          <w:tcPr>
            <w:tcW w:type="dxa" w:w="47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 Rollen-, Feld-, Export- und Negativtests bestanden</w:t>
            </w:r>
          </w:p>
        </w:tc>
        <w:tc>
          <w:tcPr>
            <w:tcW w:type="dxa" w:w="2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Fachverantwortung + Zugriffsmanagement</w:t>
            </w:r>
          </w:p>
        </w:tc>
        <w:tc>
          <w:tcPr>
            <w:tcW w:type="dxa" w:w="32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offen / Testprotokoll</w:t>
            </w:r>
          </w:p>
        </w:tc>
      </w:tr>
      <w:tr>
        <w:trPr>
          <w:cantSplit w:val="true"/>
        </w:trPr>
        <w:tc>
          <w:tcPr>
            <w:tcW w:type="dxa" w:w="47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 Verarbeitungsverzeichnis, Dienstleister-/Transferprüfung und DSFA-Schwellenvermerk liegen vor</w:t>
            </w:r>
          </w:p>
        </w:tc>
        <w:tc>
          <w:tcPr>
            <w:tcW w:type="dxa" w:w="2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Datenschutz + Betrieb</w:t>
            </w:r>
          </w:p>
        </w:tc>
        <w:tc>
          <w:tcPr>
            <w:tcW w:type="dxa" w:w="32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offen / Nachweise</w:t>
            </w:r>
          </w:p>
        </w:tc>
      </w:tr>
      <w:tr>
        <w:trPr>
          <w:cantSplit w:val="true"/>
        </w:trPr>
        <w:tc>
          <w:tcPr>
            <w:tcW w:type="dxa" w:w="47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 Notiz-, Quellen-, Foto-, Import- und Löschregeln beschlossen</w:t>
            </w:r>
          </w:p>
        </w:tc>
        <w:tc>
          <w:tcPr>
            <w:tcW w:type="dxa" w:w="2300"/>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Fachverantwortung + Datenverantwortung</w:t>
            </w:r>
          </w:p>
        </w:tc>
        <w:tc>
          <w:tcPr>
            <w:tcW w:type="dxa" w:w="3204"/>
            <w:shd w:fill="FFFFFF"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offen / Richtlinie</w:t>
            </w:r>
          </w:p>
        </w:tc>
      </w:tr>
      <w:tr>
        <w:trPr>
          <w:cantSplit w:val="true"/>
        </w:trPr>
        <w:tc>
          <w:tcPr>
            <w:tcW w:type="dxa" w:w="47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 Widerruf, Widerspruch, Sperre, Berichtigung und Löschung praktisch getestet</w:t>
            </w:r>
          </w:p>
        </w:tc>
        <w:tc>
          <w:tcPr>
            <w:tcW w:type="dxa" w:w="2300"/>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Produkt + Betrieb</w:t>
            </w:r>
          </w:p>
        </w:tc>
        <w:tc>
          <w:tcPr>
            <w:tcW w:type="dxa" w:w="3204"/>
            <w:shd w:fill="FBFCFE" w:val="clear"/>
            <w:tcBorders>
              <w:top w:val="single" w:sz="4" w:color="CAD3E6" w:space="0"/>
              <w:left w:val="single" w:sz="4" w:color="CAD3E6" w:space="0"/>
              <w:bottom w:val="single" w:sz="4" w:color="CAD3E6" w:space="0"/>
              <w:right w:val="single" w:sz="4" w:color="CAD3E6" w:space="0"/>
            </w:tcBorders>
            <w:tcMar>
              <w:top w:w="100" w:type="dxa"/>
              <w:start w:w="120" w:type="dxa"/>
              <w:bottom w:w="100" w:type="dxa"/>
              <w:end w:w="120" w:type="dxa"/>
            </w:tcMar>
            <w:vAlign w:val="center"/>
          </w:tcPr>
          <w:p>
            <w:pPr>
              <w:keepLines/>
              <w:spacing w:before="0" w:after="0" w:line="252" w:lineRule="auto"/>
            </w:pPr>
            <w:r>
              <w:rPr>
                <w:rFonts w:ascii="Arial" w:hAnsi="Arial" w:eastAsia="Arial"/>
                <w:b w:val="0"/>
                <w:i w:val="0"/>
                <w:color w:val="1F2430"/>
                <w:sz w:val="17"/>
              </w:rPr>
              <w:t>offen / Abnahme</w:t>
            </w:r>
          </w:p>
        </w:tc>
      </w:tr>
    </w:tbl>
    <w:p>
      <w:pPr>
        <w:spacing w:before="0" w:after="0" w:line="144" w:lineRule="auto"/>
      </w:pPr>
    </w:p>
    <w:tbl>
      <w:tblPr>
        <w:tblW w:type="dxa" w:w="10204"/>
        <w:jc w:val="left"/>
        <w:tblLayout w:type="fixed"/>
        <w:tblLook w:firstColumn="1" w:firstRow="1" w:lastColumn="0" w:lastRow="0" w:noHBand="0" w:noVBand="1" w:val="04A0"/>
        <w:tblInd w:w="150" w:type="dxa"/>
      </w:tblPr>
      <w:tblGrid>
        <w:gridCol w:w="10204"/>
      </w:tblGrid>
      <w:tr>
        <w:tc>
          <w:tcPr>
            <w:tcW w:type="dxa" w:w="10204"/>
            <w:shd w:fill="EAF7F0" w:val="clear"/>
            <w:tcBorders>
              <w:top w:val="single" w:sz="5" w:color="B8DDC9" w:space="0"/>
              <w:left w:val="single" w:sz="5" w:color="B8DDC9" w:space="0"/>
              <w:bottom w:val="single" w:sz="5" w:color="B8DDC9" w:space="0"/>
              <w:right w:val="single" w:sz="5" w:color="B8DDC9"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Pilotrahmen: </w:t>
            </w:r>
            <w:r>
              <w:rPr>
                <w:rFonts w:ascii="Arial" w:hAnsi="Arial" w:eastAsia="Arial"/>
                <w:b w:val="0"/>
                <w:i w:val="0"/>
                <w:color w:val="1F2430"/>
              </w:rPr>
              <w:t>Höchstens 50 reale Personenkontakte, wenige geschulte Nutzende, keine EHC-Vollimporte, Auswertung nach vier Wochen. Sind die Startvoraussetzungen nicht erfüllt, bleibt der Pilot auf Organisationsdaten beschränkt.</w:t>
            </w:r>
          </w:p>
        </w:tc>
      </w:tr>
    </w:tbl>
    <w:p>
      <w:pPr>
        <w:spacing w:before="0" w:after="0" w:line="120" w:lineRule="auto"/>
      </w:pPr>
    </w:p>
    <w:p>
      <w:pPr>
        <w:pStyle w:val="Heading1"/>
        <w:keepNext/>
      </w:pPr>
      <w:r>
        <w:rPr>
          <w:rFonts w:ascii="Arial" w:hAnsi="Arial" w:eastAsia="Arial"/>
          <w:b/>
          <w:i w:val="0"/>
          <w:color w:val="000E52"/>
          <w:sz w:val="22"/>
        </w:rPr>
        <w:t>E.8 Vier-Wochen-Auswertung</w:t>
      </w:r>
    </w:p>
    <w:p>
      <w:pPr>
        <w:keepLines/>
        <w:numPr>
          <w:ilvl w:val="0"/>
          <w:numId w:val="10"/>
        </w:numPr>
        <w:spacing w:before="0" w:after="45" w:line="259" w:lineRule="auto"/>
      </w:pPr>
      <w:r>
        <w:rPr>
          <w:rFonts w:ascii="Arial" w:hAnsi="Arial" w:eastAsia="Arial"/>
          <w:b w:val="0"/>
          <w:i w:val="0"/>
          <w:color w:val="1F2430"/>
        </w:rPr>
        <w:t>Anzahl, Quellen und fachlicher Zweck der angelegten Kontakte;</w:t>
      </w:r>
    </w:p>
    <w:p>
      <w:pPr>
        <w:keepLines/>
        <w:numPr>
          <w:ilvl w:val="0"/>
          <w:numId w:val="10"/>
        </w:numPr>
        <w:spacing w:before="0" w:after="45" w:line="259" w:lineRule="auto"/>
      </w:pPr>
      <w:r>
        <w:rPr>
          <w:rFonts w:ascii="Arial" w:hAnsi="Arial" w:eastAsia="Arial"/>
          <w:b w:val="0"/>
          <w:i w:val="0"/>
          <w:color w:val="1F2430"/>
        </w:rPr>
        <w:t>fristgerechte Information, Widersprüche, Sperren, Berichtigungen und Löschungen;</w:t>
      </w:r>
    </w:p>
    <w:p>
      <w:pPr>
        <w:keepLines/>
        <w:numPr>
          <w:ilvl w:val="0"/>
          <w:numId w:val="10"/>
        </w:numPr>
        <w:spacing w:before="0" w:after="45" w:line="259" w:lineRule="auto"/>
      </w:pPr>
      <w:r>
        <w:rPr>
          <w:rFonts w:ascii="Arial" w:hAnsi="Arial" w:eastAsia="Arial"/>
          <w:b w:val="0"/>
          <w:i w:val="0"/>
          <w:color w:val="1F2430"/>
        </w:rPr>
        <w:t>Berechtigungs-, Export- oder Protokollierungsfehler;</w:t>
      </w:r>
    </w:p>
    <w:p>
      <w:pPr>
        <w:keepLines/>
        <w:numPr>
          <w:ilvl w:val="0"/>
          <w:numId w:val="10"/>
        </w:numPr>
        <w:spacing w:before="0" w:after="45" w:line="259" w:lineRule="auto"/>
      </w:pPr>
      <w:r>
        <w:rPr>
          <w:rFonts w:ascii="Arial" w:hAnsi="Arial" w:eastAsia="Arial"/>
          <w:b w:val="0"/>
          <w:i w:val="0"/>
          <w:color w:val="1F2430"/>
        </w:rPr>
        <w:t>fachlicher Nutzen für Formate, Hospitationen und Feedbackvorhaben;</w:t>
      </w:r>
    </w:p>
    <w:p>
      <w:pPr>
        <w:keepLines/>
        <w:numPr>
          <w:ilvl w:val="0"/>
          <w:numId w:val="10"/>
        </w:numPr>
        <w:spacing w:before="0" w:after="30" w:line="259" w:lineRule="auto"/>
      </w:pPr>
      <w:r>
        <w:rPr>
          <w:rFonts w:ascii="Arial" w:hAnsi="Arial" w:eastAsia="Arial"/>
          <w:b w:val="0"/>
          <w:i w:val="0"/>
          <w:color w:val="1F2430"/>
        </w:rPr>
        <w:t>Entscheidung: fortführen, anpassen, auf Organisationsdaten zurücksetzen oder beenden.</w:t>
      </w:r>
    </w:p>
    <w:p>
      <w:pPr>
        <w:spacing w:before="0" w:after="0" w:line="240" w:lineRule="auto"/>
      </w:pPr>
      <w:r>
        <w:br w:type="page"/>
      </w:r>
    </w:p>
    <w:p>
      <w:pPr>
        <w:pStyle w:val="AnnexTitle"/>
        <w:keepNext/>
      </w:pPr>
      <w:r>
        <w:rPr>
          <w:rFonts w:ascii="Arial" w:hAnsi="Arial" w:eastAsia="Arial"/>
          <w:b/>
          <w:i w:val="0"/>
          <w:color w:val="000E52"/>
          <w:sz w:val="32"/>
        </w:rPr>
        <w:t>Anlage F - Quellenstand und offene Entscheidungen</w:t>
      </w:r>
    </w:p>
    <w:p>
      <w:pPr>
        <w:pStyle w:val="AnnexLead"/>
        <w:keepNext/>
      </w:pPr>
      <w:r>
        <w:rPr>
          <w:rFonts w:ascii="Arial" w:hAnsi="Arial" w:eastAsia="Arial"/>
          <w:b w:val="0"/>
          <w:i w:val="0"/>
          <w:color w:val="60697F"/>
          <w:sz w:val="20"/>
        </w:rPr>
        <w:t>Stand der öffentlichen Prüfung: 30.07.2026. Organisationsinterne Annahmen sind vor formaler Freigabe zu bestätigen.</w:t>
      </w:r>
    </w:p>
    <w:p>
      <w:pPr>
        <w:pStyle w:val="Heading1"/>
        <w:keepNext/>
      </w:pPr>
      <w:r>
        <w:rPr>
          <w:rFonts w:ascii="Arial" w:hAnsi="Arial" w:eastAsia="Arial"/>
          <w:b/>
          <w:i w:val="0"/>
          <w:color w:val="000E52"/>
          <w:sz w:val="22"/>
        </w:rPr>
        <w:t>F.1 Offene Entscheidungen</w:t>
      </w:r>
    </w:p>
    <w:p>
      <w:pPr>
        <w:keepLines/>
        <w:numPr>
          <w:ilvl w:val="0"/>
          <w:numId w:val="10"/>
        </w:numPr>
        <w:spacing w:before="0" w:after="45" w:line="259" w:lineRule="auto"/>
      </w:pPr>
      <w:r>
        <w:rPr>
          <w:rFonts w:ascii="Arial" w:hAnsi="Arial" w:eastAsia="Arial"/>
          <w:b w:val="0"/>
          <w:i w:val="0"/>
          <w:color w:val="1F2430"/>
        </w:rPr>
        <w:t>Welche konkrete Aufgabe nach § 311 SGB V trägt jeden Startanwendungsfall und welche Verarbeitung ist hierfür erforderlich?</w:t>
      </w:r>
    </w:p>
    <w:p>
      <w:pPr>
        <w:keepLines/>
        <w:numPr>
          <w:ilvl w:val="0"/>
          <w:numId w:val="10"/>
        </w:numPr>
        <w:spacing w:before="0" w:after="45" w:line="259" w:lineRule="auto"/>
      </w:pPr>
      <w:r>
        <w:rPr>
          <w:rFonts w:ascii="Arial" w:hAnsi="Arial" w:eastAsia="Arial"/>
          <w:b w:val="0"/>
          <w:i w:val="0"/>
          <w:color w:val="1F2430"/>
        </w:rPr>
        <w:t>Ist die gematik für diesen Vorgang als öffentliche Stelle des Bundes einzuordnen und liegt kein abgrenzbarer Wettbewerbsbereich vor?</w:t>
      </w:r>
    </w:p>
    <w:p>
      <w:pPr>
        <w:keepLines/>
        <w:numPr>
          <w:ilvl w:val="0"/>
          <w:numId w:val="10"/>
        </w:numPr>
        <w:spacing w:before="0" w:after="45" w:line="259" w:lineRule="auto"/>
      </w:pPr>
      <w:r>
        <w:rPr>
          <w:rFonts w:ascii="Arial" w:hAnsi="Arial" w:eastAsia="Arial"/>
          <w:b w:val="0"/>
          <w:i w:val="0"/>
          <w:color w:val="1F2430"/>
        </w:rPr>
        <w:t>Welche Grundlage trägt die mitarbeiterseitige Erstanlage aus persönlichem Austausch, Visitenkarte, E-Mail, Teams oder öffentlicher Berufsquelle?</w:t>
      </w:r>
    </w:p>
    <w:p>
      <w:pPr>
        <w:keepLines/>
        <w:numPr>
          <w:ilvl w:val="0"/>
          <w:numId w:val="10"/>
        </w:numPr>
        <w:spacing w:before="0" w:after="45" w:line="259" w:lineRule="auto"/>
      </w:pPr>
      <w:r>
        <w:rPr>
          <w:rFonts w:ascii="Arial" w:hAnsi="Arial" w:eastAsia="Arial"/>
          <w:b w:val="0"/>
          <w:i w:val="0"/>
          <w:color w:val="1F2430"/>
        </w:rPr>
        <w:t>Welche Kommunikation ist operativer Vorgang und welche zusätzliche Zukunftseinladung?</w:t>
      </w:r>
    </w:p>
    <w:p>
      <w:pPr>
        <w:keepLines/>
        <w:numPr>
          <w:ilvl w:val="0"/>
          <w:numId w:val="10"/>
        </w:numPr>
        <w:spacing w:before="0" w:after="45" w:line="259" w:lineRule="auto"/>
      </w:pPr>
      <w:r>
        <w:rPr>
          <w:rFonts w:ascii="Arial" w:hAnsi="Arial" w:eastAsia="Arial"/>
          <w:b w:val="0"/>
          <w:i w:val="0"/>
          <w:color w:val="1F2430"/>
        </w:rPr>
        <w:t>Wann und wie werden Informationen nach Art. 13 beziehungsweise Art. 14 DSGVO bereitgestellt?</w:t>
      </w:r>
    </w:p>
    <w:p>
      <w:pPr>
        <w:keepLines/>
        <w:numPr>
          <w:ilvl w:val="0"/>
          <w:numId w:val="10"/>
        </w:numPr>
        <w:spacing w:before="0" w:after="45" w:line="259" w:lineRule="auto"/>
      </w:pPr>
      <w:r>
        <w:rPr>
          <w:rFonts w:ascii="Arial" w:hAnsi="Arial" w:eastAsia="Arial"/>
          <w:b w:val="0"/>
          <w:i w:val="0"/>
          <w:color w:val="1F2430"/>
        </w:rPr>
        <w:t>Welche Mindestfelder, Rollen, Prüf- und Löschfristen gelten im Pilot und im Regelbetrieb?</w:t>
      </w:r>
    </w:p>
    <w:p>
      <w:pPr>
        <w:keepLines/>
        <w:numPr>
          <w:ilvl w:val="0"/>
          <w:numId w:val="10"/>
        </w:numPr>
        <w:spacing w:before="0" w:after="45" w:line="259" w:lineRule="auto"/>
      </w:pPr>
      <w:r>
        <w:rPr>
          <w:rFonts w:ascii="Arial" w:hAnsi="Arial" w:eastAsia="Arial"/>
          <w:b w:val="0"/>
          <w:i w:val="0"/>
          <w:color w:val="1F2430"/>
        </w:rPr>
        <w:t>Welche EHC-Daten dürfen überhaupt selektiv übernommen werden und wie wirken Widerruf oder Sperre systemübergreifend?</w:t>
      </w:r>
    </w:p>
    <w:p>
      <w:pPr>
        <w:keepLines/>
        <w:numPr>
          <w:ilvl w:val="0"/>
          <w:numId w:val="10"/>
        </w:numPr>
        <w:spacing w:before="0" w:after="30" w:line="259" w:lineRule="auto"/>
      </w:pPr>
      <w:r>
        <w:rPr>
          <w:rFonts w:ascii="Arial" w:hAnsi="Arial" w:eastAsia="Arial"/>
          <w:b w:val="0"/>
          <w:i w:val="0"/>
          <w:color w:val="1F2430"/>
        </w:rPr>
        <w:t>Reicht eine dokumentierte DSFA-Schwellenprüfung oder ist eine vollständige Datenschutz-Folgenabschätzung erforderlich?</w:t>
      </w:r>
    </w:p>
    <w:p>
      <w:pPr>
        <w:pStyle w:val="Heading1"/>
        <w:keepNext/>
      </w:pPr>
      <w:r>
        <w:rPr>
          <w:rFonts w:ascii="Arial" w:hAnsi="Arial" w:eastAsia="Arial"/>
          <w:b/>
          <w:i w:val="0"/>
          <w:color w:val="000E52"/>
          <w:sz w:val="22"/>
        </w:rPr>
        <w:t>F.2 Primär- und Aufsichtsquellen</w:t>
      </w:r>
    </w:p>
    <w:p>
      <w:pPr>
        <w:keepLines/>
        <w:numPr>
          <w:ilvl w:val="0"/>
          <w:numId w:val="10"/>
        </w:numPr>
        <w:spacing w:before="0" w:after="45" w:line="259" w:lineRule="auto"/>
      </w:pPr>
      <w:r>
        <w:rPr>
          <w:rFonts w:ascii="Arial" w:hAnsi="Arial" w:eastAsia="Arial"/>
          <w:b w:val="0"/>
          <w:i w:val="0"/>
          <w:color w:val="1F2430"/>
        </w:rPr>
        <w:t>Datenschutz-Grundverordnung, insbesondere Art. 5, 6, 13, 14, 21, 25, 30, 32, 35, 38 und 39: https://eur-lex.europa.eu/eli/reg/2016/679/2016-05-04?locale=de</w:t>
      </w:r>
    </w:p>
    <w:p>
      <w:pPr>
        <w:keepLines/>
        <w:numPr>
          <w:ilvl w:val="0"/>
          <w:numId w:val="10"/>
        </w:numPr>
        <w:spacing w:before="0" w:after="45" w:line="259" w:lineRule="auto"/>
      </w:pPr>
      <w:r>
        <w:rPr>
          <w:rFonts w:ascii="Arial" w:hAnsi="Arial" w:eastAsia="Arial"/>
          <w:b w:val="0"/>
          <w:i w:val="0"/>
          <w:color w:val="1F2430"/>
        </w:rPr>
        <w:t>§§ 2 und 3 BDSG: https://www.gesetze-im-internet.de/bdsg_2018/__2.html und https://www.gesetze-im-internet.de/bdsg_2018/__3.html</w:t>
      </w:r>
    </w:p>
    <w:p>
      <w:pPr>
        <w:keepLines/>
        <w:numPr>
          <w:ilvl w:val="0"/>
          <w:numId w:val="10"/>
        </w:numPr>
        <w:spacing w:before="0" w:after="45" w:line="259" w:lineRule="auto"/>
      </w:pPr>
      <w:r>
        <w:rPr>
          <w:rFonts w:ascii="Arial" w:hAnsi="Arial" w:eastAsia="Arial"/>
          <w:b w:val="0"/>
          <w:i w:val="0"/>
          <w:color w:val="1F2430"/>
        </w:rPr>
        <w:t>§§ 306, 310, 311 und 313 SGB V: https://www.gesetze-im-internet.de/sgb_5/</w:t>
      </w:r>
    </w:p>
    <w:p>
      <w:pPr>
        <w:keepLines/>
        <w:numPr>
          <w:ilvl w:val="0"/>
          <w:numId w:val="10"/>
        </w:numPr>
        <w:spacing w:before="0" w:after="45" w:line="259" w:lineRule="auto"/>
      </w:pPr>
      <w:r>
        <w:rPr>
          <w:rFonts w:ascii="Arial" w:hAnsi="Arial" w:eastAsia="Arial"/>
          <w:b w:val="0"/>
          <w:i w:val="0"/>
          <w:color w:val="1F2430"/>
        </w:rPr>
        <w:t>BfDI - Informationspflichten nach Art. 13 und 14 DSGVO: https://www.bfdi.bund.de/DE/Buerger/Inhalte/Allgemein/Datenschutz/Informationspflichten.html</w:t>
      </w:r>
    </w:p>
    <w:p>
      <w:pPr>
        <w:keepLines/>
        <w:numPr>
          <w:ilvl w:val="0"/>
          <w:numId w:val="10"/>
        </w:numPr>
        <w:spacing w:before="0" w:after="45" w:line="259" w:lineRule="auto"/>
      </w:pPr>
      <w:r>
        <w:rPr>
          <w:rFonts w:ascii="Arial" w:hAnsi="Arial" w:eastAsia="Arial"/>
          <w:b w:val="0"/>
          <w:i w:val="0"/>
          <w:color w:val="1F2430"/>
        </w:rPr>
        <w:t>gematik - Versorgungs-Netzwerk: https://www.gematik.de/mitmachen/versorgungs-netzwerk</w:t>
      </w:r>
    </w:p>
    <w:p>
      <w:pPr>
        <w:keepLines/>
        <w:numPr>
          <w:ilvl w:val="0"/>
          <w:numId w:val="10"/>
        </w:numPr>
        <w:spacing w:before="0" w:after="30" w:line="259" w:lineRule="auto"/>
      </w:pPr>
      <w:r>
        <w:rPr>
          <w:rFonts w:ascii="Arial" w:hAnsi="Arial" w:eastAsia="Arial"/>
          <w:b w:val="0"/>
          <w:i w:val="0"/>
          <w:color w:val="1F2430"/>
        </w:rPr>
        <w:t>gematik - Datenschutzerklärung: https://www.gematik.de/datenschutz</w:t>
      </w:r>
    </w:p>
    <w:p>
      <w:pPr>
        <w:pStyle w:val="Heading1"/>
        <w:keepNext/>
      </w:pPr>
      <w:r>
        <w:rPr>
          <w:rFonts w:ascii="Arial" w:hAnsi="Arial" w:eastAsia="Arial"/>
          <w:b/>
          <w:i w:val="0"/>
          <w:color w:val="000E52"/>
          <w:sz w:val="22"/>
        </w:rPr>
        <w:t>F.3 Interne Arbeitsgrundlagen</w:t>
      </w:r>
    </w:p>
    <w:p>
      <w:pPr>
        <w:keepLines/>
        <w:numPr>
          <w:ilvl w:val="0"/>
          <w:numId w:val="10"/>
        </w:numPr>
        <w:spacing w:before="0" w:after="45" w:line="259" w:lineRule="auto"/>
      </w:pPr>
      <w:r>
        <w:rPr>
          <w:rFonts w:ascii="Arial" w:hAnsi="Arial" w:eastAsia="Arial"/>
          <w:b w:val="0"/>
          <w:i w:val="0"/>
          <w:color w:val="1F2430"/>
        </w:rPr>
        <w:t>VERSORGUNGSKOMPASS_DATENSCHUTZ_EINWILLIGUNG_RECHERCHE.md</w:t>
      </w:r>
    </w:p>
    <w:p>
      <w:pPr>
        <w:keepLines/>
        <w:numPr>
          <w:ilvl w:val="0"/>
          <w:numId w:val="10"/>
        </w:numPr>
        <w:spacing w:before="0" w:after="45" w:line="259" w:lineRule="auto"/>
      </w:pPr>
      <w:r>
        <w:rPr>
          <w:rFonts w:ascii="Arial" w:hAnsi="Arial" w:eastAsia="Arial"/>
          <w:b w:val="0"/>
          <w:i w:val="0"/>
          <w:color w:val="1F2430"/>
        </w:rPr>
        <w:t>VERSORGUNGSKOMPASS_UMSETZUNGSPLAN_DATENSCHUTZ.md</w:t>
      </w:r>
    </w:p>
    <w:p>
      <w:pPr>
        <w:keepLines/>
        <w:numPr>
          <w:ilvl w:val="0"/>
          <w:numId w:val="10"/>
        </w:numPr>
        <w:spacing w:before="0" w:after="45" w:line="259" w:lineRule="auto"/>
      </w:pPr>
      <w:r>
        <w:rPr>
          <w:rFonts w:ascii="Arial" w:hAnsi="Arial" w:eastAsia="Arial"/>
          <w:b w:val="0"/>
          <w:i w:val="0"/>
          <w:color w:val="1F2430"/>
        </w:rPr>
        <w:t>SURVALYZER_SCHNITTSTELLE_DATENSCHUTZ_IT_FREIGABE.md</w:t>
      </w:r>
    </w:p>
    <w:p>
      <w:pPr>
        <w:keepLines/>
        <w:numPr>
          <w:ilvl w:val="0"/>
          <w:numId w:val="10"/>
        </w:numPr>
        <w:spacing w:before="0" w:after="45" w:line="259" w:lineRule="auto"/>
      </w:pPr>
      <w:r>
        <w:rPr>
          <w:rFonts w:ascii="Arial" w:hAnsi="Arial" w:eastAsia="Arial"/>
          <w:b w:val="0"/>
          <w:i w:val="0"/>
          <w:color w:val="1F2430"/>
        </w:rPr>
        <w:t>DATA_MODEL.md und FELDENTSCHEIDUNGSMATRIX_KONTAKTE_ORGANISATIONEN.md</w:t>
      </w:r>
    </w:p>
    <w:p>
      <w:pPr>
        <w:keepLines/>
        <w:numPr>
          <w:ilvl w:val="0"/>
          <w:numId w:val="10"/>
        </w:numPr>
        <w:spacing w:before="0" w:after="30" w:line="259" w:lineRule="auto"/>
      </w:pPr>
      <w:r>
        <w:rPr>
          <w:rFonts w:ascii="Arial" w:hAnsi="Arial" w:eastAsia="Arial"/>
          <w:b w:val="0"/>
          <w:i w:val="0"/>
          <w:color w:val="1F2430"/>
        </w:rPr>
        <w:t>VERSORGUNGS_NETZWERK_REGISTRIERUNG.md</w:t>
      </w:r>
    </w:p>
    <w:p>
      <w:pPr>
        <w:pStyle w:val="Heading1"/>
        <w:keepNext/>
      </w:pPr>
      <w:r>
        <w:rPr>
          <w:rFonts w:ascii="Arial" w:hAnsi="Arial" w:eastAsia="Arial"/>
          <w:b/>
          <w:i w:val="0"/>
          <w:color w:val="000E52"/>
          <w:sz w:val="22"/>
        </w:rPr>
        <w:t>F.4 Dokumentierte Arbeitsannahmen</w:t>
      </w:r>
    </w:p>
    <w:p>
      <w:pPr>
        <w:keepLines/>
        <w:numPr>
          <w:ilvl w:val="0"/>
          <w:numId w:val="10"/>
        </w:numPr>
        <w:spacing w:before="0" w:after="45" w:line="259" w:lineRule="auto"/>
      </w:pPr>
      <w:r>
        <w:rPr>
          <w:rFonts w:ascii="Arial" w:hAnsi="Arial" w:eastAsia="Arial"/>
          <w:b w:val="0"/>
          <w:i w:val="0"/>
          <w:color w:val="1F2430"/>
        </w:rPr>
        <w:t>Der Startumfang dient gesetzlichen Aufgaben der gematik und keinem abgrenzbaren Wettbewerbsvorhaben; dies ist intern zu bestätigen.</w:t>
      </w:r>
    </w:p>
    <w:p>
      <w:pPr>
        <w:keepLines/>
        <w:numPr>
          <w:ilvl w:val="0"/>
          <w:numId w:val="10"/>
        </w:numPr>
        <w:spacing w:before="0" w:after="45" w:line="259" w:lineRule="auto"/>
      </w:pPr>
      <w:r>
        <w:rPr>
          <w:rFonts w:ascii="Arial" w:hAnsi="Arial" w:eastAsia="Arial"/>
          <w:b w:val="0"/>
          <w:i w:val="0"/>
          <w:color w:val="1F2430"/>
        </w:rPr>
        <w:t>Es sind keine allgemeinen Massenmailings geplant; zusätzliche Zukunftseinladungen werden dennoch als eigener Zweck und Kanal behandelt.</w:t>
      </w:r>
    </w:p>
    <w:p>
      <w:pPr>
        <w:keepLines/>
        <w:numPr>
          <w:ilvl w:val="0"/>
          <w:numId w:val="10"/>
        </w:numPr>
        <w:spacing w:before="0" w:after="45" w:line="259" w:lineRule="auto"/>
      </w:pPr>
      <w:r>
        <w:rPr>
          <w:rFonts w:ascii="Arial" w:hAnsi="Arial" w:eastAsia="Arial"/>
          <w:b w:val="0"/>
          <w:i w:val="0"/>
          <w:color w:val="1F2430"/>
        </w:rPr>
        <w:t>Patient:innendaten, besondere Kategorien personenbezogener Daten und automatisierte Personenbewertungen sind ausgeschlossen.</w:t>
      </w:r>
    </w:p>
    <w:p>
      <w:pPr>
        <w:keepLines/>
        <w:numPr>
          <w:ilvl w:val="0"/>
          <w:numId w:val="10"/>
        </w:numPr>
        <w:spacing w:before="0" w:after="30" w:line="259" w:lineRule="auto"/>
      </w:pPr>
      <w:r>
        <w:rPr>
          <w:rFonts w:ascii="Arial" w:hAnsi="Arial" w:eastAsia="Arial"/>
          <w:b w:val="0"/>
          <w:i w:val="0"/>
          <w:color w:val="1F2430"/>
        </w:rPr>
        <w:t>Der Versorgungskompass soll bestehende oder andernfalls entstehende Nebenlisten ersetzen und nicht als weitere parallele Datenbank betrieben werden.</w:t>
      </w: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Rechtlicher Vorbehalt: </w:t>
            </w:r>
            <w:r>
              <w:rPr>
                <w:rFonts w:ascii="Arial" w:hAnsi="Arial" w:eastAsia="Arial"/>
                <w:b w:val="0"/>
                <w:i w:val="0"/>
                <w:color w:val="1F2430"/>
              </w:rPr>
              <w:t>Diese Vorlage ist ein fachlicher, KI-gestützt konsolidierter Arbeits- und Prüfstand. Sie ersetzt weder die organisationsinterne Aufgaben- und Erforderlichkeitsprüfung noch eine Rechtsberatung oder Freigabe. Rechtsgrundlagen, tatsächliche Datenflüsse, Empfänger, Dienstleister, Fristen, Altbestände und Systemgrenzen sind vor dem Produktivbetrieb durch die zuständigen Stellen zu verifizieren.</w:t>
            </w:r>
          </w:p>
        </w:tc>
      </w:tr>
    </w:tbl>
    <w:p>
      <w:pPr>
        <w:spacing w:before="0" w:after="0" w:line="120" w:lineRule="auto"/>
      </w:pPr>
    </w:p>
    <w:p>
      <w:pPr>
        <w:spacing w:before="0" w:after="0" w:line="240" w:lineRule="auto"/>
      </w:pPr>
      <w:r>
        <w:br w:type="page"/>
      </w:r>
    </w:p>
    <w:p>
      <w:pPr>
        <w:pStyle w:val="AnnexTitle"/>
        <w:keepNext/>
      </w:pPr>
      <w:r>
        <w:rPr>
          <w:rFonts w:ascii="Arial" w:hAnsi="Arial" w:eastAsia="Arial"/>
          <w:b/>
          <w:i w:val="0"/>
          <w:color w:val="000E52"/>
          <w:sz w:val="32"/>
        </w:rPr>
        <w:t>Anlage G - Mailvorlagen an den Datenschutzbeauftragten</w:t>
      </w:r>
    </w:p>
    <w:p>
      <w:pPr>
        <w:pStyle w:val="AnnexLead"/>
        <w:keepNext/>
      </w:pPr>
      <w:r>
        <w:rPr>
          <w:rFonts w:ascii="Arial" w:hAnsi="Arial" w:eastAsia="Arial"/>
          <w:b w:val="0"/>
          <w:i w:val="0"/>
          <w:color w:val="60697F"/>
          <w:sz w:val="20"/>
        </w:rPr>
        <w:t>Kurze Arbeitsvorlagen; Namen, Termine und abgestimmte Festlegungen werden vor dem Versand ergänzt.</w:t>
      </w:r>
    </w:p>
    <w:p>
      <w:pPr>
        <w:pStyle w:val="Heading1"/>
        <w:keepNext/>
      </w:pPr>
      <w:r>
        <w:rPr>
          <w:rFonts w:ascii="Arial" w:hAnsi="Arial" w:eastAsia="Arial"/>
          <w:b/>
          <w:i w:val="0"/>
          <w:color w:val="000E52"/>
          <w:sz w:val="22"/>
        </w:rPr>
        <w:t>G.1 Einladung zur gemeinsamen Festlegung des Pilotrahmens</w:t>
      </w: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Betreff: </w:t>
            </w:r>
            <w:r>
              <w:rPr>
                <w:rFonts w:ascii="Arial" w:hAnsi="Arial" w:eastAsia="Arial"/>
                <w:b w:val="0"/>
                <w:i w:val="0"/>
                <w:color w:val="1F2430"/>
              </w:rPr>
              <w:t>Versorgungskompass - gemeinsame Festlegung des zulässigen Pilotrahmens</w:t>
            </w:r>
          </w:p>
        </w:tc>
      </w:tr>
    </w:tbl>
    <w:p>
      <w:pPr>
        <w:spacing w:before="0" w:after="0" w:line="120" w:lineRule="auto"/>
      </w:pPr>
    </w:p>
    <w:p>
      <w:pPr>
        <w:spacing w:line="259" w:lineRule="auto"/>
      </w:pPr>
      <w:r>
        <w:rPr>
          <w:rFonts w:ascii="Arial" w:hAnsi="Arial" w:eastAsia="Arial"/>
          <w:b w:val="0"/>
          <w:i w:val="0"/>
          <w:color w:val="1F2430"/>
        </w:rPr>
        <w:t>Guten Tag [Name],</w:t>
      </w:r>
    </w:p>
    <w:p>
      <w:pPr>
        <w:spacing w:line="259" w:lineRule="auto"/>
      </w:pPr>
      <w:r>
        <w:rPr>
          <w:rFonts w:ascii="Arial" w:hAnsi="Arial" w:eastAsia="Arial"/>
          <w:b w:val="0"/>
          <w:i w:val="0"/>
          <w:color w:val="1F2430"/>
        </w:rPr>
        <w:t>wir möchten den Versorgungskompass als gemeinsamen Arbeitsbestand für berufliche Versorgungskontakte einsetzen. Er soll Hospitationen, Workshops, Demonstratorentests und Feedbackvorhaben unterstützen und heute verteilte Nebenlisten möglichst ersetzen.</w:t>
      </w:r>
    </w:p>
    <w:p>
      <w:pPr>
        <w:spacing w:line="259" w:lineRule="auto"/>
      </w:pPr>
      <w:r>
        <w:rPr>
          <w:rFonts w:ascii="Arial" w:hAnsi="Arial" w:eastAsia="Arial"/>
          <w:b w:val="0"/>
          <w:i w:val="0"/>
          <w:color w:val="1F2430"/>
        </w:rPr>
        <w:t>Die beigefügte Vorlage beschreibt die fachlichen Anwendungsfälle, benötigten Datenverarbeitungen und bewusst gesetzten Grenzen. Wir schlagen einen auf höchstens 50 Personenkontakte und wenige geschulte Nutzende begrenzten Pilot vor. Personendaten würden erst genutzt, wenn Aufgaben- und Rechtsbezug, Transparenz, Rollen, Fristen und Betriebsprozesse schriftlich bestätigt sind; andernfalls starten wir ausschließlich mit Organisationsdaten.</w:t>
      </w:r>
    </w:p>
    <w:p>
      <w:pPr>
        <w:spacing w:line="259" w:lineRule="auto"/>
      </w:pPr>
      <w:r>
        <w:rPr>
          <w:rFonts w:ascii="Arial" w:hAnsi="Arial" w:eastAsia="Arial"/>
          <w:b w:val="0"/>
          <w:i w:val="0"/>
          <w:color w:val="1F2430"/>
        </w:rPr>
        <w:t>Ich möchte mit Ihnen insbesondere die Rechtsgrundlagen je Startanwendungsfall, den Prozess nach Artikel 13 und 14 DSGVO, das Sichtmodell sowie Sperr- und Löschregeln gemeinsam festlegen. Können wir die offenen Punkte im Termin am [Datum] entlang der Entscheidungsvorlage beraten?</w:t>
      </w:r>
    </w:p>
    <w:p>
      <w:pPr>
        <w:spacing w:after="160" w:line="259" w:lineRule="auto"/>
      </w:pPr>
      <w:r>
        <w:rPr>
          <w:rFonts w:ascii="Arial" w:hAnsi="Arial" w:eastAsia="Arial"/>
          <w:b w:val="0"/>
          <w:i w:val="0"/>
          <w:color w:val="1F2430"/>
        </w:rPr>
        <w:t>Viele Grüße</w:t>
        <w:br/>
        <w:t>[Name]</w:t>
      </w:r>
    </w:p>
    <w:p>
      <w:pPr>
        <w:pStyle w:val="Heading1"/>
        <w:keepNext/>
      </w:pPr>
      <w:r>
        <w:rPr>
          <w:rFonts w:ascii="Arial" w:hAnsi="Arial" w:eastAsia="Arial"/>
          <w:b/>
          <w:i w:val="0"/>
          <w:color w:val="000E52"/>
          <w:sz w:val="22"/>
        </w:rPr>
        <w:t>G.2 Bestätigung der vereinbarten Pilotauflagen</w:t>
      </w:r>
    </w:p>
    <w:tbl>
      <w:tblPr>
        <w:tblW w:type="dxa" w:w="10204"/>
        <w:jc w:val="left"/>
        <w:tblLayout w:type="fixed"/>
        <w:tblLook w:firstColumn="1" w:firstRow="1" w:lastColumn="0" w:lastRow="0" w:noHBand="0" w:noVBand="1" w:val="04A0"/>
        <w:tblInd w:w="150" w:type="dxa"/>
      </w:tblPr>
      <w:tblGrid>
        <w:gridCol w:w="10204"/>
      </w:tblGrid>
      <w:tr>
        <w:tc>
          <w:tcPr>
            <w:tcW w:type="dxa" w:w="10204"/>
            <w:shd w:fill="F5F7FB" w:val="clear"/>
            <w:tcBorders>
              <w:top w:val="single" w:sz="5" w:color="CAD3E6" w:space="0"/>
              <w:left w:val="single" w:sz="5" w:color="CAD3E6" w:space="0"/>
              <w:bottom w:val="single" w:sz="5" w:color="CAD3E6" w:space="0"/>
              <w:right w:val="single" w:sz="5" w:color="CAD3E6" w:space="0"/>
            </w:tcBorders>
            <w:tcMar>
              <w:top w:w="115" w:type="dxa"/>
              <w:start w:w="150" w:type="dxa"/>
              <w:bottom w:w="115" w:type="dxa"/>
              <w:end w:w="150" w:type="dxa"/>
            </w:tcMar>
            <w:vAlign w:val="center"/>
          </w:tcPr>
          <w:p>
            <w:pPr>
              <w:keepLines/>
              <w:spacing w:after="0" w:line="259" w:lineRule="auto"/>
            </w:pPr>
            <w:r>
              <w:rPr>
                <w:rFonts w:ascii="Arial" w:hAnsi="Arial" w:eastAsia="Arial"/>
                <w:b/>
                <w:i w:val="0"/>
                <w:color w:val="000E52"/>
              </w:rPr>
              <w:t xml:space="preserve">Betreff: </w:t>
            </w:r>
            <w:r>
              <w:rPr>
                <w:rFonts w:ascii="Arial" w:hAnsi="Arial" w:eastAsia="Arial"/>
                <w:b w:val="0"/>
                <w:i w:val="0"/>
                <w:color w:val="1F2430"/>
              </w:rPr>
              <w:t>Versorgungskompass - Bestätigung der vereinbarten Pilotauflagen</w:t>
            </w:r>
          </w:p>
        </w:tc>
      </w:tr>
    </w:tbl>
    <w:p>
      <w:pPr>
        <w:spacing w:before="0" w:after="0" w:line="120" w:lineRule="auto"/>
      </w:pPr>
    </w:p>
    <w:p>
      <w:pPr>
        <w:spacing w:line="259" w:lineRule="auto"/>
      </w:pPr>
      <w:r>
        <w:rPr>
          <w:rFonts w:ascii="Arial" w:hAnsi="Arial" w:eastAsia="Arial"/>
          <w:b w:val="0"/>
          <w:i w:val="0"/>
          <w:color w:val="1F2430"/>
        </w:rPr>
        <w:t>Guten Tag [Name],</w:t>
      </w:r>
    </w:p>
    <w:p>
      <w:pPr>
        <w:spacing w:line="259" w:lineRule="auto"/>
      </w:pPr>
      <w:r>
        <w:rPr>
          <w:rFonts w:ascii="Arial" w:hAnsi="Arial" w:eastAsia="Arial"/>
          <w:b w:val="0"/>
          <w:i w:val="0"/>
          <w:color w:val="1F2430"/>
        </w:rPr>
        <w:t>vielen Dank für die Abstimmung. Für die Umsetzung des begrenzten Piloten halten wir folgende Ergebnisse fest:</w:t>
      </w:r>
    </w:p>
    <w:p>
      <w:pPr>
        <w:keepLines/>
        <w:numPr>
          <w:ilvl w:val="0"/>
          <w:numId w:val="10"/>
        </w:numPr>
        <w:spacing w:before="0" w:after="45" w:line="259" w:lineRule="auto"/>
      </w:pPr>
      <w:r>
        <w:rPr>
          <w:rFonts w:ascii="Arial" w:hAnsi="Arial" w:eastAsia="Arial"/>
          <w:b w:val="0"/>
          <w:i w:val="0"/>
          <w:color w:val="1F2430"/>
        </w:rPr>
        <w:t>freigegebene Startanwendungsfälle und Rechtsgrundlagen: [ergänzen];</w:t>
      </w:r>
    </w:p>
    <w:p>
      <w:pPr>
        <w:keepLines/>
        <w:numPr>
          <w:ilvl w:val="0"/>
          <w:numId w:val="10"/>
        </w:numPr>
        <w:spacing w:before="0" w:after="45" w:line="259" w:lineRule="auto"/>
      </w:pPr>
      <w:r>
        <w:rPr>
          <w:rFonts w:ascii="Arial" w:hAnsi="Arial" w:eastAsia="Arial"/>
          <w:b w:val="0"/>
          <w:i w:val="0"/>
          <w:color w:val="1F2430"/>
        </w:rPr>
        <w:t>zulässige Quellen, Mindestfelder und ausgeschlossene Datenarten: [ergänzen];</w:t>
      </w:r>
    </w:p>
    <w:p>
      <w:pPr>
        <w:keepLines/>
        <w:numPr>
          <w:ilvl w:val="0"/>
          <w:numId w:val="10"/>
        </w:numPr>
        <w:spacing w:before="0" w:after="45" w:line="259" w:lineRule="auto"/>
      </w:pPr>
      <w:r>
        <w:rPr>
          <w:rFonts w:ascii="Arial" w:hAnsi="Arial" w:eastAsia="Arial"/>
          <w:b w:val="0"/>
          <w:i w:val="0"/>
          <w:color w:val="1F2430"/>
        </w:rPr>
        <w:t>Informationen nach Artikel 13 und 14 DSGVO sowie optionale Zukunftseinladungen: [ergänzen];</w:t>
      </w:r>
    </w:p>
    <w:p>
      <w:pPr>
        <w:keepLines/>
        <w:numPr>
          <w:ilvl w:val="0"/>
          <w:numId w:val="10"/>
        </w:numPr>
        <w:spacing w:before="0" w:after="45" w:line="259" w:lineRule="auto"/>
      </w:pPr>
      <w:r>
        <w:rPr>
          <w:rFonts w:ascii="Arial" w:hAnsi="Arial" w:eastAsia="Arial"/>
          <w:b w:val="0"/>
          <w:i w:val="0"/>
          <w:color w:val="1F2430"/>
        </w:rPr>
        <w:t>zulässige Sichten, Rollen, Prüf-, Sperr- und Löschregeln: [ergänzen];</w:t>
      </w:r>
    </w:p>
    <w:p>
      <w:pPr>
        <w:keepLines/>
        <w:numPr>
          <w:ilvl w:val="0"/>
          <w:numId w:val="10"/>
        </w:numPr>
        <w:spacing w:before="0" w:after="30" w:line="259" w:lineRule="auto"/>
      </w:pPr>
      <w:r>
        <w:rPr>
          <w:rFonts w:ascii="Arial" w:hAnsi="Arial" w:eastAsia="Arial"/>
          <w:b w:val="0"/>
          <w:i w:val="0"/>
          <w:color w:val="1F2430"/>
        </w:rPr>
        <w:t>Pilotgrenze, Nachweise und Termin der Vier-Wochen-Auswertung: [ergänzen].</w:t>
      </w:r>
    </w:p>
    <w:p>
      <w:pPr>
        <w:spacing w:line="259" w:lineRule="auto"/>
      </w:pPr>
      <w:r>
        <w:rPr>
          <w:rFonts w:ascii="Arial" w:hAnsi="Arial" w:eastAsia="Arial"/>
          <w:b w:val="0"/>
          <w:i w:val="0"/>
          <w:color w:val="1F2430"/>
        </w:rPr>
        <w:t>Bitte teilen Sie uns bis [Datum] mit, falls diese Zusammenfassung von der Vereinbarung abweicht. Nach Bestätigung dokumentieren wir die Auflagen im Verarbeitungsverzeichnis, in den Betriebsregeln und in der Produktabnahme.</w:t>
      </w:r>
    </w:p>
    <w:p>
      <w:pPr>
        <w:spacing w:line="259" w:lineRule="auto"/>
      </w:pPr>
      <w:r>
        <w:rPr>
          <w:rFonts w:ascii="Arial" w:hAnsi="Arial" w:eastAsia="Arial"/>
          <w:b w:val="0"/>
          <w:i w:val="0"/>
          <w:color w:val="1F2430"/>
        </w:rPr>
        <w:t>Viele Grüße</w:t>
        <w:br/>
        <w:t>[Name]</w:t>
      </w:r>
    </w:p>
    <w:sectPr w:rsidR="00FC693F" w:rsidRPr="0006063C" w:rsidSect="00034616">
      <w:headerReference w:type="default" r:id="rId9"/>
      <w:footerReference w:type="default" r:id="rId10"/>
      <w:pgSz w:w="11906" w:h="16838"/>
      <w:pgMar w:top="794" w:right="850" w:bottom="794" w:left="850"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val="0"/>
      <w:spacing w:before="0" w:after="0" w:lineRule="auto" w:line="240"/>
      <w:jc w:val="center"/>
    </w:pPr>
    <w:r>
      <w:rPr>
        <w:rFonts w:ascii="Arial" w:hAnsi="Arial" w:eastAsia="Arial"/>
        <w:b w:val="0"/>
        <w:i w:val="0"/>
        <w:color w:val="60697F"/>
        <w:sz w:val="16"/>
      </w:rPr>
      <w:t xml:space="preserve">Versorgungskompass  |  Interne Entscheidungsvorlage  |  Stand 30.07.2026  |  Seite </w:t>
    </w:r>
    <w:r>
      <w:rPr>
        <w:rFonts w:ascii="Arial" w:hAnsi="Arial" w:eastAsia="Arial"/>
        <w:b w:val="0"/>
        <w:i w:val="0"/>
        <w:color w:val="60697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val="0"/>
      <w:tabs>
        <w:tab w:pos="10205" w:val="right"/>
      </w:tabs>
      <w:spacing w:before="0" w:after="0" w:lineRule="auto" w:line="240"/>
      <w:jc w:val="left"/>
    </w:pPr>
    <w:r>
      <w:rPr>
        <w:rFonts w:ascii="Arial" w:hAnsi="Arial" w:eastAsia="Arial"/>
        <w:b/>
        <w:i w:val="0"/>
        <w:color w:val="60697F"/>
        <w:sz w:val="16"/>
      </w:rPr>
      <w:t>INTERNE ENTSCHEIDUNGSVORLAGE</w:t>
    </w:r>
    <w:r>
      <w:tab/>
    </w:r>
    <w:r>
      <w:drawing>
        <wp:inline xmlns:a="http://schemas.openxmlformats.org/drawingml/2006/main" xmlns:pic="http://schemas.openxmlformats.org/drawingml/2006/picture">
          <wp:extent cx="1116000" cy="206460"/>
          <wp:docPr id="1" name="Picture 1" descr="gematik Logo" title="gematik"/>
          <wp:cNvGraphicFramePr>
            <a:graphicFrameLocks noChangeAspect="1"/>
          </wp:cNvGraphicFramePr>
          <a:graphic>
            <a:graphicData uri="http://schemas.openxmlformats.org/drawingml/2006/picture">
              <pic:pic>
                <pic:nvPicPr>
                  <pic:cNvPr id="0" name="gematik-logo-standard.png"/>
                  <pic:cNvPicPr/>
                </pic:nvPicPr>
                <pic:blipFill>
                  <a:blip r:embed="rId1"/>
                  <a:stretch>
                    <a:fillRect/>
                  </a:stretch>
                </pic:blipFill>
                <pic:spPr>
                  <a:xfrm>
                    <a:off x="0" y="0"/>
                    <a:ext cx="1116000" cy="2064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before="0" w:after="45" w:line="259" w:lineRule="auto"/>
      </w:pPr>
      <w:rPr>
        <w:rFonts w:ascii="Arial" w:hAnsi="Arial"/>
        <w:color w:val="000E52"/>
      </w:rPr>
    </w:lvl>
  </w:abstractNum>
  <w:num w:numId="10">
    <w:abstractNumId w:val="9"/>
  </w:num>
  <w:abstractNum w:abstractNumId="10">
    <w:multiLevelType w:val="singleLevel"/>
    <w:lvl w:ilvl="0">
      <w:start w:val="1"/>
      <w:numFmt w:val="bullet"/>
      <w:lvlText w:val="•"/>
      <w:lvlJc w:val="left"/>
      <w:pPr>
        <w:tabs>
          <w:tab w:val="num" w:pos="260"/>
        </w:tabs>
        <w:ind w:left="260" w:hanging="200"/>
        <w:spacing w:before="0" w:after="42" w:line="254" w:lineRule="auto"/>
      </w:pPr>
      <w:rPr>
        <w:rFonts w:ascii="Arial" w:hAnsi="Arial"/>
        <w:color w:val="000E52"/>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Rule="auto" w:line="259"/>
    </w:pPr>
    <w:rPr>
      <w:rFonts w:ascii="Arial" w:hAnsi="Arial"/>
      <w:color w:val="1F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70" w:line="240" w:lineRule="auto"/>
      <w:outlineLvl w:val="0"/>
    </w:pPr>
    <w:rPr>
      <w:rFonts w:asciiTheme="majorHAnsi" w:eastAsiaTheme="majorEastAsia" w:hAnsiTheme="majorHAnsi" w:cstheme="majorBidi" w:ascii="Arial" w:hAnsi="Arial"/>
      <w:b/>
      <w:bCs/>
      <w:color w:val="000E52"/>
      <w:sz w:val="2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Arial" w:hAnsi="Arial"/>
      <w:b/>
      <w:bCs/>
      <w:color w:val="000E52"/>
      <w:sz w:val="21"/>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Arial" w:hAnsi="Arial"/>
      <w:b/>
      <w:bCs/>
      <w:color w:val="000E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Arial" w:hAnsi="Arial"/>
      <w:b/>
      <w:color w:val="000E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Arial" w:hAnsi="Arial"/>
      <w:i/>
      <w:iCs/>
      <w:color w:val="60697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nexTitle">
    <w:name w:val="Annex Title"/>
    <w:basedOn w:val="Heading1"/>
    <w:pPr>
      <w:keepNext/>
      <w:spacing w:before="0" w:after="160" w:line="240" w:lineRule="auto"/>
    </w:pPr>
    <w:rPr>
      <w:rFonts w:ascii="Arial" w:hAnsi="Arial"/>
      <w:b/>
      <w:color w:val="000E52"/>
      <w:sz w:val="32"/>
    </w:rPr>
  </w:style>
  <w:style w:type="paragraph" w:customStyle="1" w:styleId="AnnexLead">
    <w:name w:val="Annex Lead"/>
    <w:basedOn w:val="Normal"/>
    <w:pPr>
      <w:keepNext/>
      <w:spacing w:before="0" w:after="160" w:line="259" w:lineRule="auto"/>
    </w:pPr>
    <w:rPr>
      <w:rFonts w:ascii="Arial" w:hAnsi="Arial"/>
      <w:color w:val="6069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Entscheidungsvorlage Versorgungskompass - Datenschutz und Produktivpilot</dc:title>
  <dc:subject>Management-Entscheidungsvorlage mit Anlagen zu fachlichen Anforderungen, Datenverarbeitung, Zwecktrennung und Datenschutzvorteilen</dc:subject>
  <dc:creator>gematik - Versorgungskompass</dc:creator>
  <cp:keywords>Versorgungskompass, #Mitmachen, Datenschutz, DSGVO, § 311 SGB V, CRM, Produktivpilot, Anforderungen</cp:keywords>
  <dc:description>Aktualisiert am 30.07.2026; fachlicher Arbeits- und Prüfstand.</dc:description>
  <cp:lastModifiedBy/>
  <cp:revision>1</cp:revision>
  <dcterms:created xsi:type="dcterms:W3CDTF">2013-12-23T23:15:00Z</dcterms:created>
  <dcterms:modified xsi:type="dcterms:W3CDTF">2013-12-23T23:15:00Z</dcterms:modified>
  <cp:category/>
</cp:coreProperties>
</file>